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970"/>
        </w:tabs>
        <w:spacing w:line="360" w:lineRule="auto"/>
        <w:jc w:val="center"/>
        <w:rPr>
          <w:rFonts w:hint="default" w:ascii="宋体" w:hAnsi="宋体" w:eastAsia="宋体" w:cs="宋体"/>
          <w:b/>
          <w:bCs/>
          <w:color w:val="auto"/>
          <w:sz w:val="24"/>
          <w:highlight w:val="none"/>
          <w:shd w:val="clear" w:color="auto" w:fill="auto"/>
          <w:lang w:val="en-US" w:eastAsia="zh-CN"/>
        </w:rPr>
      </w:pPr>
      <w:r>
        <w:rPr>
          <w:rFonts w:hint="eastAsia" w:ascii="宋体" w:hAnsi="宋体" w:cs="宋体"/>
          <w:b/>
          <w:bCs/>
          <w:color w:val="auto"/>
          <w:sz w:val="24"/>
          <w:highlight w:val="none"/>
          <w:shd w:val="clear" w:color="auto" w:fill="auto"/>
          <w:lang w:val="en-US" w:eastAsia="zh-CN"/>
        </w:rPr>
        <w:t>报价明细表</w:t>
      </w:r>
    </w:p>
    <w:tbl>
      <w:tblPr>
        <w:tblStyle w:val="4"/>
        <w:tblW w:w="13706" w:type="dxa"/>
        <w:tblInd w:w="0" w:type="dxa"/>
        <w:tblLayout w:type="fixed"/>
        <w:tblCellMar>
          <w:top w:w="0" w:type="dxa"/>
          <w:left w:w="0" w:type="dxa"/>
          <w:bottom w:w="0" w:type="dxa"/>
          <w:right w:w="0" w:type="dxa"/>
        </w:tblCellMar>
      </w:tblPr>
      <w:tblGrid>
        <w:gridCol w:w="806"/>
        <w:gridCol w:w="2088"/>
        <w:gridCol w:w="1092"/>
        <w:gridCol w:w="1787"/>
        <w:gridCol w:w="1500"/>
        <w:gridCol w:w="1524"/>
        <w:gridCol w:w="1182"/>
        <w:gridCol w:w="3727"/>
      </w:tblGrid>
      <w:tr>
        <w:tblPrEx>
          <w:tblCellMar>
            <w:top w:w="0" w:type="dxa"/>
            <w:left w:w="0" w:type="dxa"/>
            <w:bottom w:w="0" w:type="dxa"/>
            <w:right w:w="0" w:type="dxa"/>
          </w:tblCellMar>
        </w:tblPrEx>
        <w:trPr>
          <w:trHeight w:val="618" w:hRule="exact"/>
        </w:trPr>
        <w:tc>
          <w:tcPr>
            <w:tcW w:w="806" w:type="dxa"/>
            <w:tcBorders>
              <w:top w:val="single" w:color="auto" w:sz="4" w:space="0"/>
              <w:left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r>
              <w:rPr>
                <w:rStyle w:val="7"/>
                <w:rFonts w:hint="eastAsia" w:asciiTheme="minorEastAsia" w:hAnsiTheme="minorEastAsia" w:eastAsiaTheme="minorEastAsia" w:cstheme="minorEastAsia"/>
                <w:color w:val="auto"/>
                <w:sz w:val="21"/>
                <w:szCs w:val="21"/>
                <w:highlight w:val="none"/>
                <w:shd w:val="clear" w:color="auto" w:fill="auto"/>
              </w:rPr>
              <w:t>序号</w:t>
            </w:r>
          </w:p>
        </w:tc>
        <w:tc>
          <w:tcPr>
            <w:tcW w:w="2088" w:type="dxa"/>
            <w:tcBorders>
              <w:top w:val="single" w:color="auto" w:sz="4" w:space="0"/>
              <w:left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r>
              <w:rPr>
                <w:rStyle w:val="7"/>
                <w:rFonts w:hint="eastAsia" w:asciiTheme="minorEastAsia" w:hAnsiTheme="minorEastAsia" w:eastAsiaTheme="minorEastAsia" w:cstheme="minorEastAsia"/>
                <w:color w:val="auto"/>
                <w:sz w:val="21"/>
                <w:szCs w:val="21"/>
                <w:highlight w:val="none"/>
                <w:shd w:val="clear" w:color="auto" w:fill="auto"/>
              </w:rPr>
              <w:t>项目</w:t>
            </w:r>
          </w:p>
        </w:tc>
        <w:tc>
          <w:tcPr>
            <w:tcW w:w="1092" w:type="dxa"/>
            <w:tcBorders>
              <w:top w:val="single" w:color="auto" w:sz="4" w:space="0"/>
              <w:left w:val="single" w:color="auto" w:sz="4" w:space="0"/>
            </w:tcBorders>
            <w:shd w:val="clear" w:color="auto" w:fill="FFFFFF"/>
            <w:vAlign w:val="center"/>
          </w:tcPr>
          <w:p>
            <w:pPr>
              <w:spacing w:line="240" w:lineRule="auto"/>
              <w:ind w:left="0" w:leftChars="0" w:firstLine="0" w:firstLineChars="0"/>
              <w:jc w:val="center"/>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Theme="minorEastAsia" w:hAnsiTheme="minorEastAsia" w:eastAsiaTheme="minorEastAsia" w:cstheme="minorEastAsia"/>
                <w:color w:val="auto"/>
                <w:sz w:val="21"/>
                <w:szCs w:val="21"/>
                <w:highlight w:val="none"/>
                <w:shd w:val="clear" w:color="auto" w:fill="auto"/>
                <w:lang w:val="en-US" w:eastAsia="zh-CN"/>
              </w:rPr>
              <w:t>数量</w:t>
            </w:r>
          </w:p>
        </w:tc>
        <w:tc>
          <w:tcPr>
            <w:tcW w:w="1787" w:type="dxa"/>
            <w:tcBorders>
              <w:top w:val="single" w:color="auto" w:sz="4" w:space="0"/>
              <w:left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r>
              <w:rPr>
                <w:rStyle w:val="7"/>
                <w:rFonts w:hint="eastAsia" w:asciiTheme="minorEastAsia" w:hAnsiTheme="minorEastAsia" w:eastAsiaTheme="minorEastAsia" w:cstheme="minorEastAsia"/>
                <w:color w:val="auto"/>
                <w:sz w:val="21"/>
                <w:szCs w:val="21"/>
                <w:highlight w:val="none"/>
                <w:shd w:val="clear" w:color="auto" w:fill="auto"/>
              </w:rPr>
              <w:t>租用时间（月）</w:t>
            </w:r>
          </w:p>
        </w:tc>
        <w:tc>
          <w:tcPr>
            <w:tcW w:w="1500" w:type="dxa"/>
            <w:tcBorders>
              <w:top w:val="single" w:color="auto" w:sz="4" w:space="0"/>
              <w:left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r>
              <w:rPr>
                <w:rStyle w:val="7"/>
                <w:rFonts w:hint="eastAsia" w:asciiTheme="minorEastAsia" w:hAnsiTheme="minorEastAsia" w:eastAsiaTheme="minorEastAsia" w:cstheme="minorEastAsia"/>
                <w:color w:val="auto"/>
                <w:sz w:val="21"/>
                <w:szCs w:val="21"/>
                <w:highlight w:val="none"/>
                <w:shd w:val="clear" w:color="auto" w:fill="auto"/>
                <w:lang w:val="en-US"/>
              </w:rPr>
              <w:t>单价（含税，元/月）</w:t>
            </w:r>
          </w:p>
        </w:tc>
        <w:tc>
          <w:tcPr>
            <w:tcW w:w="1524" w:type="dxa"/>
            <w:tcBorders>
              <w:top w:val="single" w:color="auto" w:sz="4" w:space="0"/>
              <w:left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r>
              <w:rPr>
                <w:rStyle w:val="7"/>
                <w:rFonts w:hint="eastAsia" w:asciiTheme="minorEastAsia" w:hAnsiTheme="minorEastAsia" w:eastAsiaTheme="minorEastAsia" w:cstheme="minorEastAsia"/>
                <w:color w:val="auto"/>
                <w:sz w:val="21"/>
                <w:szCs w:val="21"/>
                <w:highlight w:val="none"/>
                <w:shd w:val="clear" w:color="auto" w:fill="auto"/>
              </w:rPr>
              <w:t>总价</w:t>
            </w:r>
            <w:r>
              <w:rPr>
                <w:rStyle w:val="7"/>
                <w:rFonts w:hint="eastAsia" w:asciiTheme="minorEastAsia" w:hAnsiTheme="minorEastAsia" w:eastAsiaTheme="minorEastAsia" w:cstheme="minorEastAsia"/>
                <w:color w:val="auto"/>
                <w:sz w:val="21"/>
                <w:szCs w:val="21"/>
                <w:highlight w:val="none"/>
                <w:shd w:val="clear" w:color="auto" w:fill="auto"/>
                <w:lang w:val="en-US"/>
              </w:rPr>
              <w:t>（含税，元）</w:t>
            </w:r>
          </w:p>
        </w:tc>
        <w:tc>
          <w:tcPr>
            <w:tcW w:w="1182" w:type="dxa"/>
            <w:tcBorders>
              <w:top w:val="single" w:color="auto" w:sz="4" w:space="0"/>
              <w:left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税率</w:t>
            </w:r>
          </w:p>
        </w:tc>
        <w:tc>
          <w:tcPr>
            <w:tcW w:w="3727" w:type="dxa"/>
            <w:tcBorders>
              <w:top w:val="single" w:color="auto" w:sz="4" w:space="0"/>
              <w:left w:val="single" w:color="auto" w:sz="4" w:space="0"/>
              <w:right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r>
              <w:rPr>
                <w:rStyle w:val="7"/>
                <w:rFonts w:hint="eastAsia" w:asciiTheme="minorEastAsia" w:hAnsiTheme="minorEastAsia" w:eastAsiaTheme="minorEastAsia" w:cstheme="minorEastAsia"/>
                <w:color w:val="auto"/>
                <w:sz w:val="21"/>
                <w:szCs w:val="21"/>
                <w:highlight w:val="none"/>
                <w:shd w:val="clear" w:color="auto" w:fill="auto"/>
              </w:rPr>
              <w:t>备注</w:t>
            </w:r>
          </w:p>
        </w:tc>
      </w:tr>
      <w:tr>
        <w:tblPrEx>
          <w:tblCellMar>
            <w:top w:w="0" w:type="dxa"/>
            <w:left w:w="0" w:type="dxa"/>
            <w:bottom w:w="0" w:type="dxa"/>
            <w:right w:w="0" w:type="dxa"/>
          </w:tblCellMar>
        </w:tblPrEx>
        <w:trPr>
          <w:trHeight w:val="730" w:hRule="exact"/>
        </w:trPr>
        <w:tc>
          <w:tcPr>
            <w:tcW w:w="806" w:type="dxa"/>
            <w:tcBorders>
              <w:top w:val="single" w:color="auto" w:sz="4" w:space="0"/>
              <w:left w:val="single" w:color="auto" w:sz="4" w:space="0"/>
              <w:bottom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r>
              <w:rPr>
                <w:rStyle w:val="7"/>
                <w:rFonts w:hint="eastAsia" w:asciiTheme="minorEastAsia" w:hAnsiTheme="minorEastAsia" w:eastAsiaTheme="minorEastAsia" w:cstheme="minorEastAsia"/>
                <w:color w:val="auto"/>
                <w:sz w:val="21"/>
                <w:szCs w:val="21"/>
                <w:highlight w:val="none"/>
                <w:shd w:val="clear" w:color="auto" w:fill="auto"/>
              </w:rPr>
              <w:t>1</w:t>
            </w:r>
          </w:p>
        </w:tc>
        <w:tc>
          <w:tcPr>
            <w:tcW w:w="2088" w:type="dxa"/>
            <w:tcBorders>
              <w:top w:val="single" w:color="auto" w:sz="4" w:space="0"/>
              <w:left w:val="single" w:color="auto" w:sz="4" w:space="0"/>
              <w:bottom w:val="single" w:color="auto" w:sz="4" w:space="0"/>
            </w:tcBorders>
            <w:shd w:val="clear" w:color="auto" w:fill="FFFFFF"/>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2M 数字中继</w:t>
            </w:r>
          </w:p>
        </w:tc>
        <w:tc>
          <w:tcPr>
            <w:tcW w:w="1092" w:type="dxa"/>
            <w:tcBorders>
              <w:top w:val="single" w:color="auto" w:sz="4" w:space="0"/>
              <w:left w:val="single" w:color="auto" w:sz="4" w:space="0"/>
              <w:bottom w:val="single" w:color="auto" w:sz="4" w:space="0"/>
            </w:tcBorders>
            <w:shd w:val="clear" w:color="auto" w:fill="FFFFFF"/>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787" w:type="dxa"/>
            <w:tcBorders>
              <w:top w:val="single" w:color="auto" w:sz="4" w:space="0"/>
              <w:left w:val="single" w:color="auto" w:sz="4" w:space="0"/>
              <w:bottom w:val="single" w:color="auto" w:sz="4" w:space="0"/>
            </w:tcBorders>
            <w:shd w:val="clear" w:color="auto" w:fill="FFFFFF"/>
            <w:vAlign w:val="center"/>
          </w:tcPr>
          <w:p>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合同签订之日起至2028年12月31日</w:t>
            </w:r>
          </w:p>
        </w:tc>
        <w:tc>
          <w:tcPr>
            <w:tcW w:w="1500" w:type="dxa"/>
            <w:tcBorders>
              <w:top w:val="single" w:color="auto" w:sz="4" w:space="0"/>
              <w:left w:val="single" w:color="auto" w:sz="4" w:space="0"/>
              <w:bottom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p>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p>
        </w:tc>
        <w:tc>
          <w:tcPr>
            <w:tcW w:w="1524" w:type="dxa"/>
            <w:tcBorders>
              <w:top w:val="single" w:color="auto" w:sz="4" w:space="0"/>
              <w:left w:val="single" w:color="auto" w:sz="4" w:space="0"/>
              <w:bottom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p>
        </w:tc>
        <w:tc>
          <w:tcPr>
            <w:tcW w:w="1182"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6"/>
              <w:shd w:val="clear" w:color="auto" w:fill="auto"/>
              <w:spacing w:before="0" w:after="0" w:line="240" w:lineRule="auto"/>
              <w:jc w:val="center"/>
              <w:rPr>
                <w:rFonts w:hint="default" w:asciiTheme="minorEastAsia" w:hAnsiTheme="minorEastAsia" w:eastAsiaTheme="minorEastAsia" w:cstheme="minorEastAsia"/>
                <w:color w:val="auto"/>
                <w:sz w:val="21"/>
                <w:szCs w:val="21"/>
                <w:highlight w:val="none"/>
                <w:shd w:val="clear" w:color="auto" w:fill="auto"/>
                <w:lang w:val="en-US" w:eastAsia="zh-CN"/>
              </w:rPr>
            </w:pPr>
            <w:r>
              <w:rPr>
                <w:rFonts w:hint="eastAsia" w:asciiTheme="minorEastAsia" w:hAnsiTheme="minorEastAsia" w:eastAsiaTheme="minorEastAsia" w:cstheme="minorEastAsia"/>
                <w:color w:val="auto"/>
                <w:sz w:val="21"/>
                <w:szCs w:val="21"/>
                <w:highlight w:val="none"/>
                <w:shd w:val="clear" w:color="auto" w:fill="auto"/>
                <w:lang w:val="en-US" w:eastAsia="zh-CN"/>
              </w:rPr>
              <w:t>9%</w:t>
            </w:r>
          </w:p>
        </w:tc>
        <w:tc>
          <w:tcPr>
            <w:tcW w:w="372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作为海蓄永久营地与外界固定电话通道，按月计费，据实结算。</w:t>
            </w:r>
          </w:p>
        </w:tc>
      </w:tr>
      <w:tr>
        <w:tblPrEx>
          <w:tblCellMar>
            <w:top w:w="0" w:type="dxa"/>
            <w:left w:w="0" w:type="dxa"/>
            <w:bottom w:w="0" w:type="dxa"/>
            <w:right w:w="0" w:type="dxa"/>
          </w:tblCellMar>
        </w:tblPrEx>
        <w:trPr>
          <w:trHeight w:val="1282" w:hRule="exact"/>
        </w:trPr>
        <w:tc>
          <w:tcPr>
            <w:tcW w:w="806" w:type="dxa"/>
            <w:tcBorders>
              <w:top w:val="single" w:color="auto" w:sz="4" w:space="0"/>
              <w:left w:val="single" w:color="auto" w:sz="4" w:space="0"/>
            </w:tcBorders>
            <w:shd w:val="clear" w:color="auto" w:fill="FFFFFF"/>
            <w:vAlign w:val="center"/>
          </w:tcPr>
          <w:p>
            <w:pPr>
              <w:pStyle w:val="6"/>
              <w:shd w:val="clear" w:color="auto" w:fill="auto"/>
              <w:spacing w:before="0" w:after="0" w:line="240" w:lineRule="auto"/>
              <w:jc w:val="center"/>
              <w:rPr>
                <w:rStyle w:val="7"/>
                <w:rFonts w:hint="eastAsia" w:asciiTheme="minorEastAsia" w:hAnsiTheme="minorEastAsia" w:eastAsiaTheme="minorEastAsia" w:cstheme="minorEastAsia"/>
                <w:color w:val="auto"/>
                <w:sz w:val="21"/>
                <w:szCs w:val="21"/>
                <w:highlight w:val="none"/>
                <w:shd w:val="clear" w:color="auto" w:fill="auto"/>
                <w:lang w:val="en-US"/>
              </w:rPr>
            </w:pPr>
            <w:r>
              <w:rPr>
                <w:rStyle w:val="7"/>
                <w:rFonts w:hint="eastAsia" w:asciiTheme="minorEastAsia" w:hAnsiTheme="minorEastAsia" w:eastAsiaTheme="minorEastAsia" w:cstheme="minorEastAsia"/>
                <w:color w:val="auto"/>
                <w:sz w:val="21"/>
                <w:szCs w:val="21"/>
                <w:highlight w:val="none"/>
                <w:shd w:val="clear" w:color="auto" w:fill="auto"/>
                <w:lang w:val="en-US"/>
              </w:rPr>
              <w:t>2</w:t>
            </w:r>
          </w:p>
          <w:p>
            <w:pPr>
              <w:pStyle w:val="6"/>
              <w:shd w:val="clear" w:color="auto" w:fill="auto"/>
              <w:spacing w:before="0" w:after="0" w:line="240" w:lineRule="auto"/>
              <w:jc w:val="center"/>
              <w:rPr>
                <w:rStyle w:val="7"/>
                <w:rFonts w:hint="eastAsia" w:asciiTheme="minorEastAsia" w:hAnsiTheme="minorEastAsia" w:eastAsiaTheme="minorEastAsia" w:cstheme="minorEastAsia"/>
                <w:color w:val="auto"/>
                <w:sz w:val="21"/>
                <w:szCs w:val="21"/>
                <w:highlight w:val="none"/>
                <w:shd w:val="clear" w:color="auto" w:fill="auto"/>
                <w:lang w:val="en-US"/>
              </w:rPr>
            </w:pPr>
          </w:p>
        </w:tc>
        <w:tc>
          <w:tcPr>
            <w:tcW w:w="2088" w:type="dxa"/>
            <w:tcBorders>
              <w:top w:val="single" w:color="auto" w:sz="4" w:space="0"/>
              <w:left w:val="single" w:color="auto" w:sz="4" w:space="0"/>
            </w:tcBorders>
            <w:shd w:val="clear" w:color="auto" w:fill="FFFFFF"/>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r>
              <w:rPr>
                <w:rStyle w:val="9"/>
                <w:rFonts w:hint="eastAsia" w:asciiTheme="minorEastAsia" w:hAnsiTheme="minorEastAsia" w:eastAsiaTheme="minorEastAsia" w:cstheme="minorEastAsia"/>
                <w:sz w:val="21"/>
                <w:szCs w:val="21"/>
                <w:lang w:val="en-US" w:eastAsia="zh-CN" w:bidi="ar"/>
              </w:rPr>
              <w:t>琼中综合楼：电视 +  上网</w:t>
            </w:r>
            <w:r>
              <w:rPr>
                <w:rFonts w:hint="eastAsia" w:asciiTheme="minorEastAsia" w:hAnsiTheme="minorEastAsia" w:eastAsiaTheme="minorEastAsia" w:cstheme="minorEastAsia"/>
                <w:i w:val="0"/>
                <w:iCs w:val="0"/>
                <w:color w:val="000000"/>
                <w:kern w:val="0"/>
                <w:sz w:val="21"/>
                <w:szCs w:val="21"/>
                <w:u w:val="none"/>
                <w:lang w:val="en-US" w:eastAsia="zh-CN" w:bidi="ar"/>
              </w:rPr>
              <w:t>+WIFI+直线电话</w:t>
            </w:r>
          </w:p>
        </w:tc>
        <w:tc>
          <w:tcPr>
            <w:tcW w:w="1092" w:type="dxa"/>
            <w:tcBorders>
              <w:top w:val="single" w:color="auto" w:sz="4" w:space="0"/>
              <w:left w:val="single" w:color="auto" w:sz="4" w:space="0"/>
              <w:bottom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i w:val="0"/>
                <w:iCs w:val="0"/>
                <w:color w:val="000000"/>
                <w:kern w:val="2"/>
                <w:sz w:val="21"/>
                <w:szCs w:val="21"/>
                <w:u w:val="none"/>
                <w:lang w:val="en-US" w:eastAsia="zh-CN" w:bidi="ar-SA"/>
              </w:rPr>
            </w:pPr>
            <w:r>
              <w:rPr>
                <w:rFonts w:hint="eastAsia" w:asciiTheme="minorEastAsia" w:hAnsiTheme="minorEastAsia" w:eastAsiaTheme="minorEastAsia" w:cstheme="minorEastAsia"/>
                <w:color w:val="auto"/>
                <w:sz w:val="21"/>
                <w:szCs w:val="21"/>
                <w:highlight w:val="none"/>
                <w:shd w:val="clear" w:color="auto" w:fill="auto"/>
                <w:lang w:val="en-US" w:eastAsia="zh-CN"/>
              </w:rPr>
              <w:t>121</w:t>
            </w:r>
          </w:p>
        </w:tc>
        <w:tc>
          <w:tcPr>
            <w:tcW w:w="1787" w:type="dxa"/>
            <w:tcBorders>
              <w:top w:val="single" w:color="auto" w:sz="4" w:space="0"/>
              <w:left w:val="single" w:color="auto" w:sz="4" w:space="0"/>
            </w:tcBorders>
            <w:shd w:val="clear" w:color="auto" w:fill="FFFFFF"/>
            <w:vAlign w:val="center"/>
          </w:tcPr>
          <w:p>
            <w:pPr>
              <w:shd w:val="clear" w:color="auto" w:fill="auto"/>
              <w:spacing w:before="0" w:after="0"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合同签订之日起至2028年12月31日</w:t>
            </w:r>
          </w:p>
        </w:tc>
        <w:tc>
          <w:tcPr>
            <w:tcW w:w="1500" w:type="dxa"/>
            <w:tcBorders>
              <w:top w:val="single" w:color="auto" w:sz="4" w:space="0"/>
              <w:left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p>
        </w:tc>
        <w:tc>
          <w:tcPr>
            <w:tcW w:w="1524" w:type="dxa"/>
            <w:tcBorders>
              <w:top w:val="single" w:color="auto" w:sz="4" w:space="0"/>
              <w:left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p>
        </w:tc>
        <w:tc>
          <w:tcPr>
            <w:tcW w:w="1182" w:type="dxa"/>
            <w:tcBorders>
              <w:top w:val="single" w:color="auto" w:sz="4" w:space="0"/>
              <w:left w:val="single" w:color="auto" w:sz="4" w:space="0"/>
              <w:right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lang w:val="en-US" w:eastAsia="zh-CN"/>
              </w:rPr>
              <w:t>6%</w:t>
            </w:r>
          </w:p>
        </w:tc>
        <w:tc>
          <w:tcPr>
            <w:tcW w:w="3727" w:type="dxa"/>
            <w:tcBorders>
              <w:top w:val="single" w:color="auto" w:sz="4" w:space="0"/>
              <w:left w:val="single" w:color="auto" w:sz="4" w:space="0"/>
              <w:right w:val="single" w:color="auto" w:sz="4" w:space="0"/>
            </w:tcBorders>
            <w:shd w:val="clear" w:color="auto" w:fill="FFFFFF"/>
            <w:vAlign w:val="center"/>
          </w:tcPr>
          <w:p>
            <w:pPr>
              <w:pStyle w:val="6"/>
              <w:shd w:val="clear" w:color="auto" w:fill="auto"/>
              <w:spacing w:before="0" w:after="0" w:line="240" w:lineRule="auto"/>
              <w:jc w:val="left"/>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光纤覆盖到</w:t>
            </w:r>
            <w:r>
              <w:rPr>
                <w:rFonts w:hint="eastAsia" w:asciiTheme="minorEastAsia" w:hAnsiTheme="minorEastAsia" w:eastAsiaTheme="minorEastAsia" w:cstheme="minorEastAsia"/>
                <w:color w:val="auto"/>
                <w:sz w:val="21"/>
                <w:szCs w:val="21"/>
                <w:highlight w:val="none"/>
                <w:shd w:val="clear" w:color="auto" w:fill="auto"/>
                <w:lang w:val="en-US" w:eastAsia="zh-CN"/>
              </w:rPr>
              <w:t>121个</w:t>
            </w:r>
            <w:r>
              <w:rPr>
                <w:rFonts w:hint="eastAsia" w:asciiTheme="minorEastAsia" w:hAnsiTheme="minorEastAsia" w:eastAsiaTheme="minorEastAsia" w:cstheme="minorEastAsia"/>
                <w:color w:val="auto"/>
                <w:sz w:val="21"/>
                <w:szCs w:val="21"/>
                <w:highlight w:val="none"/>
                <w:shd w:val="clear" w:color="auto" w:fill="auto"/>
              </w:rPr>
              <w:t>房间</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每间房面积约12平方米</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网络</w:t>
            </w:r>
            <w:r>
              <w:rPr>
                <w:rFonts w:hint="eastAsia" w:asciiTheme="minorEastAsia" w:hAnsiTheme="minorEastAsia" w:eastAsiaTheme="minorEastAsia" w:cstheme="minorEastAsia"/>
                <w:color w:val="auto"/>
                <w:sz w:val="21"/>
                <w:szCs w:val="21"/>
                <w:highlight w:val="none"/>
                <w:shd w:val="clear" w:color="auto" w:fill="auto"/>
              </w:rPr>
              <w:t>高清电视+</w:t>
            </w:r>
            <w:r>
              <w:rPr>
                <w:rFonts w:hint="eastAsia" w:asciiTheme="minorEastAsia" w:hAnsiTheme="minorEastAsia" w:eastAsiaTheme="minorEastAsia" w:cstheme="minorEastAsia"/>
                <w:color w:val="auto"/>
                <w:sz w:val="21"/>
                <w:szCs w:val="21"/>
                <w:highlight w:val="none"/>
                <w:shd w:val="clear" w:color="auto" w:fill="auto"/>
                <w:lang w:val="en-US" w:eastAsia="zh-CN"/>
              </w:rPr>
              <w:t>2</w:t>
            </w:r>
            <w:r>
              <w:rPr>
                <w:rFonts w:hint="eastAsia" w:asciiTheme="minorEastAsia" w:hAnsiTheme="minorEastAsia" w:eastAsiaTheme="minorEastAsia" w:cstheme="minorEastAsia"/>
                <w:color w:val="auto"/>
                <w:sz w:val="21"/>
                <w:szCs w:val="21"/>
                <w:highlight w:val="none"/>
                <w:shd w:val="clear" w:color="auto" w:fill="auto"/>
              </w:rPr>
              <w:t>00M有线宽带+无线WIFI+直线电话</w:t>
            </w:r>
            <w:r>
              <w:rPr>
                <w:rFonts w:hint="eastAsia" w:asciiTheme="minorEastAsia" w:hAnsiTheme="minorEastAsia" w:eastAsiaTheme="minorEastAsia" w:cstheme="minorEastAsia"/>
                <w:i w:val="0"/>
                <w:iCs w:val="0"/>
                <w:color w:val="000000"/>
                <w:kern w:val="0"/>
                <w:sz w:val="21"/>
                <w:szCs w:val="21"/>
                <w:u w:val="none"/>
                <w:lang w:val="en-US" w:eastAsia="zh-CN" w:bidi="ar"/>
              </w:rPr>
              <w:t>，按月计费，据实结算。</w:t>
            </w:r>
          </w:p>
          <w:p>
            <w:pPr>
              <w:pStyle w:val="6"/>
              <w:shd w:val="clear" w:color="auto" w:fill="auto"/>
              <w:spacing w:before="0" w:after="0" w:line="240" w:lineRule="auto"/>
              <w:jc w:val="left"/>
              <w:rPr>
                <w:rFonts w:hint="eastAsia" w:asciiTheme="minorEastAsia" w:hAnsiTheme="minorEastAsia" w:eastAsiaTheme="minorEastAsia" w:cstheme="minorEastAsia"/>
                <w:color w:val="auto"/>
                <w:sz w:val="21"/>
                <w:szCs w:val="21"/>
                <w:highlight w:val="none"/>
                <w:shd w:val="clear" w:color="auto" w:fill="auto"/>
              </w:rPr>
            </w:pPr>
          </w:p>
        </w:tc>
      </w:tr>
      <w:tr>
        <w:tblPrEx>
          <w:tblCellMar>
            <w:top w:w="0" w:type="dxa"/>
            <w:left w:w="0" w:type="dxa"/>
            <w:bottom w:w="0" w:type="dxa"/>
            <w:right w:w="0" w:type="dxa"/>
          </w:tblCellMar>
        </w:tblPrEx>
        <w:trPr>
          <w:trHeight w:val="1238" w:hRule="exact"/>
        </w:trPr>
        <w:tc>
          <w:tcPr>
            <w:tcW w:w="806" w:type="dxa"/>
            <w:tcBorders>
              <w:top w:val="single" w:color="auto" w:sz="4" w:space="0"/>
              <w:left w:val="single" w:color="auto" w:sz="4" w:space="0"/>
              <w:bottom w:val="single" w:color="auto" w:sz="4" w:space="0"/>
            </w:tcBorders>
            <w:shd w:val="clear" w:color="auto" w:fill="FFFFFF"/>
            <w:vAlign w:val="center"/>
          </w:tcPr>
          <w:p>
            <w:pPr>
              <w:pStyle w:val="6"/>
              <w:shd w:val="clear" w:color="auto" w:fill="auto"/>
              <w:spacing w:before="0" w:after="0" w:line="240" w:lineRule="auto"/>
              <w:jc w:val="center"/>
              <w:rPr>
                <w:rStyle w:val="7"/>
                <w:rFonts w:hint="eastAsia" w:asciiTheme="minorEastAsia" w:hAnsiTheme="minorEastAsia" w:eastAsiaTheme="minorEastAsia" w:cstheme="minorEastAsia"/>
                <w:color w:val="auto"/>
                <w:sz w:val="21"/>
                <w:szCs w:val="21"/>
                <w:highlight w:val="none"/>
                <w:shd w:val="clear" w:color="auto" w:fill="auto"/>
                <w:lang w:val="en-US"/>
              </w:rPr>
            </w:pPr>
            <w:r>
              <w:rPr>
                <w:rStyle w:val="7"/>
                <w:rFonts w:hint="eastAsia" w:asciiTheme="minorEastAsia" w:hAnsiTheme="minorEastAsia" w:eastAsiaTheme="minorEastAsia" w:cstheme="minorEastAsia"/>
                <w:color w:val="auto"/>
                <w:sz w:val="21"/>
                <w:szCs w:val="21"/>
                <w:highlight w:val="none"/>
                <w:shd w:val="clear" w:color="auto" w:fill="auto"/>
                <w:lang w:val="en-US"/>
              </w:rPr>
              <w:t>3</w:t>
            </w:r>
          </w:p>
        </w:tc>
        <w:tc>
          <w:tcPr>
            <w:tcW w:w="2088" w:type="dxa"/>
            <w:tcBorders>
              <w:top w:val="single" w:color="auto" w:sz="4" w:space="0"/>
              <w:left w:val="single" w:color="auto" w:sz="4" w:space="0"/>
              <w:bottom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琼中后勤楼：</w:t>
            </w:r>
            <w:r>
              <w:rPr>
                <w:rStyle w:val="9"/>
                <w:rFonts w:hint="eastAsia" w:asciiTheme="minorEastAsia" w:hAnsiTheme="minorEastAsia" w:eastAsiaTheme="minorEastAsia" w:cstheme="minorEastAsia"/>
                <w:sz w:val="21"/>
                <w:szCs w:val="21"/>
                <w:lang w:val="en-US" w:eastAsia="zh-CN" w:bidi="ar"/>
              </w:rPr>
              <w:t>电视 +</w:t>
            </w:r>
            <w:r>
              <w:rPr>
                <w:rFonts w:hint="eastAsia" w:asciiTheme="minorEastAsia" w:hAnsiTheme="minorEastAsia" w:eastAsiaTheme="minorEastAsia" w:cstheme="minorEastAsia"/>
                <w:color w:val="auto"/>
                <w:sz w:val="21"/>
                <w:szCs w:val="21"/>
                <w:highlight w:val="none"/>
                <w:shd w:val="clear" w:color="auto" w:fill="auto"/>
              </w:rPr>
              <w:t>上网+WIFI</w:t>
            </w:r>
          </w:p>
        </w:tc>
        <w:tc>
          <w:tcPr>
            <w:tcW w:w="1092" w:type="dxa"/>
            <w:tcBorders>
              <w:top w:val="single" w:color="auto" w:sz="4" w:space="0"/>
              <w:left w:val="single" w:color="auto" w:sz="4" w:space="0"/>
              <w:bottom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15</w:t>
            </w:r>
          </w:p>
        </w:tc>
        <w:tc>
          <w:tcPr>
            <w:tcW w:w="1787" w:type="dxa"/>
            <w:tcBorders>
              <w:top w:val="single" w:color="auto" w:sz="4" w:space="0"/>
              <w:left w:val="single" w:color="auto" w:sz="4" w:space="0"/>
              <w:bottom w:val="single" w:color="auto" w:sz="4" w:space="0"/>
            </w:tcBorders>
            <w:shd w:val="clear" w:color="auto" w:fill="FFFFFF"/>
            <w:vAlign w:val="center"/>
          </w:tcPr>
          <w:p>
            <w:pPr>
              <w:shd w:val="clear" w:color="auto" w:fill="auto"/>
              <w:spacing w:before="0" w:after="0" w:line="240" w:lineRule="auto"/>
              <w:jc w:val="left"/>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i w:val="0"/>
                <w:iCs w:val="0"/>
                <w:color w:val="000000"/>
                <w:kern w:val="0"/>
                <w:sz w:val="21"/>
                <w:szCs w:val="21"/>
                <w:u w:val="none"/>
                <w:lang w:val="en-US" w:eastAsia="zh-CN" w:bidi="ar"/>
              </w:rPr>
              <w:t>合同签订之日起至2028年12月31日</w:t>
            </w:r>
          </w:p>
        </w:tc>
        <w:tc>
          <w:tcPr>
            <w:tcW w:w="1500" w:type="dxa"/>
            <w:tcBorders>
              <w:top w:val="single" w:color="auto" w:sz="4" w:space="0"/>
              <w:left w:val="single" w:color="auto" w:sz="4" w:space="0"/>
              <w:bottom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p>
        </w:tc>
        <w:tc>
          <w:tcPr>
            <w:tcW w:w="1524" w:type="dxa"/>
            <w:tcBorders>
              <w:top w:val="single" w:color="auto" w:sz="4" w:space="0"/>
              <w:left w:val="single" w:color="auto" w:sz="4" w:space="0"/>
              <w:bottom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p>
        </w:tc>
        <w:tc>
          <w:tcPr>
            <w:tcW w:w="1182"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lang w:val="en-US" w:eastAsia="zh-CN"/>
              </w:rPr>
              <w:t>6%</w:t>
            </w:r>
          </w:p>
        </w:tc>
        <w:tc>
          <w:tcPr>
            <w:tcW w:w="3727"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6"/>
              <w:shd w:val="clear" w:color="auto" w:fill="auto"/>
              <w:spacing w:before="0" w:after="0" w:line="240" w:lineRule="auto"/>
              <w:jc w:val="left"/>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光纤覆盖到</w:t>
            </w:r>
            <w:r>
              <w:rPr>
                <w:rFonts w:hint="eastAsia" w:asciiTheme="minorEastAsia" w:hAnsiTheme="minorEastAsia" w:eastAsiaTheme="minorEastAsia" w:cstheme="minorEastAsia"/>
                <w:color w:val="auto"/>
                <w:sz w:val="21"/>
                <w:szCs w:val="21"/>
                <w:highlight w:val="none"/>
                <w:shd w:val="clear" w:color="auto" w:fill="auto"/>
                <w:lang w:val="en-US" w:eastAsia="zh-CN"/>
              </w:rPr>
              <w:t>15个</w:t>
            </w:r>
            <w:r>
              <w:rPr>
                <w:rFonts w:hint="eastAsia" w:asciiTheme="minorEastAsia" w:hAnsiTheme="minorEastAsia" w:eastAsiaTheme="minorEastAsia" w:cstheme="minorEastAsia"/>
                <w:color w:val="auto"/>
                <w:sz w:val="21"/>
                <w:szCs w:val="21"/>
                <w:highlight w:val="none"/>
                <w:shd w:val="clear" w:color="auto" w:fill="auto"/>
              </w:rPr>
              <w:t>房间</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每间房面积约12平方米</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网络</w:t>
            </w:r>
            <w:r>
              <w:rPr>
                <w:rFonts w:hint="eastAsia" w:asciiTheme="minorEastAsia" w:hAnsiTheme="minorEastAsia" w:eastAsiaTheme="minorEastAsia" w:cstheme="minorEastAsia"/>
                <w:color w:val="auto"/>
                <w:sz w:val="21"/>
                <w:szCs w:val="21"/>
                <w:highlight w:val="none"/>
                <w:shd w:val="clear" w:color="auto" w:fill="auto"/>
              </w:rPr>
              <w:t>高清电视+</w:t>
            </w:r>
            <w:r>
              <w:rPr>
                <w:rFonts w:hint="eastAsia" w:asciiTheme="minorEastAsia" w:hAnsiTheme="minorEastAsia" w:eastAsiaTheme="minorEastAsia" w:cstheme="minorEastAsia"/>
                <w:color w:val="auto"/>
                <w:sz w:val="21"/>
                <w:szCs w:val="21"/>
                <w:highlight w:val="none"/>
                <w:shd w:val="clear" w:color="auto" w:fill="auto"/>
                <w:lang w:val="en-US" w:eastAsia="zh-CN"/>
              </w:rPr>
              <w:t>2</w:t>
            </w:r>
            <w:r>
              <w:rPr>
                <w:rFonts w:hint="eastAsia" w:asciiTheme="minorEastAsia" w:hAnsiTheme="minorEastAsia" w:eastAsiaTheme="minorEastAsia" w:cstheme="minorEastAsia"/>
                <w:color w:val="auto"/>
                <w:sz w:val="21"/>
                <w:szCs w:val="21"/>
                <w:highlight w:val="none"/>
                <w:shd w:val="clear" w:color="auto" w:fill="auto"/>
              </w:rPr>
              <w:t>00M有线宽带+无线WIFI</w:t>
            </w:r>
            <w:r>
              <w:rPr>
                <w:rFonts w:hint="eastAsia" w:asciiTheme="minorEastAsia" w:hAnsiTheme="minorEastAsia" w:eastAsiaTheme="minorEastAsia" w:cstheme="minorEastAsia"/>
                <w:i w:val="0"/>
                <w:iCs w:val="0"/>
                <w:color w:val="000000"/>
                <w:kern w:val="0"/>
                <w:sz w:val="21"/>
                <w:szCs w:val="21"/>
                <w:u w:val="none"/>
                <w:lang w:val="en-US" w:eastAsia="zh-CN" w:bidi="ar"/>
              </w:rPr>
              <w:t>，按月计费，据实结算。</w:t>
            </w:r>
          </w:p>
          <w:p>
            <w:pPr>
              <w:pStyle w:val="6"/>
              <w:shd w:val="clear" w:color="auto" w:fill="auto"/>
              <w:spacing w:before="0" w:after="0" w:line="240" w:lineRule="auto"/>
              <w:jc w:val="left"/>
              <w:rPr>
                <w:rFonts w:hint="eastAsia" w:asciiTheme="minorEastAsia" w:hAnsiTheme="minorEastAsia" w:eastAsiaTheme="minorEastAsia" w:cstheme="minorEastAsia"/>
                <w:color w:val="auto"/>
                <w:sz w:val="21"/>
                <w:szCs w:val="21"/>
                <w:highlight w:val="none"/>
                <w:shd w:val="clear" w:color="auto" w:fill="auto"/>
              </w:rPr>
            </w:pPr>
          </w:p>
        </w:tc>
      </w:tr>
      <w:tr>
        <w:tblPrEx>
          <w:tblCellMar>
            <w:top w:w="0" w:type="dxa"/>
            <w:left w:w="0" w:type="dxa"/>
            <w:bottom w:w="0" w:type="dxa"/>
            <w:right w:w="0" w:type="dxa"/>
          </w:tblCellMar>
        </w:tblPrEx>
        <w:trPr>
          <w:trHeight w:val="963" w:hRule="exact"/>
        </w:trPr>
        <w:tc>
          <w:tcPr>
            <w:tcW w:w="806" w:type="dxa"/>
            <w:tcBorders>
              <w:top w:val="single" w:color="auto" w:sz="4" w:space="0"/>
              <w:left w:val="single" w:color="auto" w:sz="4" w:space="0"/>
              <w:bottom w:val="single" w:color="auto" w:sz="4" w:space="0"/>
            </w:tcBorders>
            <w:shd w:val="clear" w:color="auto" w:fill="FFFFFF"/>
            <w:vAlign w:val="center"/>
          </w:tcPr>
          <w:p>
            <w:pPr>
              <w:pStyle w:val="6"/>
              <w:shd w:val="clear" w:color="auto" w:fill="auto"/>
              <w:spacing w:before="0" w:after="0" w:line="240" w:lineRule="auto"/>
              <w:jc w:val="center"/>
              <w:rPr>
                <w:rStyle w:val="7"/>
                <w:rFonts w:hint="eastAsia" w:asciiTheme="minorEastAsia" w:hAnsiTheme="minorEastAsia" w:eastAsiaTheme="minorEastAsia" w:cstheme="minorEastAsia"/>
                <w:color w:val="auto"/>
                <w:sz w:val="21"/>
                <w:szCs w:val="21"/>
                <w:highlight w:val="none"/>
                <w:shd w:val="clear" w:color="auto" w:fill="auto"/>
                <w:lang w:val="en-US"/>
              </w:rPr>
            </w:pPr>
            <w:r>
              <w:rPr>
                <w:rStyle w:val="7"/>
                <w:rFonts w:hint="eastAsia" w:asciiTheme="minorEastAsia" w:hAnsiTheme="minorEastAsia" w:eastAsiaTheme="minorEastAsia" w:cstheme="minorEastAsia"/>
                <w:color w:val="auto"/>
                <w:sz w:val="21"/>
                <w:szCs w:val="21"/>
                <w:highlight w:val="none"/>
                <w:shd w:val="clear" w:color="auto" w:fill="auto"/>
                <w:lang w:val="en-US"/>
              </w:rPr>
              <w:t>4</w:t>
            </w:r>
          </w:p>
        </w:tc>
        <w:tc>
          <w:tcPr>
            <w:tcW w:w="2088" w:type="dxa"/>
            <w:tcBorders>
              <w:top w:val="single" w:color="auto" w:sz="4" w:space="0"/>
              <w:left w:val="single" w:color="auto" w:sz="4" w:space="0"/>
              <w:bottom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 xml:space="preserve">海 口 办 公 楼 </w:t>
            </w:r>
            <w:r>
              <w:rPr>
                <w:rFonts w:hint="eastAsia" w:asciiTheme="minorEastAsia" w:hAnsiTheme="minorEastAsia" w:eastAsiaTheme="minorEastAsia" w:cstheme="minorEastAsia"/>
                <w:color w:val="auto"/>
                <w:sz w:val="21"/>
                <w:szCs w:val="21"/>
                <w:highlight w:val="none"/>
                <w:shd w:val="clear" w:color="auto" w:fill="auto"/>
                <w:lang w:val="en-US" w:eastAsia="zh-CN"/>
              </w:rPr>
              <w:t>3</w:t>
            </w:r>
            <w:r>
              <w:rPr>
                <w:rFonts w:hint="eastAsia" w:asciiTheme="minorEastAsia" w:hAnsiTheme="minorEastAsia" w:eastAsiaTheme="minorEastAsia" w:cstheme="minorEastAsia"/>
                <w:color w:val="auto"/>
                <w:sz w:val="21"/>
                <w:szCs w:val="21"/>
                <w:highlight w:val="none"/>
                <w:shd w:val="clear" w:color="auto" w:fill="auto"/>
              </w:rPr>
              <w:t>0M 省内数字电路租赁项目</w:t>
            </w:r>
          </w:p>
        </w:tc>
        <w:tc>
          <w:tcPr>
            <w:tcW w:w="1092" w:type="dxa"/>
            <w:tcBorders>
              <w:top w:val="single" w:color="auto" w:sz="4" w:space="0"/>
              <w:left w:val="single" w:color="auto" w:sz="4" w:space="0"/>
              <w:bottom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Theme="minorEastAsia" w:hAnsiTheme="minorEastAsia" w:eastAsiaTheme="minorEastAsia" w:cstheme="minorEastAsia"/>
                <w:color w:val="auto"/>
                <w:sz w:val="21"/>
                <w:szCs w:val="21"/>
                <w:highlight w:val="none"/>
                <w:shd w:val="clear" w:color="auto" w:fill="auto"/>
                <w:lang w:val="en-US" w:eastAsia="zh-CN"/>
              </w:rPr>
              <w:t>1</w:t>
            </w:r>
          </w:p>
        </w:tc>
        <w:tc>
          <w:tcPr>
            <w:tcW w:w="1787" w:type="dxa"/>
            <w:tcBorders>
              <w:top w:val="single" w:color="auto" w:sz="4" w:space="0"/>
              <w:left w:val="single" w:color="auto" w:sz="4" w:space="0"/>
              <w:bottom w:val="single" w:color="auto" w:sz="4" w:space="0"/>
            </w:tcBorders>
            <w:shd w:val="clear" w:color="auto" w:fill="FFFFFF"/>
            <w:vAlign w:val="center"/>
          </w:tcPr>
          <w:p>
            <w:pPr>
              <w:shd w:val="clear" w:color="auto" w:fill="auto"/>
              <w:spacing w:before="0" w:after="0" w:line="240" w:lineRule="auto"/>
              <w:jc w:val="left"/>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i w:val="0"/>
                <w:iCs w:val="0"/>
                <w:color w:val="000000"/>
                <w:kern w:val="0"/>
                <w:sz w:val="21"/>
                <w:szCs w:val="21"/>
                <w:u w:val="none"/>
                <w:lang w:val="en-US" w:eastAsia="zh-CN" w:bidi="ar"/>
              </w:rPr>
              <w:t>合同签订之日起至2028年12月31日</w:t>
            </w:r>
          </w:p>
        </w:tc>
        <w:tc>
          <w:tcPr>
            <w:tcW w:w="1500" w:type="dxa"/>
            <w:tcBorders>
              <w:top w:val="single" w:color="auto" w:sz="4" w:space="0"/>
              <w:left w:val="single" w:color="auto" w:sz="4" w:space="0"/>
              <w:bottom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p>
        </w:tc>
        <w:tc>
          <w:tcPr>
            <w:tcW w:w="1524" w:type="dxa"/>
            <w:tcBorders>
              <w:top w:val="single" w:color="auto" w:sz="4" w:space="0"/>
              <w:left w:val="single" w:color="auto" w:sz="4" w:space="0"/>
              <w:bottom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p>
        </w:tc>
        <w:tc>
          <w:tcPr>
            <w:tcW w:w="1182"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lang w:val="en-US" w:eastAsia="zh-CN"/>
              </w:rPr>
              <w:t>9</w:t>
            </w:r>
            <w:bookmarkStart w:id="0" w:name="_GoBack"/>
            <w:bookmarkEnd w:id="0"/>
            <w:r>
              <w:rPr>
                <w:rFonts w:hint="eastAsia" w:asciiTheme="minorEastAsia" w:hAnsiTheme="minorEastAsia" w:eastAsiaTheme="minorEastAsia" w:cstheme="minorEastAsia"/>
                <w:color w:val="auto"/>
                <w:sz w:val="21"/>
                <w:szCs w:val="21"/>
                <w:highlight w:val="none"/>
                <w:shd w:val="clear" w:color="auto" w:fill="auto"/>
                <w:lang w:val="en-US" w:eastAsia="zh-CN"/>
              </w:rPr>
              <w:t>%</w:t>
            </w:r>
          </w:p>
        </w:tc>
        <w:tc>
          <w:tcPr>
            <w:tcW w:w="3727"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6"/>
              <w:shd w:val="clear" w:color="auto" w:fill="auto"/>
              <w:spacing w:before="0" w:after="0" w:line="240" w:lineRule="auto"/>
              <w:jc w:val="left"/>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作为海口办公楼办公网络通道</w:t>
            </w:r>
            <w:r>
              <w:rPr>
                <w:rFonts w:hint="eastAsia" w:asciiTheme="minorEastAsia" w:hAnsiTheme="minorEastAsia" w:eastAsiaTheme="minorEastAsia" w:cstheme="minorEastAsia"/>
                <w:i w:val="0"/>
                <w:iCs w:val="0"/>
                <w:color w:val="000000"/>
                <w:kern w:val="0"/>
                <w:sz w:val="21"/>
                <w:szCs w:val="21"/>
                <w:u w:val="none"/>
                <w:lang w:val="en-US" w:eastAsia="zh-CN" w:bidi="ar"/>
              </w:rPr>
              <w:t>，按月计费，据实结算。</w:t>
            </w:r>
          </w:p>
        </w:tc>
      </w:tr>
      <w:tr>
        <w:tblPrEx>
          <w:tblCellMar>
            <w:top w:w="0" w:type="dxa"/>
            <w:left w:w="0" w:type="dxa"/>
            <w:bottom w:w="0" w:type="dxa"/>
            <w:right w:w="0" w:type="dxa"/>
          </w:tblCellMar>
        </w:tblPrEx>
        <w:trPr>
          <w:trHeight w:val="741" w:hRule="exact"/>
        </w:trPr>
        <w:tc>
          <w:tcPr>
            <w:tcW w:w="7273" w:type="dxa"/>
            <w:gridSpan w:val="5"/>
            <w:tcBorders>
              <w:top w:val="single" w:color="auto" w:sz="4" w:space="0"/>
              <w:left w:val="single" w:color="auto" w:sz="4" w:space="0"/>
              <w:bottom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r>
              <w:rPr>
                <w:rStyle w:val="7"/>
                <w:rFonts w:hint="eastAsia" w:asciiTheme="minorEastAsia" w:hAnsiTheme="minorEastAsia" w:eastAsiaTheme="minorEastAsia" w:cstheme="minorEastAsia"/>
                <w:color w:val="auto"/>
                <w:sz w:val="21"/>
                <w:szCs w:val="21"/>
                <w:highlight w:val="none"/>
                <w:shd w:val="clear" w:color="auto" w:fill="auto"/>
                <w:lang w:val="en-US"/>
              </w:rPr>
              <w:t>总计（含税，元）</w:t>
            </w:r>
          </w:p>
        </w:tc>
        <w:tc>
          <w:tcPr>
            <w:tcW w:w="1524" w:type="dxa"/>
            <w:tcBorders>
              <w:top w:val="single" w:color="auto" w:sz="4" w:space="0"/>
              <w:left w:val="single" w:color="auto" w:sz="4" w:space="0"/>
              <w:bottom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lang w:eastAsia="zh-CN"/>
              </w:rPr>
            </w:pPr>
          </w:p>
        </w:tc>
        <w:tc>
          <w:tcPr>
            <w:tcW w:w="1182"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Theme="minorEastAsia" w:hAnsiTheme="minorEastAsia" w:eastAsiaTheme="minorEastAsia" w:cstheme="minorEastAsia"/>
                <w:color w:val="auto"/>
                <w:sz w:val="21"/>
                <w:szCs w:val="21"/>
                <w:highlight w:val="none"/>
                <w:shd w:val="clear" w:color="auto" w:fill="auto"/>
                <w:lang w:val="en-US" w:eastAsia="zh-CN"/>
              </w:rPr>
              <w:t>/</w:t>
            </w:r>
          </w:p>
        </w:tc>
        <w:tc>
          <w:tcPr>
            <w:tcW w:w="3727"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6"/>
              <w:shd w:val="clear" w:color="auto" w:fill="auto"/>
              <w:spacing w:before="0" w:after="0" w:line="240" w:lineRule="auto"/>
              <w:jc w:val="center"/>
              <w:rPr>
                <w:rFonts w:hint="eastAsia" w:asciiTheme="minorEastAsia" w:hAnsiTheme="minorEastAsia" w:eastAsiaTheme="minorEastAsia" w:cstheme="minorEastAsia"/>
                <w:color w:val="auto"/>
                <w:sz w:val="21"/>
                <w:szCs w:val="21"/>
                <w:highlight w:val="none"/>
                <w:shd w:val="clear" w:color="auto" w:fill="auto"/>
              </w:rPr>
            </w:pPr>
          </w:p>
        </w:tc>
      </w:tr>
      <w:tr>
        <w:tblPrEx>
          <w:tblCellMar>
            <w:top w:w="0" w:type="dxa"/>
            <w:left w:w="0" w:type="dxa"/>
            <w:bottom w:w="0" w:type="dxa"/>
            <w:right w:w="0" w:type="dxa"/>
          </w:tblCellMar>
        </w:tblPrEx>
        <w:trPr>
          <w:trHeight w:val="1469" w:hRule="exact"/>
        </w:trPr>
        <w:tc>
          <w:tcPr>
            <w:tcW w:w="806" w:type="dxa"/>
            <w:tcBorders>
              <w:top w:val="single" w:color="auto" w:sz="4" w:space="0"/>
              <w:left w:val="single" w:color="auto" w:sz="4" w:space="0"/>
              <w:bottom w:val="single" w:color="auto" w:sz="4" w:space="0"/>
            </w:tcBorders>
            <w:shd w:val="clear" w:color="auto" w:fill="FFFFFF"/>
            <w:vAlign w:val="center"/>
          </w:tcPr>
          <w:p>
            <w:pPr>
              <w:pStyle w:val="6"/>
              <w:shd w:val="clear" w:color="auto" w:fill="auto"/>
              <w:spacing w:before="0" w:after="0" w:line="240" w:lineRule="auto"/>
              <w:jc w:val="center"/>
              <w:rPr>
                <w:rStyle w:val="7"/>
                <w:rFonts w:hint="eastAsia" w:asciiTheme="minorEastAsia" w:hAnsiTheme="minorEastAsia" w:eastAsiaTheme="minorEastAsia" w:cstheme="minorEastAsia"/>
                <w:color w:val="auto"/>
                <w:sz w:val="21"/>
                <w:szCs w:val="21"/>
                <w:highlight w:val="none"/>
                <w:shd w:val="clear" w:color="auto" w:fill="auto"/>
                <w:lang w:val="en-US"/>
              </w:rPr>
            </w:pPr>
            <w:r>
              <w:rPr>
                <w:rStyle w:val="7"/>
                <w:rFonts w:hint="eastAsia" w:asciiTheme="minorEastAsia" w:hAnsiTheme="minorEastAsia" w:eastAsiaTheme="minorEastAsia" w:cstheme="minorEastAsia"/>
                <w:color w:val="auto"/>
                <w:sz w:val="21"/>
                <w:szCs w:val="21"/>
                <w:highlight w:val="none"/>
                <w:shd w:val="clear" w:color="auto" w:fill="auto"/>
                <w:lang w:val="en-US"/>
              </w:rPr>
              <w:t>总体</w:t>
            </w:r>
          </w:p>
          <w:p>
            <w:pPr>
              <w:pStyle w:val="6"/>
              <w:shd w:val="clear" w:color="auto" w:fill="auto"/>
              <w:spacing w:before="0" w:after="0" w:line="240" w:lineRule="auto"/>
              <w:jc w:val="center"/>
              <w:rPr>
                <w:rStyle w:val="7"/>
                <w:rFonts w:hint="default" w:asciiTheme="minorEastAsia" w:hAnsiTheme="minorEastAsia" w:eastAsiaTheme="minorEastAsia" w:cstheme="minorEastAsia"/>
                <w:color w:val="auto"/>
                <w:sz w:val="21"/>
                <w:szCs w:val="21"/>
                <w:highlight w:val="none"/>
                <w:shd w:val="clear" w:color="auto" w:fill="auto"/>
                <w:lang w:val="en-US"/>
              </w:rPr>
            </w:pPr>
            <w:r>
              <w:rPr>
                <w:rStyle w:val="7"/>
                <w:rFonts w:hint="eastAsia" w:asciiTheme="minorEastAsia" w:hAnsiTheme="minorEastAsia" w:eastAsiaTheme="minorEastAsia" w:cstheme="minorEastAsia"/>
                <w:color w:val="auto"/>
                <w:sz w:val="21"/>
                <w:szCs w:val="21"/>
                <w:highlight w:val="none"/>
                <w:shd w:val="clear" w:color="auto" w:fill="auto"/>
                <w:lang w:val="en-US"/>
              </w:rPr>
              <w:t>要求</w:t>
            </w:r>
          </w:p>
        </w:tc>
        <w:tc>
          <w:tcPr>
            <w:tcW w:w="12900" w:type="dxa"/>
            <w:gridSpan w:val="7"/>
            <w:tcBorders>
              <w:top w:val="single" w:color="auto" w:sz="4" w:space="0"/>
              <w:left w:val="single" w:color="auto" w:sz="4" w:space="0"/>
              <w:bottom w:val="single" w:color="auto" w:sz="4" w:space="0"/>
              <w:right w:val="single" w:color="auto" w:sz="4" w:space="0"/>
            </w:tcBorders>
            <w:shd w:val="clear" w:color="auto" w:fill="FFFFFF"/>
            <w:vAlign w:val="center"/>
          </w:tcPr>
          <w:p>
            <w:pPr>
              <w:pStyle w:val="2"/>
              <w:keepNext w:val="0"/>
              <w:keepLines w:val="0"/>
              <w:pageBreakBefore w:val="0"/>
              <w:widowControl w:val="0"/>
              <w:numPr>
                <w:ilvl w:val="0"/>
                <w:numId w:val="1"/>
              </w:numPr>
              <w:kinsoku/>
              <w:wordWrap/>
              <w:overflowPunct/>
              <w:topLinePunct w:val="0"/>
              <w:autoSpaceDE/>
              <w:autoSpaceDN/>
              <w:bidi w:val="0"/>
              <w:adjustRightInd/>
              <w:snapToGrid/>
              <w:spacing w:after="0" w:line="240" w:lineRule="auto"/>
              <w:ind w:left="105" w:leftChars="50" w:right="105" w:rightChars="50"/>
              <w:jc w:val="left"/>
              <w:textAlignment w:val="auto"/>
              <w:rPr>
                <w:rFonts w:hint="default"/>
                <w:lang w:val="en-US" w:eastAsia="zh-CN"/>
              </w:rPr>
            </w:pPr>
            <w:r>
              <w:rPr>
                <w:rFonts w:hint="eastAsia"/>
                <w:lang w:val="en-US" w:eastAsia="zh-CN"/>
              </w:rPr>
              <w:t>对海蓄公司生产区域、非生产区域原有的设备（如数字中继光端机、路由器/交换机、调制解调器/光猫、防火墙、传输线路等）进行更新换代，保证硬件设备性能达到项目要求。</w:t>
            </w:r>
          </w:p>
          <w:p>
            <w:pPr>
              <w:pStyle w:val="2"/>
              <w:keepNext w:val="0"/>
              <w:keepLines w:val="0"/>
              <w:pageBreakBefore w:val="0"/>
              <w:widowControl w:val="0"/>
              <w:numPr>
                <w:ilvl w:val="0"/>
                <w:numId w:val="1"/>
              </w:numPr>
              <w:kinsoku/>
              <w:wordWrap/>
              <w:overflowPunct/>
              <w:topLinePunct w:val="0"/>
              <w:autoSpaceDE/>
              <w:autoSpaceDN/>
              <w:bidi w:val="0"/>
              <w:adjustRightInd/>
              <w:snapToGrid/>
              <w:spacing w:after="0" w:line="240" w:lineRule="auto"/>
              <w:ind w:left="105" w:leftChars="50" w:right="105" w:rightChars="50"/>
              <w:jc w:val="left"/>
              <w:textAlignment w:val="auto"/>
              <w:rPr>
                <w:rFonts w:hint="default"/>
                <w:lang w:val="en-US" w:eastAsia="zh-CN"/>
              </w:rPr>
            </w:pPr>
            <w:r>
              <w:rPr>
                <w:rFonts w:hint="eastAsia"/>
                <w:lang w:val="en-US" w:eastAsia="zh-CN"/>
              </w:rPr>
              <w:t>为海蓄公司生产区域、非生产区域内无信号覆盖或信号覆盖较弱区域提供手机通信服务或信号加强服务。</w:t>
            </w:r>
          </w:p>
          <w:p>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05" w:leftChars="50" w:right="105" w:rightChars="50"/>
              <w:jc w:val="left"/>
              <w:textAlignment w:val="auto"/>
              <w:rPr>
                <w:rFonts w:hint="eastAsia" w:ascii="Times New Roman" w:hAnsi="Times New Roman" w:eastAsia="宋体" w:cs="Times New Roman"/>
                <w:b w:val="0"/>
                <w:bCs w:val="0"/>
                <w:kern w:val="2"/>
                <w:position w:val="0"/>
                <w:sz w:val="21"/>
                <w:szCs w:val="24"/>
                <w:lang w:val="en-US" w:eastAsia="zh-CN" w:bidi="ar-SA"/>
              </w:rPr>
            </w:pPr>
            <w:r>
              <w:rPr>
                <w:rFonts w:hint="eastAsia" w:ascii="Times New Roman" w:hAnsi="Times New Roman" w:eastAsia="宋体" w:cs="Times New Roman"/>
                <w:b w:val="0"/>
                <w:bCs w:val="0"/>
                <w:kern w:val="2"/>
                <w:position w:val="0"/>
                <w:sz w:val="21"/>
                <w:szCs w:val="24"/>
                <w:lang w:val="en-US" w:eastAsia="zh-CN" w:bidi="ar-SA"/>
              </w:rPr>
              <w:t>3、当海蓄公司更换办公地点时，通信通道运营商在服务有效期内应免费为海蓄公司提供通道迁移服务。</w:t>
            </w:r>
          </w:p>
        </w:tc>
      </w:tr>
    </w:tbl>
    <w:p>
      <w:pPr>
        <w:spacing w:line="240" w:lineRule="auto"/>
        <w:rPr>
          <w:rFonts w:hint="eastAsia" w:asciiTheme="minorEastAsia" w:hAnsiTheme="minorEastAsia" w:eastAsiaTheme="minorEastAsia" w:cstheme="minorEastAsia"/>
          <w:sz w:val="21"/>
          <w:szCs w:val="21"/>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D92D22"/>
    <w:multiLevelType w:val="singleLevel"/>
    <w:tmpl w:val="3DD92D2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F703F9"/>
    <w:rsid w:val="03FF2F58"/>
    <w:rsid w:val="050805BB"/>
    <w:rsid w:val="057C23D2"/>
    <w:rsid w:val="05C41034"/>
    <w:rsid w:val="0FAD7335"/>
    <w:rsid w:val="143C7CA1"/>
    <w:rsid w:val="14F703F9"/>
    <w:rsid w:val="16872A06"/>
    <w:rsid w:val="1E2939BF"/>
    <w:rsid w:val="20783AA6"/>
    <w:rsid w:val="25F34DFB"/>
    <w:rsid w:val="2C0069E2"/>
    <w:rsid w:val="2C2D16A9"/>
    <w:rsid w:val="30A4518B"/>
    <w:rsid w:val="325C61D3"/>
    <w:rsid w:val="37352C9B"/>
    <w:rsid w:val="3E18333B"/>
    <w:rsid w:val="3FE37269"/>
    <w:rsid w:val="428029B9"/>
    <w:rsid w:val="47F05734"/>
    <w:rsid w:val="4A422AC2"/>
    <w:rsid w:val="4C2D6F06"/>
    <w:rsid w:val="548062A4"/>
    <w:rsid w:val="55881AE8"/>
    <w:rsid w:val="595C4DBD"/>
    <w:rsid w:val="5AC558FB"/>
    <w:rsid w:val="62B70561"/>
    <w:rsid w:val="64CF03A2"/>
    <w:rsid w:val="66E85CE7"/>
    <w:rsid w:val="6AFB015B"/>
    <w:rsid w:val="75A960A2"/>
    <w:rsid w:val="77ED0443"/>
    <w:rsid w:val="7E9B34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customStyle="1" w:styleId="6">
    <w:name w:val="Body text|22"/>
    <w:basedOn w:val="1"/>
    <w:link w:val="8"/>
    <w:qFormat/>
    <w:uiPriority w:val="0"/>
    <w:pPr>
      <w:shd w:val="clear" w:color="auto" w:fill="FFFFFF"/>
      <w:spacing w:before="480" w:after="480" w:line="418" w:lineRule="exact"/>
    </w:pPr>
    <w:rPr>
      <w:rFonts w:ascii="PMingLiU" w:hAnsi="PMingLiU" w:eastAsia="PMingLiU" w:cs="PMingLiU"/>
      <w:spacing w:val="20"/>
      <w:sz w:val="26"/>
      <w:szCs w:val="26"/>
    </w:rPr>
  </w:style>
  <w:style w:type="character" w:customStyle="1" w:styleId="7">
    <w:name w:val="Body text|2"/>
    <w:basedOn w:val="8"/>
    <w:unhideWhenUsed/>
    <w:qFormat/>
    <w:uiPriority w:val="0"/>
    <w:rPr>
      <w:rFonts w:ascii="PMingLiU" w:hAnsi="PMingLiU" w:eastAsia="PMingLiU" w:cs="PMingLiU"/>
      <w:color w:val="000000"/>
      <w:spacing w:val="20"/>
      <w:w w:val="100"/>
      <w:position w:val="0"/>
      <w:sz w:val="26"/>
      <w:szCs w:val="26"/>
      <w:u w:val="none"/>
      <w:lang w:val="zh-CN" w:eastAsia="zh-CN" w:bidi="zh-CN"/>
    </w:rPr>
  </w:style>
  <w:style w:type="character" w:customStyle="1" w:styleId="8">
    <w:name w:val="Body text|2_"/>
    <w:basedOn w:val="5"/>
    <w:link w:val="6"/>
    <w:qFormat/>
    <w:uiPriority w:val="0"/>
    <w:rPr>
      <w:rFonts w:ascii="PMingLiU" w:hAnsi="PMingLiU" w:eastAsia="PMingLiU" w:cs="PMingLiU"/>
      <w:spacing w:val="20"/>
      <w:sz w:val="26"/>
      <w:szCs w:val="26"/>
    </w:rPr>
  </w:style>
  <w:style w:type="character" w:customStyle="1" w:styleId="9">
    <w:name w:val="font01"/>
    <w:basedOn w:val="5"/>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2022-11-08T06:01:00Z</dcterms:created>
  <dc:creator>875DD15ABDA249BA9FDFF9627FDCC87B</dc:creator>
  <cp:lastModifiedBy>罗夏华</cp:lastModifiedBy>
  <dcterms:modified xsi:type="dcterms:W3CDTF">2025-12-12T00:52:05Z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791DA254FE8842708FBBCB2F40C7F4DF</vt:lpwstr>
  </property>
</Properties>
</file>