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left="-165" w:leftChars="-540" w:hanging="1131" w:hangingChars="256"/>
        <w:jc w:val="center"/>
        <w:rPr>
          <w:rFonts w:hint="eastAsia" w:ascii="黑体" w:hAnsi="黑体" w:eastAsia="黑体" w:cs="黑体"/>
          <w:b/>
          <w:color w:val="auto"/>
          <w:sz w:val="44"/>
          <w:highlight w:val="none"/>
        </w:rPr>
      </w:pPr>
      <w:r>
        <w:rPr>
          <w:rFonts w:hint="eastAsia" w:ascii="黑体" w:hAnsi="黑体" w:eastAsia="黑体" w:cs="黑体"/>
          <w:b/>
          <w:color w:val="auto"/>
          <w:sz w:val="44"/>
          <w:highlight w:val="none"/>
        </w:rPr>
        <w:drawing>
          <wp:anchor distT="0" distB="0" distL="114300" distR="114300" simplePos="0" relativeHeight="251659264" behindDoc="1" locked="0" layoutInCell="1" allowOverlap="1">
            <wp:simplePos x="0" y="0"/>
            <wp:positionH relativeFrom="column">
              <wp:posOffset>-521970</wp:posOffset>
            </wp:positionH>
            <wp:positionV relativeFrom="paragraph">
              <wp:posOffset>-997585</wp:posOffset>
            </wp:positionV>
            <wp:extent cx="7683500" cy="6129655"/>
            <wp:effectExtent l="0" t="0" r="12700" b="4445"/>
            <wp:wrapNone/>
            <wp:docPr id="1" name="图片 2" descr="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文件封面"/>
                    <pic:cNvPicPr>
                      <a:picLocks noChangeAspect="1"/>
                    </pic:cNvPicPr>
                  </pic:nvPicPr>
                  <pic:blipFill>
                    <a:blip r:embed="rId5"/>
                    <a:stretch>
                      <a:fillRect/>
                    </a:stretch>
                  </pic:blipFill>
                  <pic:spPr>
                    <a:xfrm>
                      <a:off x="0" y="0"/>
                      <a:ext cx="7683500" cy="6129655"/>
                    </a:xfrm>
                    <a:prstGeom prst="rect">
                      <a:avLst/>
                    </a:prstGeom>
                    <a:noFill/>
                    <a:ln>
                      <a:noFill/>
                    </a:ln>
                  </pic:spPr>
                </pic:pic>
              </a:graphicData>
            </a:graphic>
          </wp:anchor>
        </w:drawing>
      </w:r>
    </w:p>
    <w:p>
      <w:pPr>
        <w:spacing w:line="360" w:lineRule="auto"/>
        <w:ind w:left="-165" w:leftChars="-540" w:hanging="1131" w:hangingChars="256"/>
        <w:jc w:val="center"/>
        <w:rPr>
          <w:rFonts w:hint="eastAsia" w:ascii="黑体" w:hAnsi="黑体" w:eastAsia="黑体" w:cs="黑体"/>
          <w:b/>
          <w:color w:val="auto"/>
          <w:sz w:val="44"/>
          <w:highlight w:val="none"/>
        </w:rPr>
      </w:pPr>
    </w:p>
    <w:p>
      <w:pPr>
        <w:spacing w:line="360" w:lineRule="auto"/>
        <w:ind w:firstLine="561" w:firstLineChars="127"/>
        <w:jc w:val="center"/>
        <w:rPr>
          <w:rFonts w:hint="eastAsia" w:ascii="黑体" w:hAnsi="黑体" w:eastAsia="黑体" w:cs="黑体"/>
          <w:b/>
          <w:color w:val="auto"/>
          <w:sz w:val="44"/>
          <w:highlight w:val="none"/>
        </w:rPr>
      </w:pPr>
    </w:p>
    <w:p>
      <w:pPr>
        <w:spacing w:line="360" w:lineRule="auto"/>
        <w:ind w:firstLine="561" w:firstLineChars="127"/>
        <w:jc w:val="center"/>
        <w:rPr>
          <w:rFonts w:hint="eastAsia" w:ascii="黑体" w:hAnsi="黑体" w:eastAsia="黑体" w:cs="黑体"/>
          <w:b/>
          <w:color w:val="auto"/>
          <w:sz w:val="44"/>
          <w:highlight w:val="none"/>
        </w:rPr>
      </w:pPr>
    </w:p>
    <w:p>
      <w:pPr>
        <w:spacing w:line="360" w:lineRule="auto"/>
        <w:ind w:firstLine="561" w:firstLineChars="127"/>
        <w:jc w:val="center"/>
        <w:rPr>
          <w:rFonts w:hint="eastAsia" w:ascii="黑体" w:hAnsi="黑体" w:eastAsia="黑体" w:cs="黑体"/>
          <w:b/>
          <w:color w:val="auto"/>
          <w:sz w:val="44"/>
          <w:highlight w:val="none"/>
        </w:rPr>
      </w:pPr>
    </w:p>
    <w:p>
      <w:pPr>
        <w:spacing w:line="360" w:lineRule="auto"/>
        <w:ind w:firstLine="191" w:firstLineChars="127"/>
        <w:jc w:val="center"/>
        <w:rPr>
          <w:rFonts w:hint="eastAsia" w:ascii="黑体" w:hAnsi="黑体" w:eastAsia="黑体" w:cs="黑体"/>
          <w:b/>
          <w:color w:val="auto"/>
          <w:sz w:val="15"/>
          <w:szCs w:val="15"/>
          <w:highlight w:val="none"/>
        </w:rPr>
      </w:pP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default"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eastAsia="zh-CN"/>
        </w:rPr>
        <w:t>玉林供电局</w:t>
      </w:r>
      <w:r>
        <w:rPr>
          <w:rFonts w:hint="eastAsia" w:ascii="黑体" w:hAnsi="黑体" w:eastAsia="黑体" w:cs="黑体"/>
          <w:b/>
          <w:color w:val="auto"/>
          <w:sz w:val="44"/>
          <w:szCs w:val="44"/>
          <w:highlight w:val="none"/>
          <w:lang w:val="en-US" w:eastAsia="zh-CN"/>
        </w:rPr>
        <w:t>应急装备</w:t>
      </w:r>
      <w:r>
        <w:rPr>
          <w:rFonts w:hint="eastAsia" w:ascii="黑体" w:hAnsi="黑体" w:eastAsia="黑体" w:cs="黑体"/>
          <w:b/>
          <w:color w:val="auto"/>
          <w:sz w:val="44"/>
          <w:szCs w:val="44"/>
          <w:highlight w:val="none"/>
          <w:lang w:eastAsia="zh-CN"/>
        </w:rPr>
        <w:t>技术规范</w:t>
      </w:r>
      <w:r>
        <w:rPr>
          <w:rFonts w:hint="eastAsia" w:ascii="黑体" w:hAnsi="黑体" w:eastAsia="黑体" w:cs="黑体"/>
          <w:b/>
          <w:color w:val="auto"/>
          <w:sz w:val="44"/>
          <w:szCs w:val="44"/>
          <w:highlight w:val="none"/>
          <w:lang w:val="en-US" w:eastAsia="zh-CN"/>
        </w:rPr>
        <w:t>书（2025年）</w:t>
      </w: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黑体" w:hAnsi="黑体" w:eastAsia="黑体" w:cs="黑体"/>
          <w:b/>
          <w:color w:val="auto"/>
          <w:sz w:val="44"/>
          <w:szCs w:val="44"/>
          <w:highlight w:val="none"/>
          <w:lang w:eastAsia="zh-CN"/>
        </w:rPr>
      </w:pPr>
    </w:p>
    <w:p>
      <w:pPr>
        <w:spacing w:line="580" w:lineRule="exact"/>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ind w:firstLine="6505" w:firstLineChars="1800"/>
        <w:rPr>
          <w:rFonts w:hint="eastAsia" w:ascii="黑体" w:hAnsi="黑体" w:eastAsia="黑体" w:cs="黑体"/>
          <w:b/>
          <w:color w:val="auto"/>
          <w:sz w:val="36"/>
          <w:szCs w:val="36"/>
          <w:highlight w:val="none"/>
        </w:rPr>
      </w:pPr>
    </w:p>
    <w:p>
      <w:pPr>
        <w:spacing w:line="580" w:lineRule="exact"/>
        <w:jc w:val="center"/>
        <w:rPr>
          <w:rFonts w:hint="eastAsia" w:ascii="黑体" w:hAnsi="黑体" w:eastAsia="黑体" w:cs="黑体"/>
          <w:b/>
          <w:color w:val="auto"/>
          <w:sz w:val="36"/>
          <w:szCs w:val="36"/>
          <w:highlight w:val="none"/>
        </w:rPr>
      </w:pPr>
    </w:p>
    <w:p>
      <w:pPr>
        <w:spacing w:line="580" w:lineRule="exact"/>
        <w:jc w:val="center"/>
        <w:rPr>
          <w:rFonts w:hint="eastAsia" w:ascii="黑体" w:hAnsi="黑体" w:eastAsia="黑体" w:cs="黑体"/>
          <w:b/>
          <w:color w:val="auto"/>
          <w:sz w:val="36"/>
          <w:szCs w:val="36"/>
          <w:highlight w:val="none"/>
        </w:rPr>
      </w:pPr>
    </w:p>
    <w:p>
      <w:pPr>
        <w:spacing w:line="580" w:lineRule="exact"/>
        <w:jc w:val="center"/>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val="en-US" w:eastAsia="zh-CN"/>
        </w:rPr>
        <w:t xml:space="preserve"> </w:t>
      </w:r>
      <w:r>
        <w:rPr>
          <w:rFonts w:hint="eastAsia" w:ascii="黑体" w:hAnsi="黑体" w:eastAsia="黑体" w:cs="黑体"/>
          <w:b/>
          <w:color w:val="auto"/>
          <w:sz w:val="36"/>
          <w:szCs w:val="36"/>
          <w:highlight w:val="none"/>
          <w:lang w:eastAsia="zh-CN"/>
        </w:rPr>
        <w:t>玉林供电局</w:t>
      </w:r>
    </w:p>
    <w:p>
      <w:pPr>
        <w:spacing w:line="58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  </w:t>
      </w:r>
      <w:r>
        <w:rPr>
          <w:rFonts w:hint="eastAsia" w:ascii="黑体" w:hAnsi="黑体" w:eastAsia="黑体" w:cs="黑体"/>
          <w:b/>
          <w:color w:val="auto"/>
          <w:sz w:val="36"/>
          <w:szCs w:val="36"/>
          <w:highlight w:val="none"/>
        </w:rPr>
        <w:t>20</w:t>
      </w:r>
      <w:r>
        <w:rPr>
          <w:rFonts w:hint="eastAsia" w:ascii="黑体" w:hAnsi="黑体" w:eastAsia="黑体" w:cs="黑体"/>
          <w:b/>
          <w:color w:val="auto"/>
          <w:sz w:val="36"/>
          <w:szCs w:val="36"/>
          <w:highlight w:val="none"/>
          <w:lang w:val="en-US" w:eastAsia="zh-CN"/>
        </w:rPr>
        <w:t>25</w:t>
      </w:r>
      <w:r>
        <w:rPr>
          <w:rFonts w:hint="eastAsia" w:ascii="黑体" w:hAnsi="黑体" w:eastAsia="黑体" w:cs="黑体"/>
          <w:b/>
          <w:color w:val="auto"/>
          <w:sz w:val="36"/>
          <w:szCs w:val="36"/>
          <w:highlight w:val="none"/>
        </w:rPr>
        <w:t>年</w:t>
      </w:r>
      <w:r>
        <w:rPr>
          <w:rFonts w:hint="eastAsia" w:ascii="黑体" w:hAnsi="黑体" w:eastAsia="黑体" w:cs="黑体"/>
          <w:b/>
          <w:color w:val="auto"/>
          <w:sz w:val="36"/>
          <w:szCs w:val="36"/>
          <w:highlight w:val="none"/>
          <w:lang w:val="en-US" w:eastAsia="zh-CN"/>
        </w:rPr>
        <w:t>11</w:t>
      </w:r>
      <w:r>
        <w:rPr>
          <w:rFonts w:hint="eastAsia" w:ascii="黑体" w:hAnsi="黑体" w:eastAsia="黑体" w:cs="黑体"/>
          <w:b/>
          <w:color w:val="auto"/>
          <w:sz w:val="36"/>
          <w:szCs w:val="36"/>
          <w:highlight w:val="none"/>
        </w:rPr>
        <w:t>月</w:t>
      </w: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宋体" w:hAnsi="宋体" w:eastAsia="宋体" w:cs="宋体"/>
          <w:bCs/>
          <w:color w:val="auto"/>
          <w:sz w:val="44"/>
          <w:szCs w:val="44"/>
          <w:highlight w:val="none"/>
        </w:rPr>
      </w:pP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宋体" w:hAnsi="宋体" w:eastAsia="宋体" w:cs="宋体"/>
          <w:bCs/>
          <w:color w:val="auto"/>
          <w:sz w:val="44"/>
          <w:szCs w:val="44"/>
          <w:highlight w:val="none"/>
        </w:rPr>
        <w:sectPr>
          <w:pgSz w:w="11906" w:h="16838"/>
          <w:pgMar w:top="1247" w:right="1077" w:bottom="1247" w:left="1077" w:header="851" w:footer="992" w:gutter="0"/>
          <w:cols w:space="720" w:num="1"/>
          <w:docGrid w:type="lines" w:linePitch="312" w:charSpace="0"/>
        </w:sectPr>
      </w:pPr>
    </w:p>
    <w:p>
      <w:pPr>
        <w:pStyle w:val="10"/>
        <w:rPr>
          <w:rFonts w:hint="eastAsia"/>
          <w:color w:val="auto"/>
          <w:highlight w:val="none"/>
        </w:rPr>
      </w:pPr>
    </w:p>
    <w:p>
      <w:pPr>
        <w:pStyle w:val="5"/>
        <w:pageBreakBefore w:val="0"/>
        <w:kinsoku/>
        <w:wordWrap/>
        <w:overflowPunct/>
        <w:topLinePunct w:val="0"/>
        <w:bidi w:val="0"/>
        <w:spacing w:before="0" w:beforeLines="0" w:beforeAutospacing="0" w:after="0" w:afterLines="0" w:afterAutospacing="0" w:line="580" w:lineRule="exact"/>
        <w:rPr>
          <w:rFonts w:hint="eastAsia" w:ascii="仿宋_GB2312" w:hAnsi="仿宋_GB2312" w:eastAsia="仿宋_GB2312" w:cs="仿宋_GB2312"/>
          <w:b/>
          <w:bCs/>
          <w:color w:val="auto"/>
          <w:sz w:val="32"/>
          <w:szCs w:val="32"/>
          <w:highlight w:val="none"/>
          <w:lang w:val="en-US" w:eastAsia="zh-CN"/>
        </w:rPr>
      </w:pPr>
      <w:bookmarkStart w:id="0" w:name="_Toc14757"/>
      <w:bookmarkStart w:id="1" w:name="_Toc19490"/>
      <w:bookmarkStart w:id="2" w:name="_Toc750906946"/>
      <w:bookmarkStart w:id="3" w:name="_Toc22871"/>
      <w:bookmarkStart w:id="4" w:name="_Toc12029"/>
      <w:r>
        <w:rPr>
          <w:rFonts w:hint="eastAsia" w:ascii="仿宋_GB2312" w:hAnsi="仿宋_GB2312" w:eastAsia="仿宋_GB2312" w:cs="仿宋_GB2312"/>
          <w:b/>
          <w:bCs/>
          <w:color w:val="auto"/>
          <w:sz w:val="32"/>
          <w:szCs w:val="32"/>
          <w:highlight w:val="none"/>
          <w:lang w:val="en-US" w:eastAsia="zh-CN"/>
        </w:rPr>
        <w:t>1 总则</w:t>
      </w:r>
      <w:bookmarkEnd w:id="0"/>
      <w:bookmarkEnd w:id="1"/>
      <w:bookmarkEnd w:id="2"/>
      <w:bookmarkEnd w:id="3"/>
      <w:bookmarkEnd w:id="4"/>
    </w:p>
    <w:p>
      <w:pPr>
        <w:keepNext w:val="0"/>
        <w:keepLines w:val="0"/>
        <w:pageBreakBefore w:val="0"/>
        <w:widowControl w:val="0"/>
        <w:numPr>
          <w:ilvl w:val="1"/>
          <w:numId w:val="3"/>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本招标技术文件适用于广西电网有限责任公司采购的应急装备（包括救灾抢险制服套装、高空救援装备、水上救援服、水域头盔、抛绳救援袋、水上防护内衣、塑料船桨、木浆、护手绑带、折叠担架等，简称应急装备，下同）1套，它提出了该物资本体的功能等方面的技术要求。</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1.2 本招标技术文件提出的是最低限度的技术要求, 并未对一切技术细节做出规定, 也未充分引述有关标准和规范的条文，凡本招标技术文件中未规定，但在相关设备的行业标准、国家标准或IEC标准中有规定的规范条文，投标方应按相应标准的条文进行设备设计、制造、试验和安装。对国家有关安全、环保等强制性标准，必须满足其要求。</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1.3 如果投标方没有以书面形式对本招标技术文件的条文提出异议, 则意味着投标方提供的物资完全符合本招标技术文件的要求。如有异议, 都应在报价书中以“对招标技术文件的意见和同招标技术文件的差异”为标题的专门章节中加以详细描述。</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1.4 本招标技术文件所使用的标准如遇与投标方所执行的标准不一致时, 按较高标准执行。</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1.5 本招标技术文件经买、卖双方确认后作为订货合同的技术附件，与合同正文具有同等法律效力。</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1.6 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根据严重程度对下一批次的招评标工作中有不同程度的影响。</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1.7 投标方应在应标技术部分按本招标技术文件的要求如实详细的填写应标设备的标准配置表，并在应标商务部分按此标准配置进行报价，如发现二者有矛盾之处，将对评标工作有不同程度的影响。</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1.8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color w:val="auto"/>
          <w:sz w:val="32"/>
          <w:szCs w:val="32"/>
          <w:highlight w:val="none"/>
          <w:lang w:val="en-US" w:eastAsia="zh-CN"/>
        </w:rPr>
        <w:t>1.9 本招标技术文件未尽事宜, 由招投标双方协商确定。</w:t>
      </w:r>
    </w:p>
    <w:p>
      <w:pPr>
        <w:pStyle w:val="5"/>
        <w:pageBreakBefore w:val="0"/>
        <w:kinsoku/>
        <w:wordWrap/>
        <w:overflowPunct/>
        <w:topLinePunct w:val="0"/>
        <w:bidi w:val="0"/>
        <w:spacing w:before="0" w:beforeLines="0" w:beforeAutospacing="0" w:after="0" w:afterLines="0" w:afterAutospacing="0" w:line="580" w:lineRule="exact"/>
        <w:ind w:left="0"/>
        <w:rPr>
          <w:rFonts w:hint="eastAsia" w:ascii="仿宋_GB2312" w:hAnsi="仿宋_GB2312" w:eastAsia="仿宋_GB2312" w:cs="仿宋_GB2312"/>
          <w:b/>
          <w:bCs/>
          <w:color w:val="auto"/>
          <w:sz w:val="32"/>
          <w:szCs w:val="32"/>
          <w:highlight w:val="none"/>
          <w:lang w:val="en-US" w:eastAsia="zh-CN"/>
        </w:rPr>
      </w:pPr>
      <w:bookmarkStart w:id="5" w:name="_Toc19954"/>
      <w:bookmarkStart w:id="6" w:name="_Toc3055"/>
      <w:bookmarkStart w:id="7" w:name="_Toc30621"/>
      <w:bookmarkStart w:id="8" w:name="_Toc28918"/>
      <w:r>
        <w:rPr>
          <w:rFonts w:hint="eastAsia" w:ascii="仿宋_GB2312" w:hAnsi="仿宋_GB2312" w:eastAsia="仿宋_GB2312" w:cs="仿宋_GB2312"/>
          <w:b/>
          <w:bCs/>
          <w:color w:val="auto"/>
          <w:sz w:val="32"/>
          <w:szCs w:val="32"/>
          <w:highlight w:val="none"/>
          <w:lang w:val="en-US" w:eastAsia="zh-CN"/>
        </w:rPr>
        <w:t>2 供货范围</w:t>
      </w:r>
      <w:bookmarkEnd w:id="5"/>
      <w:bookmarkEnd w:id="6"/>
      <w:bookmarkEnd w:id="7"/>
      <w:bookmarkEnd w:id="8"/>
    </w:p>
    <w:p>
      <w:pPr>
        <w:pageBreakBefore w:val="0"/>
        <w:kinsoku/>
        <w:wordWrap/>
        <w:overflowPunct/>
        <w:topLinePunct w:val="0"/>
        <w:bidi w:val="0"/>
        <w:spacing w:beforeAutospacing="0" w:afterAutospacing="0" w:line="580" w:lineRule="exact"/>
        <w:ind w:left="0"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2.1 供货范围</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2.1.1 投标方应按本技术规范的要求提供应急装备全新的、合格的产品及其附属设备（如有）。投标方所提供的组件或附件如需向第三方外购时，投标方应对质量向招标方负责，并提供相应出厂和验收证明。</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color w:val="auto"/>
          <w:sz w:val="32"/>
          <w:szCs w:val="32"/>
          <w:highlight w:val="none"/>
        </w:rPr>
        <w:t xml:space="preserve">2.1.2 </w:t>
      </w:r>
      <w:r>
        <w:rPr>
          <w:rFonts w:hint="eastAsia" w:ascii="仿宋_GB2312" w:hAnsi="仿宋_GB2312" w:eastAsia="仿宋_GB2312" w:cs="仿宋_GB2312"/>
          <w:b w:val="0"/>
          <w:bCs/>
          <w:color w:val="auto"/>
          <w:sz w:val="32"/>
          <w:szCs w:val="32"/>
          <w:highlight w:val="none"/>
        </w:rPr>
        <w:t>供货范围一览表</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应确保供货范围完整，对于属于合同设备运行所必需的部件</w:t>
      </w:r>
      <w:r>
        <w:rPr>
          <w:rFonts w:hint="eastAsia" w:ascii="仿宋_GB2312" w:hAnsi="仿宋_GB2312" w:eastAsia="仿宋_GB2312" w:cs="仿宋_GB2312"/>
          <w:color w:val="auto"/>
          <w:sz w:val="32"/>
          <w:szCs w:val="32"/>
          <w:highlight w:val="none"/>
          <w:lang w:eastAsia="zh-CN"/>
        </w:rPr>
        <w:t>如：</w:t>
      </w:r>
      <w:r>
        <w:rPr>
          <w:rFonts w:hint="eastAsia" w:ascii="仿宋_GB2312" w:hAnsi="仿宋_GB2312" w:eastAsia="仿宋_GB2312" w:cs="仿宋_GB2312"/>
          <w:color w:val="auto"/>
          <w:sz w:val="32"/>
          <w:szCs w:val="32"/>
          <w:highlight w:val="none"/>
        </w:rPr>
        <w:t>含备品、专用工具</w:t>
      </w:r>
      <w:r>
        <w:rPr>
          <w:rFonts w:hint="eastAsia" w:ascii="仿宋_GB2312" w:hAnsi="仿宋_GB2312" w:eastAsia="仿宋_GB2312" w:cs="仿宋_GB2312"/>
          <w:color w:val="auto"/>
          <w:sz w:val="32"/>
          <w:szCs w:val="32"/>
          <w:highlight w:val="none"/>
          <w:lang w:eastAsia="zh-CN"/>
        </w:rPr>
        <w:t>（如有）</w:t>
      </w:r>
      <w:r>
        <w:rPr>
          <w:rFonts w:hint="eastAsia" w:ascii="仿宋_GB2312" w:hAnsi="仿宋_GB2312" w:eastAsia="仿宋_GB2312" w:cs="仿宋_GB2312"/>
          <w:color w:val="auto"/>
          <w:sz w:val="32"/>
          <w:szCs w:val="32"/>
          <w:highlight w:val="none"/>
        </w:rPr>
        <w:t>等，即使本供货范围未列出或数目不足，</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仍须在执行合同时补足。</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Cs/>
          <w:color w:val="auto"/>
          <w:kern w:val="0"/>
          <w:sz w:val="32"/>
          <w:szCs w:val="32"/>
          <w:highlight w:val="none"/>
        </w:rPr>
      </w:pPr>
      <w:r>
        <w:rPr>
          <w:rFonts w:hint="eastAsia" w:ascii="仿宋_GB2312" w:hAnsi="仿宋_GB2312" w:eastAsia="仿宋_GB2312" w:cs="仿宋_GB2312"/>
          <w:color w:val="auto"/>
          <w:sz w:val="32"/>
          <w:szCs w:val="32"/>
          <w:highlight w:val="none"/>
        </w:rPr>
        <w:t>项目名称：</w:t>
      </w:r>
    </w:p>
    <w:p>
      <w:pPr>
        <w:pStyle w:val="104"/>
        <w:pageBreakBefore w:val="0"/>
        <w:numPr>
          <w:ilvl w:val="0"/>
          <w:numId w:val="0"/>
        </w:numPr>
        <w:kinsoku/>
        <w:wordWrap/>
        <w:overflowPunct/>
        <w:topLinePunct w:val="0"/>
        <w:bidi w:val="0"/>
        <w:snapToGrid w:val="0"/>
        <w:spacing w:beforeAutospacing="0" w:afterAutospacing="0" w:line="580" w:lineRule="exact"/>
        <w:ind w:left="0" w:leftChars="0"/>
        <w:jc w:val="center"/>
        <w:outlineLvl w:val="9"/>
        <w:rPr>
          <w:rFonts w:hint="eastAsia" w:ascii="仿宋_GB2312" w:hAnsi="仿宋_GB2312" w:eastAsia="仿宋_GB2312" w:cs="仿宋_GB2312"/>
          <w:bCs/>
          <w:color w:val="auto"/>
          <w:kern w:val="0"/>
          <w:sz w:val="32"/>
          <w:szCs w:val="32"/>
          <w:highlight w:val="none"/>
        </w:rPr>
      </w:pPr>
      <w:r>
        <w:rPr>
          <w:rFonts w:hint="eastAsia" w:ascii="仿宋_GB2312" w:hAnsi="仿宋_GB2312" w:eastAsia="仿宋_GB2312" w:cs="仿宋_GB2312"/>
          <w:bCs/>
          <w:color w:val="auto"/>
          <w:kern w:val="0"/>
          <w:sz w:val="32"/>
          <w:szCs w:val="32"/>
          <w:highlight w:val="none"/>
          <w:lang w:val="en-US" w:eastAsia="zh-Hans"/>
        </w:rPr>
        <w:t>表</w:t>
      </w:r>
      <w:r>
        <w:rPr>
          <w:rFonts w:hint="eastAsia" w:ascii="仿宋_GB2312" w:hAnsi="仿宋_GB2312" w:eastAsia="仿宋_GB2312" w:cs="仿宋_GB2312"/>
          <w:bCs/>
          <w:color w:val="auto"/>
          <w:kern w:val="0"/>
          <w:sz w:val="32"/>
          <w:szCs w:val="32"/>
          <w:highlight w:val="none"/>
          <w:lang w:eastAsia="zh-Hans"/>
        </w:rPr>
        <w:t>2</w:t>
      </w:r>
      <w:r>
        <w:rPr>
          <w:rFonts w:hint="eastAsia" w:ascii="仿宋_GB2312" w:hAnsi="仿宋_GB2312" w:eastAsia="仿宋_GB2312" w:cs="仿宋_GB2312"/>
          <w:bCs/>
          <w:color w:val="auto"/>
          <w:kern w:val="0"/>
          <w:sz w:val="32"/>
          <w:szCs w:val="32"/>
          <w:highlight w:val="none"/>
          <w:lang w:val="en-US" w:eastAsia="zh-Hans"/>
        </w:rPr>
        <w:t>.</w:t>
      </w:r>
      <w:r>
        <w:rPr>
          <w:rFonts w:hint="eastAsia" w:ascii="仿宋_GB2312" w:hAnsi="仿宋_GB2312" w:eastAsia="仿宋_GB2312" w:cs="仿宋_GB2312"/>
          <w:bCs/>
          <w:color w:val="auto"/>
          <w:kern w:val="0"/>
          <w:sz w:val="32"/>
          <w:szCs w:val="32"/>
          <w:highlight w:val="none"/>
          <w:lang w:eastAsia="zh-Hans"/>
        </w:rPr>
        <w:t xml:space="preserve">1 </w:t>
      </w:r>
      <w:r>
        <w:rPr>
          <w:rFonts w:hint="eastAsia" w:ascii="仿宋_GB2312" w:hAnsi="仿宋_GB2312" w:eastAsia="仿宋_GB2312" w:cs="仿宋_GB2312"/>
          <w:b w:val="0"/>
          <w:bCs/>
          <w:color w:val="auto"/>
          <w:sz w:val="32"/>
          <w:szCs w:val="32"/>
          <w:highlight w:val="none"/>
          <w:lang w:val="en-US" w:eastAsia="zh-CN"/>
        </w:rPr>
        <w:t>应急装备</w:t>
      </w:r>
      <w:r>
        <w:rPr>
          <w:rFonts w:hint="eastAsia" w:ascii="仿宋_GB2312" w:hAnsi="仿宋_GB2312" w:eastAsia="仿宋_GB2312" w:cs="仿宋_GB2312"/>
          <w:color w:val="auto"/>
          <w:sz w:val="32"/>
          <w:szCs w:val="32"/>
          <w:highlight w:val="none"/>
          <w:lang w:eastAsia="zh-CN"/>
        </w:rPr>
        <w:t>物资供货范围一览表</w:t>
      </w:r>
    </w:p>
    <w:tbl>
      <w:tblPr>
        <w:tblStyle w:val="22"/>
        <w:tblW w:w="11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2014"/>
        <w:gridCol w:w="4357"/>
        <w:gridCol w:w="933"/>
        <w:gridCol w:w="933"/>
        <w:gridCol w:w="1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sz w:val="32"/>
                <w:szCs w:val="32"/>
                <w:highlight w:val="none"/>
              </w:rPr>
            </w:pPr>
            <w:r>
              <w:rPr>
                <w:rFonts w:hint="eastAsia" w:ascii="仿宋_GB2312" w:hAnsi="仿宋_GB2312" w:eastAsia="仿宋_GB2312" w:cs="仿宋_GB2312"/>
                <w:b/>
                <w:bCs w:val="0"/>
                <w:color w:val="auto"/>
                <w:kern w:val="0"/>
                <w:sz w:val="32"/>
                <w:szCs w:val="32"/>
                <w:highlight w:val="none"/>
                <w:lang w:bidi="ar"/>
              </w:rPr>
              <w:t>序号</w:t>
            </w:r>
          </w:p>
        </w:tc>
        <w:tc>
          <w:tcPr>
            <w:tcW w:w="2014"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sz w:val="32"/>
                <w:szCs w:val="32"/>
                <w:highlight w:val="none"/>
                <w:lang w:eastAsia="zh-CN"/>
              </w:rPr>
            </w:pPr>
            <w:r>
              <w:rPr>
                <w:rFonts w:hint="eastAsia" w:ascii="仿宋_GB2312" w:hAnsi="仿宋_GB2312" w:eastAsia="仿宋_GB2312" w:cs="仿宋_GB2312"/>
                <w:b/>
                <w:bCs w:val="0"/>
                <w:color w:val="auto"/>
                <w:kern w:val="0"/>
                <w:sz w:val="32"/>
                <w:szCs w:val="32"/>
                <w:highlight w:val="none"/>
                <w:lang w:bidi="ar"/>
              </w:rPr>
              <w:t>物资</w:t>
            </w:r>
            <w:r>
              <w:rPr>
                <w:rFonts w:hint="eastAsia" w:ascii="仿宋_GB2312" w:hAnsi="仿宋_GB2312" w:eastAsia="仿宋_GB2312" w:cs="仿宋_GB2312"/>
                <w:b/>
                <w:bCs w:val="0"/>
                <w:color w:val="auto"/>
                <w:kern w:val="0"/>
                <w:sz w:val="32"/>
                <w:szCs w:val="32"/>
                <w:highlight w:val="none"/>
                <w:lang w:val="en-US" w:eastAsia="zh-CN" w:bidi="ar"/>
              </w:rPr>
              <w:t>名称</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sz w:val="32"/>
                <w:szCs w:val="32"/>
                <w:highlight w:val="none"/>
              </w:rPr>
            </w:pPr>
            <w:r>
              <w:rPr>
                <w:rFonts w:hint="eastAsia" w:ascii="仿宋_GB2312" w:hAnsi="仿宋_GB2312" w:eastAsia="仿宋_GB2312" w:cs="仿宋_GB2312"/>
                <w:b/>
                <w:bCs w:val="0"/>
                <w:color w:val="auto"/>
                <w:kern w:val="0"/>
                <w:sz w:val="32"/>
                <w:szCs w:val="32"/>
                <w:highlight w:val="none"/>
                <w:lang w:bidi="ar"/>
              </w:rPr>
              <w:t>规格型号</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sz w:val="32"/>
                <w:szCs w:val="32"/>
                <w:highlight w:val="none"/>
              </w:rPr>
            </w:pPr>
            <w:r>
              <w:rPr>
                <w:rFonts w:hint="eastAsia" w:ascii="仿宋_GB2312" w:hAnsi="仿宋_GB2312" w:eastAsia="仿宋_GB2312" w:cs="仿宋_GB2312"/>
                <w:b/>
                <w:bCs w:val="0"/>
                <w:color w:val="auto"/>
                <w:kern w:val="0"/>
                <w:sz w:val="32"/>
                <w:szCs w:val="32"/>
                <w:highlight w:val="none"/>
                <w:lang w:bidi="ar"/>
              </w:rPr>
              <w:t>单位</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kern w:val="0"/>
                <w:sz w:val="32"/>
                <w:szCs w:val="32"/>
                <w:highlight w:val="none"/>
                <w:lang w:val="en-US" w:eastAsia="zh-CN" w:bidi="ar"/>
              </w:rPr>
            </w:pPr>
            <w:r>
              <w:rPr>
                <w:rFonts w:hint="eastAsia" w:ascii="仿宋_GB2312" w:hAnsi="仿宋_GB2312" w:eastAsia="仿宋_GB2312" w:cs="仿宋_GB2312"/>
                <w:b/>
                <w:bCs w:val="0"/>
                <w:color w:val="auto"/>
                <w:kern w:val="0"/>
                <w:sz w:val="32"/>
                <w:szCs w:val="32"/>
                <w:highlight w:val="none"/>
                <w:lang w:val="en-US" w:eastAsia="zh-CN" w:bidi="ar"/>
              </w:rPr>
              <w:t>数量</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kern w:val="0"/>
                <w:sz w:val="32"/>
                <w:szCs w:val="32"/>
                <w:highlight w:val="none"/>
                <w:lang w:val="en-US" w:eastAsia="zh-CN" w:bidi="ar"/>
              </w:rPr>
            </w:pPr>
            <w:r>
              <w:rPr>
                <w:rFonts w:hint="eastAsia" w:ascii="仿宋_GB2312" w:hAnsi="仿宋_GB2312" w:eastAsia="仿宋_GB2312" w:cs="仿宋_GB2312"/>
                <w:b/>
                <w:bCs w:val="0"/>
                <w:color w:val="auto"/>
                <w:kern w:val="0"/>
                <w:sz w:val="32"/>
                <w:szCs w:val="32"/>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kern w:val="0"/>
                <w:sz w:val="32"/>
                <w:szCs w:val="32"/>
                <w:highlight w:val="none"/>
                <w:lang w:val="en-US" w:eastAsia="zh-CN" w:bidi="ar"/>
              </w:rPr>
            </w:pPr>
            <w:r>
              <w:rPr>
                <w:rFonts w:hint="eastAsia" w:ascii="仿宋_GB2312" w:hAnsi="仿宋_GB2312" w:eastAsia="仿宋_GB2312" w:cs="仿宋_GB2312"/>
                <w:b/>
                <w:bCs w:val="0"/>
                <w:color w:val="auto"/>
                <w:kern w:val="0"/>
                <w:sz w:val="32"/>
                <w:szCs w:val="32"/>
                <w:highlight w:val="none"/>
                <w:lang w:val="en-US" w:eastAsia="zh-CN" w:bidi="ar"/>
              </w:rPr>
              <w:t>1</w:t>
            </w:r>
          </w:p>
        </w:tc>
        <w:tc>
          <w:tcPr>
            <w:tcW w:w="2014"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kern w:val="0"/>
                <w:sz w:val="32"/>
                <w:szCs w:val="32"/>
                <w:highlight w:val="none"/>
                <w:lang w:eastAsia="zh-CN" w:bidi="ar"/>
              </w:rPr>
            </w:pPr>
            <w:r>
              <w:rPr>
                <w:rFonts w:hint="eastAsia" w:ascii="仿宋_GB2312" w:hAnsi="仿宋_GB2312" w:eastAsia="仿宋_GB2312" w:cs="仿宋_GB2312"/>
                <w:b/>
                <w:bCs w:val="0"/>
                <w:color w:val="auto"/>
                <w:kern w:val="0"/>
                <w:sz w:val="32"/>
                <w:szCs w:val="32"/>
                <w:highlight w:val="none"/>
                <w:lang w:eastAsia="zh-CN" w:bidi="ar"/>
              </w:rPr>
              <w:t>应急装备</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bCs w:val="0"/>
                <w:color w:val="auto"/>
                <w:kern w:val="0"/>
                <w:sz w:val="32"/>
                <w:szCs w:val="32"/>
                <w:highlight w:val="none"/>
                <w:lang w:val="en-US" w:bidi="ar"/>
              </w:rPr>
            </w:pPr>
            <w:r>
              <w:rPr>
                <w:rFonts w:hint="eastAsia" w:ascii="仿宋_GB2312" w:hAnsi="仿宋_GB2312" w:eastAsia="仿宋_GB2312" w:cs="仿宋_GB2312"/>
                <w:b w:val="0"/>
                <w:bCs/>
                <w:color w:val="auto"/>
                <w:sz w:val="32"/>
                <w:szCs w:val="32"/>
                <w:highlight w:val="none"/>
                <w:lang w:val="en-US" w:eastAsia="zh-CN"/>
              </w:rPr>
              <w:t>救灾抢险制服套装12套、高空救援装备1套、水上救援服12套、水域头盔12个、抛绳救援袋12个、水上防护内衣12套、塑料船桨12个、木浆12个、护手绑带12条、折叠担架1个。</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kern w:val="0"/>
                <w:sz w:val="32"/>
                <w:szCs w:val="32"/>
                <w:highlight w:val="none"/>
                <w:lang w:val="en-US" w:eastAsia="zh-CN" w:bidi="ar"/>
              </w:rPr>
            </w:pPr>
            <w:r>
              <w:rPr>
                <w:rFonts w:hint="eastAsia" w:ascii="仿宋_GB2312" w:hAnsi="仿宋_GB2312" w:eastAsia="仿宋_GB2312" w:cs="仿宋_GB2312"/>
                <w:b/>
                <w:bCs w:val="0"/>
                <w:color w:val="auto"/>
                <w:kern w:val="0"/>
                <w:sz w:val="32"/>
                <w:szCs w:val="32"/>
                <w:highlight w:val="none"/>
                <w:lang w:val="en-US" w:eastAsia="zh-CN" w:bidi="ar"/>
              </w:rPr>
              <w:t>套</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bCs w:val="0"/>
                <w:color w:val="auto"/>
                <w:kern w:val="0"/>
                <w:sz w:val="32"/>
                <w:szCs w:val="32"/>
                <w:highlight w:val="none"/>
                <w:lang w:val="en-US" w:eastAsia="zh-CN" w:bidi="ar"/>
              </w:rPr>
            </w:pPr>
            <w:r>
              <w:rPr>
                <w:rFonts w:hint="eastAsia" w:ascii="仿宋_GB2312" w:hAnsi="仿宋_GB2312" w:eastAsia="仿宋_GB2312" w:cs="仿宋_GB2312"/>
                <w:b/>
                <w:bCs w:val="0"/>
                <w:color w:val="auto"/>
                <w:kern w:val="0"/>
                <w:sz w:val="32"/>
                <w:szCs w:val="32"/>
                <w:highlight w:val="none"/>
                <w:lang w:val="en-US" w:eastAsia="zh-CN" w:bidi="ar"/>
              </w:rPr>
              <w:t>1</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bCs w:val="0"/>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default"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rPr>
              <w:t>1</w:t>
            </w:r>
            <w:r>
              <w:rPr>
                <w:rFonts w:hint="eastAsia" w:ascii="仿宋_GB2312" w:hAnsi="仿宋_GB2312" w:eastAsia="仿宋_GB2312" w:cs="仿宋_GB2312"/>
                <w:b w:val="0"/>
                <w:bCs/>
                <w:color w:val="auto"/>
                <w:sz w:val="32"/>
                <w:szCs w:val="32"/>
                <w:highlight w:val="none"/>
                <w:lang w:val="en-US" w:eastAsia="zh-CN"/>
              </w:rPr>
              <w:t>.1</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救灾抢险制服套装</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both"/>
              <w:textAlignment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应急抢险救援服（夏装，高效阻燃）</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sz w:val="32"/>
                <w:szCs w:val="32"/>
                <w:highlight w:val="none"/>
                <w:lang w:eastAsia="zh-CN"/>
              </w:rPr>
            </w:pPr>
            <w:r>
              <w:rPr>
                <w:rFonts w:hint="eastAsia" w:ascii="仿宋_GB2312" w:hAnsi="仿宋_GB2312" w:eastAsia="仿宋_GB2312" w:cs="仿宋_GB2312"/>
                <w:b w:val="0"/>
                <w:bCs/>
                <w:color w:val="auto"/>
                <w:kern w:val="0"/>
                <w:sz w:val="32"/>
                <w:szCs w:val="32"/>
                <w:highlight w:val="none"/>
                <w:lang w:eastAsia="zh-CN" w:bidi="ar"/>
              </w:rPr>
              <w:t>套</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1.2</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高空救援装备</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单滑轮2个、60CM扁带4条、120CM扁带3条、8孔分力板1个、O型主锁15个、静力绳（10.5MM*30M）1条、静力绳（10.5MM*50M）1条、RD2下降器2个、止坠器1个</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套</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1.3</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水上救援服</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200N大浮力消防水域救援马甲</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套</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1.4</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水域头盔</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水域救援头盔</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个</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1.5</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抛绳救援袋</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救援抛投反光逃生绳袋，绳包内装 8毫米21米橙色绳</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个</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1.6</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水上防护内衣</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速干运动长袖紧身衣</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套</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1.7</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塑料船桨</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铝合金万向桨船桨（总长1.3米，重量630克，管径3厘米）</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个</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1.8</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木桨</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手摇划船桨（总长1.2米，桨面长0.45米、宽0.15米）</w:t>
            </w:r>
          </w:p>
        </w:tc>
        <w:tc>
          <w:tcPr>
            <w:tcW w:w="933" w:type="dxa"/>
            <w:noWrap w:val="0"/>
            <w:vAlign w:val="center"/>
          </w:tcPr>
          <w:p>
            <w:pPr>
              <w:pageBreakBefore w:val="0"/>
              <w:widowControl/>
              <w:kinsoku/>
              <w:wordWrap/>
              <w:overflowPunct/>
              <w:topLinePunct w:val="0"/>
              <w:bidi w:val="0"/>
              <w:spacing w:beforeAutospacing="0" w:afterAutospacing="0" w:line="580" w:lineRule="exact"/>
              <w:ind w:left="0" w:leftChars="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eastAsia="zh-CN" w:bidi="ar"/>
              </w:rPr>
              <w:t>个</w:t>
            </w:r>
          </w:p>
        </w:tc>
        <w:tc>
          <w:tcPr>
            <w:tcW w:w="933" w:type="dxa"/>
            <w:noWrap w:val="0"/>
            <w:vAlign w:val="center"/>
          </w:tcPr>
          <w:p>
            <w:pPr>
              <w:pageBreakBefore w:val="0"/>
              <w:widowControl/>
              <w:kinsoku/>
              <w:wordWrap/>
              <w:overflowPunct/>
              <w:topLinePunct w:val="0"/>
              <w:bidi w:val="0"/>
              <w:spacing w:beforeAutospacing="0" w:afterAutospacing="0" w:line="580" w:lineRule="exact"/>
              <w:ind w:left="0" w:leftChars="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1.9</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护手绑带</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护手缠手绑带（5米长）</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条</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12</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1.10</w:t>
            </w:r>
          </w:p>
        </w:tc>
        <w:tc>
          <w:tcPr>
            <w:tcW w:w="2014" w:type="dxa"/>
            <w:noWrap w:val="0"/>
            <w:vAlign w:val="center"/>
          </w:tcPr>
          <w:p>
            <w:pPr>
              <w:pStyle w:val="104"/>
              <w:pageBreakBefore w:val="0"/>
              <w:numPr>
                <w:ilvl w:val="2"/>
                <w:numId w:val="0"/>
              </w:numPr>
              <w:kinsoku/>
              <w:wordWrap/>
              <w:overflowPunct/>
              <w:topLinePunct w:val="0"/>
              <w:bidi w:val="0"/>
              <w:snapToGrid w:val="0"/>
              <w:spacing w:beforeAutospacing="0" w:afterAutospacing="0" w:line="580" w:lineRule="exact"/>
              <w:ind w:left="0"/>
              <w:jc w:val="center"/>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折叠担架</w:t>
            </w:r>
          </w:p>
        </w:tc>
        <w:tc>
          <w:tcPr>
            <w:tcW w:w="4357"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宋体"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b w:val="0"/>
                <w:bCs/>
                <w:color w:val="auto"/>
                <w:kern w:val="2"/>
                <w:sz w:val="32"/>
                <w:szCs w:val="32"/>
                <w:highlight w:val="none"/>
                <w:lang w:val="en-US" w:eastAsia="zh-Hans" w:bidi="ar-SA"/>
              </w:rPr>
              <w:t>两折式担架</w:t>
            </w:r>
            <w:r>
              <w:rPr>
                <w:rFonts w:hint="eastAsia" w:ascii="仿宋_GB2312" w:hAnsi="仿宋_GB2312" w:eastAsia="仿宋_GB2312" w:cs="仿宋_GB2312"/>
                <w:b w:val="0"/>
                <w:bCs/>
                <w:color w:val="auto"/>
                <w:kern w:val="2"/>
                <w:sz w:val="32"/>
                <w:szCs w:val="32"/>
                <w:highlight w:val="none"/>
                <w:lang w:val="en-US" w:eastAsia="zh-CN" w:bidi="ar-SA"/>
              </w:rPr>
              <w:t>，加厚钢管镀锌（承重150公斤）</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eastAsia="zh-CN" w:bidi="ar"/>
              </w:rPr>
            </w:pPr>
            <w:r>
              <w:rPr>
                <w:rFonts w:hint="eastAsia" w:ascii="仿宋_GB2312" w:hAnsi="仿宋_GB2312" w:eastAsia="仿宋_GB2312" w:cs="仿宋_GB2312"/>
                <w:b w:val="0"/>
                <w:bCs/>
                <w:color w:val="auto"/>
                <w:kern w:val="0"/>
                <w:sz w:val="32"/>
                <w:szCs w:val="32"/>
                <w:highlight w:val="none"/>
                <w:lang w:eastAsia="zh-CN" w:bidi="ar"/>
              </w:rPr>
              <w:t>副</w:t>
            </w:r>
          </w:p>
        </w:tc>
        <w:tc>
          <w:tcPr>
            <w:tcW w:w="933"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default" w:ascii="仿宋_GB2312" w:hAnsi="仿宋_GB2312" w:eastAsia="仿宋_GB2312" w:cs="仿宋_GB2312"/>
                <w:b w:val="0"/>
                <w:bCs/>
                <w:color w:val="auto"/>
                <w:kern w:val="0"/>
                <w:sz w:val="32"/>
                <w:szCs w:val="32"/>
                <w:highlight w:val="none"/>
                <w:lang w:val="en-US" w:eastAsia="zh-CN" w:bidi="ar"/>
              </w:rPr>
            </w:pPr>
            <w:r>
              <w:rPr>
                <w:rFonts w:hint="eastAsia" w:ascii="仿宋_GB2312" w:hAnsi="仿宋_GB2312" w:eastAsia="仿宋_GB2312" w:cs="仿宋_GB2312"/>
                <w:b w:val="0"/>
                <w:bCs/>
                <w:color w:val="auto"/>
                <w:kern w:val="0"/>
                <w:sz w:val="32"/>
                <w:szCs w:val="32"/>
                <w:highlight w:val="none"/>
                <w:lang w:val="en-US" w:eastAsia="zh-CN" w:bidi="ar"/>
              </w:rPr>
              <w:t>1</w:t>
            </w:r>
          </w:p>
        </w:tc>
        <w:tc>
          <w:tcPr>
            <w:tcW w:w="1809" w:type="dxa"/>
            <w:noWrap w:val="0"/>
            <w:vAlign w:val="center"/>
          </w:tcPr>
          <w:p>
            <w:pPr>
              <w:pageBreakBefore w:val="0"/>
              <w:widowControl/>
              <w:kinsoku/>
              <w:wordWrap/>
              <w:overflowPunct/>
              <w:topLinePunct w:val="0"/>
              <w:bidi w:val="0"/>
              <w:spacing w:beforeAutospacing="0" w:afterAutospacing="0" w:line="580" w:lineRule="exact"/>
              <w:ind w:left="0"/>
              <w:jc w:val="center"/>
              <w:textAlignment w:val="center"/>
              <w:outlineLvl w:val="9"/>
              <w:rPr>
                <w:rFonts w:hint="eastAsia" w:ascii="仿宋_GB2312" w:hAnsi="仿宋_GB2312" w:eastAsia="仿宋_GB2312" w:cs="仿宋_GB2312"/>
                <w:b w:val="0"/>
                <w:bCs/>
                <w:color w:val="auto"/>
                <w:kern w:val="0"/>
                <w:sz w:val="32"/>
                <w:szCs w:val="32"/>
                <w:highlight w:val="none"/>
                <w:lang w:val="en-US" w:eastAsia="zh-CN" w:bidi="ar"/>
              </w:rPr>
            </w:pPr>
          </w:p>
        </w:tc>
      </w:tr>
    </w:tbl>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2.1.4 </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应根据自身产品的具体情况，提供详细的配置清单</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清单中依次说明型号、数量、产地、</w:t>
      </w:r>
      <w:r>
        <w:rPr>
          <w:rFonts w:hint="eastAsia" w:ascii="仿宋_GB2312" w:hAnsi="仿宋_GB2312" w:eastAsia="仿宋_GB2312" w:cs="仿宋_GB2312"/>
          <w:color w:val="auto"/>
          <w:sz w:val="32"/>
          <w:szCs w:val="32"/>
          <w:highlight w:val="none"/>
          <w:lang w:eastAsia="zh-CN"/>
        </w:rPr>
        <w:t>生产厂家</w:t>
      </w:r>
      <w:r>
        <w:rPr>
          <w:rFonts w:hint="eastAsia" w:ascii="仿宋_GB2312" w:hAnsi="仿宋_GB2312" w:eastAsia="仿宋_GB2312" w:cs="仿宋_GB2312"/>
          <w:color w:val="auto"/>
          <w:sz w:val="32"/>
          <w:szCs w:val="32"/>
          <w:highlight w:val="none"/>
        </w:rPr>
        <w:t>等内容。</w:t>
      </w:r>
    </w:p>
    <w:p>
      <w:pPr>
        <w:keepNext w:val="0"/>
        <w:keepLines w:val="0"/>
        <w:pageBreakBefore w:val="0"/>
        <w:widowControl w:val="0"/>
        <w:kinsoku/>
        <w:wordWrap/>
        <w:overflowPunct/>
        <w:topLinePunct w:val="0"/>
        <w:autoSpaceDE/>
        <w:autoSpaceDN/>
        <w:bidi w:val="0"/>
        <w:adjustRightInd/>
        <w:spacing w:beforeAutospacing="0" w:afterAutospacing="0" w:line="58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2.2 范围和界限</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2.2.1 现场性能试验在</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的技术指导下由</w:t>
      </w:r>
      <w:r>
        <w:rPr>
          <w:rFonts w:hint="eastAsia" w:ascii="仿宋_GB2312" w:hAnsi="仿宋_GB2312" w:eastAsia="仿宋_GB2312" w:cs="仿宋_GB2312"/>
          <w:color w:val="auto"/>
          <w:sz w:val="32"/>
          <w:szCs w:val="32"/>
          <w:highlight w:val="none"/>
          <w:lang w:eastAsia="zh-CN"/>
        </w:rPr>
        <w:t>招标方</w:t>
      </w:r>
      <w:r>
        <w:rPr>
          <w:rFonts w:hint="eastAsia" w:ascii="仿宋_GB2312" w:hAnsi="仿宋_GB2312" w:eastAsia="仿宋_GB2312" w:cs="仿宋_GB2312"/>
          <w:color w:val="auto"/>
          <w:sz w:val="32"/>
          <w:szCs w:val="32"/>
          <w:highlight w:val="none"/>
        </w:rPr>
        <w:t>完成。</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协助</w:t>
      </w:r>
      <w:r>
        <w:rPr>
          <w:rFonts w:hint="eastAsia" w:ascii="仿宋_GB2312" w:hAnsi="仿宋_GB2312" w:eastAsia="仿宋_GB2312" w:cs="仿宋_GB2312"/>
          <w:color w:val="auto"/>
          <w:sz w:val="32"/>
          <w:szCs w:val="32"/>
          <w:highlight w:val="none"/>
          <w:lang w:eastAsia="zh-CN"/>
        </w:rPr>
        <w:t>招标方</w:t>
      </w:r>
      <w:r>
        <w:rPr>
          <w:rFonts w:hint="eastAsia" w:ascii="仿宋_GB2312" w:hAnsi="仿宋_GB2312" w:eastAsia="仿宋_GB2312" w:cs="仿宋_GB2312"/>
          <w:color w:val="auto"/>
          <w:sz w:val="32"/>
          <w:szCs w:val="32"/>
          <w:highlight w:val="none"/>
        </w:rPr>
        <w:t>按标准检查产品质量, 处理性能试验过程中出现的问题, 并提供备品、备件，做好销售服务工作。</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应选派有经验的技术人员, 对</w:t>
      </w:r>
      <w:r>
        <w:rPr>
          <w:rFonts w:hint="eastAsia" w:ascii="仿宋_GB2312" w:hAnsi="仿宋_GB2312" w:eastAsia="仿宋_GB2312" w:cs="仿宋_GB2312"/>
          <w:color w:val="auto"/>
          <w:sz w:val="32"/>
          <w:szCs w:val="32"/>
          <w:highlight w:val="none"/>
          <w:lang w:eastAsia="zh-CN"/>
        </w:rPr>
        <w:t>招标方</w:t>
      </w:r>
      <w:r>
        <w:rPr>
          <w:rFonts w:hint="eastAsia" w:ascii="仿宋_GB2312" w:hAnsi="仿宋_GB2312" w:eastAsia="仿宋_GB2312" w:cs="仿宋_GB2312"/>
          <w:color w:val="auto"/>
          <w:sz w:val="32"/>
          <w:szCs w:val="32"/>
          <w:highlight w:val="none"/>
        </w:rPr>
        <w:t>人员进行免费培训。</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2.2.2 </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应协助</w:t>
      </w:r>
      <w:r>
        <w:rPr>
          <w:rFonts w:hint="eastAsia" w:ascii="仿宋_GB2312" w:hAnsi="仿宋_GB2312" w:eastAsia="仿宋_GB2312" w:cs="仿宋_GB2312"/>
          <w:color w:val="auto"/>
          <w:sz w:val="32"/>
          <w:szCs w:val="32"/>
          <w:highlight w:val="none"/>
          <w:lang w:eastAsia="zh-CN"/>
        </w:rPr>
        <w:t>招标方</w:t>
      </w:r>
      <w:r>
        <w:rPr>
          <w:rFonts w:hint="eastAsia" w:ascii="仿宋_GB2312" w:hAnsi="仿宋_GB2312" w:eastAsia="仿宋_GB2312" w:cs="仿宋_GB2312"/>
          <w:color w:val="auto"/>
          <w:sz w:val="32"/>
          <w:szCs w:val="32"/>
          <w:highlight w:val="none"/>
        </w:rPr>
        <w:t>解决产品使用过程出现的问题。</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2.2.3 产品性能试验合格后方可使用。产品通过性能试验后，</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和</w:t>
      </w:r>
      <w:r>
        <w:rPr>
          <w:rFonts w:hint="eastAsia" w:ascii="仿宋_GB2312" w:hAnsi="仿宋_GB2312" w:eastAsia="仿宋_GB2312" w:cs="仿宋_GB2312"/>
          <w:color w:val="auto"/>
          <w:sz w:val="32"/>
          <w:szCs w:val="32"/>
          <w:highlight w:val="none"/>
          <w:lang w:eastAsia="zh-CN"/>
        </w:rPr>
        <w:t>招标方</w:t>
      </w:r>
      <w:r>
        <w:rPr>
          <w:rFonts w:hint="eastAsia" w:ascii="仿宋_GB2312" w:hAnsi="仿宋_GB2312" w:eastAsia="仿宋_GB2312" w:cs="仿宋_GB2312"/>
          <w:color w:val="auto"/>
          <w:sz w:val="32"/>
          <w:szCs w:val="32"/>
          <w:highlight w:val="none"/>
        </w:rPr>
        <w:t>（业主）双方应根据相关法律、法规和公司管理制度签署验收证明书。该证明书共两份，双方各执一份。</w:t>
      </w:r>
    </w:p>
    <w:p>
      <w:pPr>
        <w:pStyle w:val="104"/>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2.2.4 如果性能试验、使用过程及质保期内技术指标一项或多项不能满足合同技术部分要求，</w:t>
      </w:r>
      <w:r>
        <w:rPr>
          <w:rFonts w:hint="eastAsia" w:ascii="仿宋_GB2312" w:hAnsi="仿宋_GB2312" w:eastAsia="仿宋_GB2312" w:cs="仿宋_GB2312"/>
          <w:color w:val="auto"/>
          <w:sz w:val="32"/>
          <w:szCs w:val="32"/>
          <w:highlight w:val="none"/>
          <w:lang w:eastAsia="zh-CN"/>
        </w:rPr>
        <w:t>招投标</w:t>
      </w:r>
      <w:r>
        <w:rPr>
          <w:rFonts w:hint="eastAsia" w:ascii="仿宋_GB2312" w:hAnsi="仿宋_GB2312" w:eastAsia="仿宋_GB2312" w:cs="仿宋_GB2312"/>
          <w:color w:val="auto"/>
          <w:sz w:val="32"/>
          <w:szCs w:val="32"/>
          <w:highlight w:val="none"/>
        </w:rPr>
        <w:t>双方共同分析原因，分清责任，如属制造方面的原因，或涉及索赔部分，按商务部分有关条款执行。</w:t>
      </w:r>
    </w:p>
    <w:p>
      <w:pPr>
        <w:pStyle w:val="5"/>
        <w:pageBreakBefore w:val="0"/>
        <w:kinsoku/>
        <w:wordWrap/>
        <w:overflowPunct/>
        <w:topLinePunct w:val="0"/>
        <w:bidi w:val="0"/>
        <w:spacing w:before="0" w:beforeLines="0" w:beforeAutospacing="0" w:after="0" w:afterLines="0" w:afterAutospacing="0" w:line="580" w:lineRule="exact"/>
        <w:ind w:left="0"/>
        <w:rPr>
          <w:rFonts w:hint="eastAsia" w:ascii="仿宋_GB2312" w:hAnsi="仿宋_GB2312" w:eastAsia="仿宋_GB2312" w:cs="仿宋_GB2312"/>
          <w:b/>
          <w:bCs/>
          <w:color w:val="auto"/>
          <w:sz w:val="32"/>
          <w:szCs w:val="32"/>
          <w:highlight w:val="none"/>
          <w:lang w:val="en-US" w:eastAsia="zh-CN"/>
        </w:rPr>
      </w:pPr>
      <w:bookmarkStart w:id="9" w:name="_Toc413"/>
      <w:bookmarkStart w:id="10" w:name="_Toc25987"/>
      <w:bookmarkStart w:id="11" w:name="_Toc25286"/>
      <w:bookmarkStart w:id="12" w:name="_Toc31203"/>
      <w:r>
        <w:rPr>
          <w:rFonts w:hint="eastAsia" w:ascii="仿宋_GB2312" w:hAnsi="仿宋_GB2312" w:eastAsia="仿宋_GB2312" w:cs="仿宋_GB2312"/>
          <w:b/>
          <w:bCs/>
          <w:color w:val="auto"/>
          <w:sz w:val="32"/>
          <w:szCs w:val="32"/>
          <w:highlight w:val="none"/>
          <w:lang w:val="en-US" w:eastAsia="zh-CN"/>
        </w:rPr>
        <w:t>3 应遵循的主要标准</w:t>
      </w:r>
      <w:bookmarkEnd w:id="9"/>
      <w:bookmarkEnd w:id="10"/>
      <w:bookmarkEnd w:id="11"/>
      <w:bookmarkEnd w:id="12"/>
    </w:p>
    <w:p>
      <w:pPr>
        <w:keepNext w:val="0"/>
        <w:keepLines w:val="0"/>
        <w:pageBreakBefore w:val="0"/>
        <w:widowControl w:val="0"/>
        <w:kinsoku/>
        <w:wordWrap/>
        <w:overflowPunct/>
        <w:topLinePunct w:val="0"/>
        <w:autoSpaceDE/>
        <w:autoSpaceDN/>
        <w:bidi w:val="0"/>
        <w:adjustRightInd/>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除</w:t>
      </w:r>
      <w:r>
        <w:rPr>
          <w:rFonts w:hint="eastAsia" w:ascii="仿宋_GB2312" w:hAnsi="仿宋_GB2312" w:eastAsia="仿宋_GB2312" w:cs="仿宋_GB2312"/>
          <w:color w:val="auto"/>
          <w:sz w:val="32"/>
          <w:szCs w:val="32"/>
          <w:highlight w:val="none"/>
          <w:lang w:eastAsia="zh-CN"/>
        </w:rPr>
        <w:t>本技术规范</w:t>
      </w:r>
      <w:r>
        <w:rPr>
          <w:rFonts w:hint="eastAsia" w:ascii="仿宋_GB2312" w:hAnsi="仿宋_GB2312" w:eastAsia="仿宋_GB2312" w:cs="仿宋_GB2312"/>
          <w:color w:val="auto"/>
          <w:sz w:val="32"/>
          <w:szCs w:val="32"/>
          <w:highlight w:val="none"/>
        </w:rPr>
        <w:t xml:space="preserve">特殊规定外, </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所提供的产品均按规定的标准和规程的最新版本进行设计、制造、试验和安装。如果这些标准内容有矛盾时, 应按最高标准的条款执行或按双方商定的标准执行。如果</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选用</w:t>
      </w:r>
      <w:r>
        <w:rPr>
          <w:rFonts w:hint="eastAsia" w:ascii="仿宋_GB2312" w:hAnsi="仿宋_GB2312" w:eastAsia="仿宋_GB2312" w:cs="仿宋_GB2312"/>
          <w:color w:val="auto"/>
          <w:sz w:val="32"/>
          <w:szCs w:val="32"/>
          <w:highlight w:val="none"/>
          <w:lang w:eastAsia="zh-CN"/>
        </w:rPr>
        <w:t>本技术规范</w:t>
      </w:r>
      <w:r>
        <w:rPr>
          <w:rFonts w:hint="eastAsia" w:ascii="仿宋_GB2312" w:hAnsi="仿宋_GB2312" w:eastAsia="仿宋_GB2312" w:cs="仿宋_GB2312"/>
          <w:color w:val="auto"/>
          <w:sz w:val="32"/>
          <w:szCs w:val="32"/>
          <w:highlight w:val="none"/>
        </w:rPr>
        <w:t>规定以外的标准时, 则需提交这种替换标准供审查和分析。仅在</w:t>
      </w:r>
      <w:r>
        <w:rPr>
          <w:rFonts w:hint="eastAsia" w:ascii="仿宋_GB2312" w:hAnsi="仿宋_GB2312" w:eastAsia="仿宋_GB2312" w:cs="仿宋_GB2312"/>
          <w:color w:val="auto"/>
          <w:sz w:val="32"/>
          <w:szCs w:val="32"/>
          <w:highlight w:val="none"/>
          <w:lang w:eastAsia="zh-CN"/>
        </w:rPr>
        <w:t>投标方</w:t>
      </w:r>
      <w:r>
        <w:rPr>
          <w:rFonts w:hint="eastAsia" w:ascii="仿宋_GB2312" w:hAnsi="仿宋_GB2312" w:eastAsia="仿宋_GB2312" w:cs="仿宋_GB2312"/>
          <w:color w:val="auto"/>
          <w:sz w:val="32"/>
          <w:szCs w:val="32"/>
          <w:highlight w:val="none"/>
        </w:rPr>
        <w:t>已证明替换标准相当或优于标书规定的标准, 并从</w:t>
      </w:r>
      <w:r>
        <w:rPr>
          <w:rFonts w:hint="eastAsia" w:ascii="仿宋_GB2312" w:hAnsi="仿宋_GB2312" w:eastAsia="仿宋_GB2312" w:cs="仿宋_GB2312"/>
          <w:color w:val="auto"/>
          <w:sz w:val="32"/>
          <w:szCs w:val="32"/>
          <w:highlight w:val="none"/>
          <w:lang w:eastAsia="zh-CN"/>
        </w:rPr>
        <w:t>招标方</w:t>
      </w:r>
      <w:r>
        <w:rPr>
          <w:rFonts w:hint="eastAsia" w:ascii="仿宋_GB2312" w:hAnsi="仿宋_GB2312" w:eastAsia="仿宋_GB2312" w:cs="仿宋_GB2312"/>
          <w:color w:val="auto"/>
          <w:sz w:val="32"/>
          <w:szCs w:val="32"/>
          <w:highlight w:val="none"/>
        </w:rPr>
        <w:t>处获得书面的认可才能使用。</w:t>
      </w:r>
    </w:p>
    <w:p>
      <w:pPr>
        <w:pStyle w:val="5"/>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textAlignment w:val="auto"/>
        <w:rPr>
          <w:rFonts w:hint="eastAsia" w:ascii="仿宋_GB2312" w:hAnsi="仿宋_GB2312" w:eastAsia="仿宋_GB2312" w:cs="仿宋_GB2312"/>
          <w:b/>
          <w:bCs/>
          <w:color w:val="auto"/>
          <w:sz w:val="32"/>
          <w:szCs w:val="32"/>
          <w:highlight w:val="none"/>
          <w:lang w:val="en-US" w:eastAsia="zh-CN"/>
        </w:rPr>
      </w:pPr>
      <w:bookmarkStart w:id="13" w:name="_Toc5713"/>
      <w:bookmarkStart w:id="14" w:name="_Toc18482"/>
      <w:bookmarkStart w:id="15" w:name="_Toc433037722"/>
      <w:bookmarkStart w:id="16" w:name="_Toc29465"/>
      <w:bookmarkStart w:id="17" w:name="_Toc26204"/>
      <w:r>
        <w:rPr>
          <w:rFonts w:hint="eastAsia" w:ascii="仿宋_GB2312" w:hAnsi="仿宋_GB2312" w:eastAsia="仿宋_GB2312" w:cs="仿宋_GB2312"/>
          <w:b/>
          <w:bCs/>
          <w:color w:val="auto"/>
          <w:sz w:val="32"/>
          <w:szCs w:val="32"/>
          <w:highlight w:val="none"/>
          <w:lang w:val="en-US" w:eastAsia="zh-CN"/>
        </w:rPr>
        <w:t>4 使用条件</w:t>
      </w:r>
      <w:bookmarkEnd w:id="13"/>
      <w:bookmarkEnd w:id="14"/>
      <w:bookmarkEnd w:id="15"/>
      <w:bookmarkEnd w:id="16"/>
      <w:bookmarkEnd w:id="17"/>
    </w:p>
    <w:p>
      <w:pPr>
        <w:pStyle w:val="5"/>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firstLine="640" w:firstLineChars="200"/>
        <w:textAlignment w:val="auto"/>
        <w:rPr>
          <w:rFonts w:hint="eastAsia" w:ascii="仿宋_GB2312" w:hAnsi="仿宋_GB2312" w:eastAsia="仿宋_GB2312" w:cs="仿宋_GB2312"/>
          <w:b w:val="0"/>
          <w:bCs/>
          <w:color w:val="auto"/>
          <w:sz w:val="32"/>
          <w:szCs w:val="32"/>
          <w:highlight w:val="none"/>
          <w:lang w:val="en-US" w:eastAsia="zh-CN"/>
        </w:rPr>
      </w:pPr>
      <w:bookmarkStart w:id="18" w:name="_Toc30299"/>
      <w:bookmarkStart w:id="19" w:name="_Toc32443"/>
      <w:bookmarkStart w:id="20" w:name="_Toc24280"/>
      <w:r>
        <w:rPr>
          <w:rFonts w:hint="eastAsia" w:ascii="仿宋_GB2312" w:hAnsi="仿宋_GB2312" w:eastAsia="仿宋_GB2312" w:cs="仿宋_GB2312"/>
          <w:b w:val="0"/>
          <w:bCs/>
          <w:color w:val="auto"/>
          <w:sz w:val="32"/>
          <w:szCs w:val="32"/>
          <w:highlight w:val="none"/>
          <w:lang w:val="en-US" w:eastAsia="zh-CN"/>
        </w:rPr>
        <w:t>本产品标书要采购的应急抢险防护装备，投标方应保证对所提供的产品不仅满足本技术规范要求的技术条款要求，而且还应对在使用地点的外部条件（包括正常使用条件和特殊使用条件）下等相关性能参数进行校验、核对，使所供产品满足实际外部条件要求及全工况运行要求。</w:t>
      </w:r>
      <w:bookmarkEnd w:id="18"/>
      <w:bookmarkEnd w:id="19"/>
      <w:bookmarkEnd w:id="20"/>
    </w:p>
    <w:p>
      <w:pPr>
        <w:pageBreakBefore w:val="0"/>
        <w:kinsoku/>
        <w:wordWrap/>
        <w:overflowPunct/>
        <w:topLinePunct w:val="0"/>
        <w:bidi w:val="0"/>
        <w:spacing w:beforeAutospacing="0" w:afterAutospacing="0" w:line="580" w:lineRule="exact"/>
        <w:ind w:left="0"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4.1 正常使用条件</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环境温度：-20℃～50℃</w:t>
      </w:r>
    </w:p>
    <w:p>
      <w:pPr>
        <w:pageBreakBefore w:val="0"/>
        <w:kinsoku/>
        <w:wordWrap/>
        <w:overflowPunct/>
        <w:topLinePunct w:val="0"/>
        <w:bidi w:val="0"/>
        <w:spacing w:beforeAutospacing="0" w:afterAutospacing="0" w:line="580" w:lineRule="exact"/>
        <w:ind w:left="0"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4.2 特殊使用条件</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投标方应对正常使用条件之外的特殊使用条件涉及的相关事项，在询价和订货时特别说明。</w:t>
      </w:r>
      <w:bookmarkStart w:id="21" w:name="_Toc433037723"/>
    </w:p>
    <w:p>
      <w:pPr>
        <w:pStyle w:val="108"/>
        <w:pageBreakBefore w:val="0"/>
        <w:kinsoku/>
        <w:wordWrap/>
        <w:overflowPunct/>
        <w:topLinePunct w:val="0"/>
        <w:bidi w:val="0"/>
        <w:adjustRightInd w:val="0"/>
        <w:snapToGrid w:val="0"/>
        <w:spacing w:beforeAutospacing="0" w:afterAutospacing="0" w:line="580" w:lineRule="exact"/>
        <w:ind w:left="0" w:leftChars="0" w:firstLine="640" w:firstLineChars="200"/>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4.3本物资招标技术文件所规定的物资技术条款和参数要求，适用下列环境条件使用。</w:t>
      </w:r>
    </w:p>
    <w:p>
      <w:pPr>
        <w:pStyle w:val="108"/>
        <w:pageBreakBefore w:val="0"/>
        <w:kinsoku/>
        <w:wordWrap/>
        <w:overflowPunct/>
        <w:topLinePunct w:val="0"/>
        <w:bidi w:val="0"/>
        <w:adjustRightInd w:val="0"/>
        <w:snapToGrid w:val="0"/>
        <w:spacing w:beforeAutospacing="0" w:afterAutospacing="0" w:line="580" w:lineRule="exact"/>
        <w:ind w:left="0" w:leftChars="0" w:firstLine="640" w:firstLineChars="200"/>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4.3.1</w:t>
      </w:r>
      <w:r>
        <w:rPr>
          <w:rFonts w:hint="eastAsia" w:ascii="仿宋_GB2312" w:hAnsi="仿宋_GB2312" w:eastAsia="仿宋_GB2312" w:cs="仿宋_GB2312"/>
          <w:b w:val="0"/>
          <w:bCs/>
          <w:color w:val="auto"/>
          <w:sz w:val="32"/>
          <w:szCs w:val="32"/>
          <w:highlight w:val="none"/>
          <w:lang w:val="en-US" w:eastAsia="zh-CN"/>
        </w:rPr>
        <w:t>应急抢险防护装备</w:t>
      </w:r>
      <w:r>
        <w:rPr>
          <w:rFonts w:hint="eastAsia" w:ascii="仿宋_GB2312" w:hAnsi="仿宋_GB2312" w:eastAsia="仿宋_GB2312" w:cs="仿宋_GB2312"/>
          <w:b w:val="0"/>
          <w:bCs/>
          <w:color w:val="auto"/>
          <w:kern w:val="2"/>
          <w:sz w:val="32"/>
          <w:szCs w:val="32"/>
          <w:highlight w:val="none"/>
          <w:lang w:val="en-US" w:eastAsia="zh-CN" w:bidi="ar-SA"/>
        </w:rPr>
        <w:t>使用场合</w:t>
      </w:r>
    </w:p>
    <w:p>
      <w:pPr>
        <w:pStyle w:val="108"/>
        <w:pageBreakBefore w:val="0"/>
        <w:kinsoku/>
        <w:wordWrap/>
        <w:overflowPunct/>
        <w:topLinePunct w:val="0"/>
        <w:bidi w:val="0"/>
        <w:adjustRightInd w:val="0"/>
        <w:snapToGrid w:val="0"/>
        <w:spacing w:beforeAutospacing="0" w:afterAutospacing="0" w:line="580" w:lineRule="exact"/>
        <w:ind w:left="0" w:leftChars="0" w:firstLine="640" w:firstLineChars="200"/>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（1）</w:t>
      </w:r>
      <w:r>
        <w:rPr>
          <w:rFonts w:hint="eastAsia" w:ascii="仿宋_GB2312" w:hAnsi="仿宋_GB2312" w:eastAsia="仿宋_GB2312" w:cs="仿宋_GB2312"/>
          <w:bCs/>
          <w:color w:val="auto"/>
          <w:kern w:val="2"/>
          <w:sz w:val="32"/>
          <w:szCs w:val="32"/>
          <w:highlight w:val="none"/>
        </w:rPr>
        <w:t>在</w:t>
      </w:r>
      <w:r>
        <w:rPr>
          <w:rFonts w:hint="eastAsia" w:ascii="仿宋_GB2312" w:hAnsi="仿宋_GB2312" w:eastAsia="仿宋_GB2312" w:cs="仿宋_GB2312"/>
          <w:bCs/>
          <w:color w:val="auto"/>
          <w:kern w:val="2"/>
          <w:sz w:val="32"/>
          <w:szCs w:val="32"/>
          <w:highlight w:val="none"/>
          <w:lang w:val="en-US" w:eastAsia="zh-CN"/>
        </w:rPr>
        <w:t>相应</w:t>
      </w:r>
      <w:r>
        <w:rPr>
          <w:rFonts w:hint="eastAsia" w:ascii="仿宋_GB2312" w:hAnsi="仿宋_GB2312" w:eastAsia="仿宋_GB2312" w:cs="仿宋_GB2312"/>
          <w:bCs/>
          <w:color w:val="auto"/>
          <w:kern w:val="2"/>
          <w:sz w:val="32"/>
          <w:szCs w:val="32"/>
          <w:highlight w:val="none"/>
        </w:rPr>
        <w:t>电压范围内</w:t>
      </w:r>
      <w:r>
        <w:rPr>
          <w:rFonts w:hint="eastAsia" w:ascii="仿宋_GB2312" w:hAnsi="仿宋_GB2312" w:eastAsia="仿宋_GB2312" w:cs="仿宋_GB2312"/>
          <w:bCs/>
          <w:color w:val="auto"/>
          <w:kern w:val="2"/>
          <w:sz w:val="32"/>
          <w:szCs w:val="32"/>
          <w:highlight w:val="none"/>
          <w:lang w:val="en-US" w:eastAsia="zh-CN"/>
        </w:rPr>
        <w:t>的</w:t>
      </w:r>
      <w:r>
        <w:rPr>
          <w:rFonts w:hint="eastAsia" w:ascii="仿宋_GB2312" w:hAnsi="仿宋_GB2312" w:eastAsia="仿宋_GB2312" w:cs="仿宋_GB2312"/>
          <w:bCs/>
          <w:color w:val="auto"/>
          <w:kern w:val="2"/>
          <w:sz w:val="32"/>
          <w:szCs w:val="32"/>
          <w:highlight w:val="none"/>
        </w:rPr>
        <w:t>作业场所</w:t>
      </w:r>
      <w:r>
        <w:rPr>
          <w:rFonts w:hint="eastAsia" w:ascii="仿宋_GB2312" w:hAnsi="仿宋_GB2312" w:eastAsia="仿宋_GB2312" w:cs="仿宋_GB2312"/>
          <w:b w:val="0"/>
          <w:bCs/>
          <w:color w:val="auto"/>
          <w:kern w:val="2"/>
          <w:sz w:val="32"/>
          <w:szCs w:val="32"/>
          <w:highlight w:val="none"/>
          <w:lang w:val="en-US" w:eastAsia="zh-CN" w:bidi="ar-SA"/>
        </w:rPr>
        <w:t>从事</w:t>
      </w:r>
      <w:r>
        <w:rPr>
          <w:rFonts w:hint="eastAsia" w:ascii="仿宋_GB2312" w:hAnsi="仿宋_GB2312" w:eastAsia="仿宋_GB2312" w:cs="仿宋_GB2312"/>
          <w:b w:val="0"/>
          <w:bCs/>
          <w:color w:val="auto"/>
          <w:sz w:val="32"/>
          <w:szCs w:val="32"/>
          <w:highlight w:val="none"/>
          <w:lang w:val="en-US" w:eastAsia="zh-CN"/>
        </w:rPr>
        <w:t>应急抢险</w:t>
      </w:r>
      <w:r>
        <w:rPr>
          <w:rFonts w:hint="eastAsia" w:ascii="仿宋_GB2312" w:hAnsi="仿宋_GB2312" w:eastAsia="仿宋_GB2312" w:cs="仿宋_GB2312"/>
          <w:b w:val="0"/>
          <w:bCs/>
          <w:color w:val="auto"/>
          <w:kern w:val="2"/>
          <w:sz w:val="32"/>
          <w:szCs w:val="32"/>
          <w:highlight w:val="none"/>
          <w:lang w:val="en-US" w:eastAsia="zh-CN" w:bidi="ar-SA"/>
        </w:rPr>
        <w:t>及其相关工作。</w:t>
      </w:r>
    </w:p>
    <w:p>
      <w:pPr>
        <w:pStyle w:val="108"/>
        <w:pageBreakBefore w:val="0"/>
        <w:kinsoku/>
        <w:wordWrap/>
        <w:overflowPunct/>
        <w:topLinePunct w:val="0"/>
        <w:bidi w:val="0"/>
        <w:adjustRightInd w:val="0"/>
        <w:snapToGrid w:val="0"/>
        <w:spacing w:beforeAutospacing="0" w:afterAutospacing="0" w:line="580" w:lineRule="exact"/>
        <w:ind w:left="0" w:leftChars="0" w:firstLine="640" w:firstLineChars="200"/>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（2）作业人员从事其他日常工作及设备巡视等。</w:t>
      </w:r>
    </w:p>
    <w:p>
      <w:pPr>
        <w:pStyle w:val="5"/>
        <w:pageBreakBefore w:val="0"/>
        <w:kinsoku/>
        <w:wordWrap/>
        <w:overflowPunct/>
        <w:topLinePunct w:val="0"/>
        <w:bidi w:val="0"/>
        <w:spacing w:before="0" w:beforeLines="0" w:beforeAutospacing="0" w:after="0" w:afterLines="0" w:afterAutospacing="0" w:line="580" w:lineRule="exact"/>
        <w:ind w:left="0"/>
        <w:rPr>
          <w:rFonts w:hint="eastAsia" w:ascii="仿宋_GB2312" w:hAnsi="仿宋_GB2312" w:eastAsia="仿宋_GB2312" w:cs="仿宋_GB2312"/>
          <w:b/>
          <w:bCs/>
          <w:color w:val="auto"/>
          <w:sz w:val="32"/>
          <w:szCs w:val="32"/>
          <w:highlight w:val="none"/>
          <w:lang w:val="en-US" w:eastAsia="zh-CN"/>
        </w:rPr>
      </w:pPr>
      <w:bookmarkStart w:id="22" w:name="_Toc11743"/>
      <w:bookmarkStart w:id="23" w:name="_Toc8814"/>
      <w:bookmarkStart w:id="24" w:name="_Toc5160"/>
      <w:bookmarkStart w:id="25" w:name="_Toc28646"/>
      <w:r>
        <w:rPr>
          <w:rFonts w:hint="eastAsia" w:ascii="仿宋_GB2312" w:hAnsi="仿宋_GB2312" w:eastAsia="仿宋_GB2312" w:cs="仿宋_GB2312"/>
          <w:b/>
          <w:bCs/>
          <w:color w:val="auto"/>
          <w:sz w:val="32"/>
          <w:szCs w:val="32"/>
          <w:highlight w:val="none"/>
          <w:lang w:val="en-US" w:eastAsia="zh-CN"/>
        </w:rPr>
        <w:t>5 技术要求</w:t>
      </w:r>
      <w:bookmarkEnd w:id="21"/>
      <w:bookmarkEnd w:id="22"/>
      <w:bookmarkEnd w:id="23"/>
      <w:bookmarkEnd w:id="24"/>
      <w:bookmarkEnd w:id="25"/>
    </w:p>
    <w:p>
      <w:pPr>
        <w:pStyle w:val="108"/>
        <w:pageBreakBefore w:val="0"/>
        <w:kinsoku/>
        <w:wordWrap/>
        <w:overflowPunct/>
        <w:topLinePunct w:val="0"/>
        <w:bidi w:val="0"/>
        <w:adjustRightInd w:val="0"/>
        <w:snapToGrid w:val="0"/>
        <w:spacing w:beforeAutospacing="0" w:afterAutospacing="0" w:line="580" w:lineRule="exact"/>
        <w:ind w:left="0"/>
        <w:rPr>
          <w:rFonts w:hint="eastAsia" w:ascii="仿宋_GB2312" w:hAnsi="仿宋_GB2312" w:eastAsia="仿宋_GB2312" w:cs="仿宋_GB2312"/>
          <w:sz w:val="32"/>
          <w:szCs w:val="32"/>
          <w:highlight w:val="none"/>
          <w:lang w:eastAsia="zh-CN"/>
        </w:rPr>
      </w:pPr>
      <w:bookmarkStart w:id="26" w:name="_Toc433037730"/>
      <w:r>
        <w:rPr>
          <w:rFonts w:hint="eastAsia" w:ascii="仿宋_GB2312" w:hAnsi="仿宋_GB2312" w:eastAsia="仿宋_GB2312" w:cs="仿宋_GB2312"/>
          <w:b w:val="0"/>
          <w:bCs/>
          <w:color w:val="auto"/>
          <w:sz w:val="32"/>
          <w:szCs w:val="32"/>
          <w:highlight w:val="none"/>
          <w:lang w:val="en-US" w:eastAsia="zh-CN"/>
        </w:rPr>
        <w:t>应急装备</w:t>
      </w:r>
      <w:r>
        <w:rPr>
          <w:rFonts w:hint="eastAsia" w:ascii="仿宋_GB2312" w:hAnsi="仿宋_GB2312" w:eastAsia="仿宋_GB2312" w:cs="仿宋_GB2312"/>
          <w:sz w:val="32"/>
          <w:szCs w:val="32"/>
          <w:highlight w:val="none"/>
        </w:rPr>
        <w:t>必须符合国家和行业有关</w:t>
      </w:r>
      <w:r>
        <w:rPr>
          <w:rFonts w:hint="eastAsia" w:ascii="仿宋_GB2312" w:hAnsi="仿宋_GB2312" w:eastAsia="仿宋_GB2312" w:cs="仿宋_GB2312"/>
          <w:sz w:val="32"/>
          <w:szCs w:val="32"/>
          <w:highlight w:val="none"/>
          <w:lang w:eastAsia="zh-CN"/>
        </w:rPr>
        <w:t>商品</w:t>
      </w:r>
      <w:r>
        <w:rPr>
          <w:rFonts w:hint="eastAsia" w:ascii="仿宋_GB2312" w:hAnsi="仿宋_GB2312" w:eastAsia="仿宋_GB2312" w:cs="仿宋_GB2312"/>
          <w:sz w:val="32"/>
          <w:szCs w:val="32"/>
          <w:highlight w:val="none"/>
        </w:rPr>
        <w:t>的法律法规、强制性标准及技术规程规范的要求</w:t>
      </w:r>
      <w:bookmarkStart w:id="54" w:name="_GoBack"/>
      <w:bookmarkEnd w:id="54"/>
      <w:r>
        <w:rPr>
          <w:rFonts w:hint="eastAsia" w:ascii="仿宋_GB2312" w:hAnsi="仿宋_GB2312" w:eastAsia="仿宋_GB2312" w:cs="仿宋_GB2312"/>
          <w:sz w:val="32"/>
          <w:szCs w:val="32"/>
          <w:highlight w:val="none"/>
        </w:rPr>
        <w:t>。</w:t>
      </w:r>
    </w:p>
    <w:p>
      <w:pPr>
        <w:pStyle w:val="5"/>
        <w:pageBreakBefore w:val="0"/>
        <w:kinsoku/>
        <w:wordWrap/>
        <w:overflowPunct/>
        <w:topLinePunct w:val="0"/>
        <w:bidi w:val="0"/>
        <w:spacing w:before="0" w:beforeLines="0" w:beforeAutospacing="0" w:after="0" w:afterLines="0" w:afterAutospacing="0" w:line="580" w:lineRule="exact"/>
        <w:ind w:left="0" w:firstLine="643" w:firstLineChars="200"/>
        <w:rPr>
          <w:rFonts w:hint="eastAsia" w:ascii="仿宋_GB2312" w:hAnsi="仿宋_GB2312" w:eastAsia="仿宋_GB2312" w:cs="仿宋_GB2312"/>
          <w:b/>
          <w:bCs/>
          <w:color w:val="auto"/>
          <w:sz w:val="32"/>
          <w:szCs w:val="32"/>
          <w:highlight w:val="none"/>
          <w:lang w:val="en-US" w:eastAsia="zh-CN"/>
        </w:rPr>
      </w:pPr>
      <w:bookmarkStart w:id="27" w:name="_Toc16411"/>
      <w:bookmarkStart w:id="28" w:name="_Toc30039"/>
      <w:bookmarkStart w:id="29" w:name="_Toc10441"/>
      <w:bookmarkStart w:id="30" w:name="_Toc20632"/>
      <w:r>
        <w:rPr>
          <w:rFonts w:hint="eastAsia" w:ascii="仿宋_GB2312" w:hAnsi="仿宋_GB2312" w:eastAsia="仿宋_GB2312" w:cs="仿宋_GB2312"/>
          <w:b/>
          <w:bCs/>
          <w:color w:val="auto"/>
          <w:sz w:val="32"/>
          <w:szCs w:val="32"/>
          <w:highlight w:val="none"/>
          <w:lang w:val="en-US" w:eastAsia="zh-CN"/>
        </w:rPr>
        <w:t>6 验收、试验要求</w:t>
      </w:r>
      <w:bookmarkEnd w:id="26"/>
      <w:bookmarkEnd w:id="27"/>
      <w:bookmarkEnd w:id="28"/>
      <w:bookmarkEnd w:id="29"/>
      <w:bookmarkEnd w:id="30"/>
    </w:p>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6.1 一般要求</w:t>
      </w:r>
    </w:p>
    <w:p>
      <w:pPr>
        <w:pStyle w:val="108"/>
        <w:pageBreakBefore w:val="0"/>
        <w:kinsoku/>
        <w:wordWrap/>
        <w:overflowPunct/>
        <w:topLinePunct w:val="0"/>
        <w:autoSpaceDE/>
        <w:autoSpaceDN/>
        <w:bidi w:val="0"/>
        <w:adjustRightInd w:val="0"/>
        <w:snapToGrid w:val="0"/>
        <w:spacing w:beforeAutospacing="0" w:afterAutospacing="0" w:line="580" w:lineRule="exact"/>
        <w:ind w:left="0"/>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在用户与投标方之间可通过协商，增加用户说明书中附加有关试验检查的有关要求。必要时可采用破坏性试验对部件进行评估。</w:t>
      </w:r>
    </w:p>
    <w:p>
      <w:pPr>
        <w:pStyle w:val="108"/>
        <w:pageBreakBefore w:val="0"/>
        <w:kinsoku/>
        <w:wordWrap/>
        <w:overflowPunct/>
        <w:topLinePunct w:val="0"/>
        <w:bidi w:val="0"/>
        <w:adjustRightInd w:val="0"/>
        <w:snapToGrid w:val="0"/>
        <w:spacing w:beforeAutospacing="0" w:afterAutospacing="0" w:line="580" w:lineRule="exact"/>
        <w:ind w:left="0" w:leftChars="0" w:firstLine="640" w:firstLineChars="200"/>
        <w:outlineLvl w:val="2"/>
        <w:rPr>
          <w:rFonts w:hint="eastAsia" w:ascii="仿宋_GB2312" w:hAnsi="仿宋_GB2312" w:eastAsia="仿宋_GB2312" w:cs="仿宋_GB2312"/>
          <w:sz w:val="32"/>
          <w:szCs w:val="32"/>
          <w:highlight w:val="none"/>
        </w:rPr>
      </w:pPr>
      <w:bookmarkStart w:id="31" w:name="_Toc27400"/>
      <w:bookmarkStart w:id="32" w:name="_Toc21658"/>
      <w:bookmarkStart w:id="33" w:name="_Toc32598"/>
      <w:bookmarkStart w:id="34" w:name="_Toc31645"/>
      <w:r>
        <w:rPr>
          <w:rFonts w:hint="eastAsia" w:ascii="仿宋_GB2312" w:hAnsi="仿宋_GB2312" w:eastAsia="仿宋_GB2312" w:cs="仿宋_GB2312"/>
          <w:b w:val="0"/>
          <w:color w:val="auto"/>
          <w:kern w:val="2"/>
          <w:sz w:val="32"/>
          <w:szCs w:val="32"/>
          <w:highlight w:val="none"/>
          <w:lang w:val="en-US" w:eastAsia="zh-CN" w:bidi="ar-SA"/>
        </w:rPr>
        <w:t>6.2</w:t>
      </w:r>
      <w:bookmarkEnd w:id="31"/>
      <w:bookmarkEnd w:id="32"/>
      <w:bookmarkEnd w:id="33"/>
      <w:bookmarkEnd w:id="34"/>
      <w:bookmarkStart w:id="35" w:name="_Toc18835"/>
      <w:bookmarkStart w:id="36" w:name="_Toc28037"/>
      <w:bookmarkStart w:id="37" w:name="_Toc25459"/>
      <w:r>
        <w:rPr>
          <w:rFonts w:hint="eastAsia" w:ascii="仿宋_GB2312" w:hAnsi="仿宋_GB2312" w:eastAsia="仿宋_GB2312" w:cs="仿宋_GB2312"/>
          <w:sz w:val="32"/>
          <w:szCs w:val="32"/>
          <w:highlight w:val="none"/>
        </w:rPr>
        <w:t>外观检查</w:t>
      </w:r>
      <w:bookmarkEnd w:id="35"/>
      <w:bookmarkEnd w:id="36"/>
      <w:bookmarkEnd w:id="37"/>
    </w:p>
    <w:p>
      <w:pPr>
        <w:pStyle w:val="108"/>
        <w:pageBreakBefore w:val="0"/>
        <w:kinsoku/>
        <w:wordWrap/>
        <w:overflowPunct/>
        <w:topLinePunct w:val="0"/>
        <w:bidi w:val="0"/>
        <w:adjustRightInd w:val="0"/>
        <w:snapToGrid w:val="0"/>
        <w:spacing w:beforeAutospacing="0" w:afterAutospacing="0" w:line="580" w:lineRule="exact"/>
        <w:ind w:left="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商品</w:t>
      </w:r>
      <w:r>
        <w:rPr>
          <w:rFonts w:hint="eastAsia" w:ascii="仿宋_GB2312" w:hAnsi="仿宋_GB2312" w:eastAsia="仿宋_GB2312" w:cs="仿宋_GB2312"/>
          <w:sz w:val="32"/>
          <w:szCs w:val="32"/>
          <w:highlight w:val="none"/>
        </w:rPr>
        <w:t>不应存在针孔、裂纹、砂眼、气泡、切痕、嵌入导电杂物、明显的压膜痕迹及合模凹陷等有害的、有形的表面缺陷。</w:t>
      </w:r>
    </w:p>
    <w:p>
      <w:pPr>
        <w:pStyle w:val="5"/>
        <w:pageBreakBefore w:val="0"/>
        <w:kinsoku/>
        <w:wordWrap/>
        <w:overflowPunct/>
        <w:topLinePunct w:val="0"/>
        <w:bidi w:val="0"/>
        <w:spacing w:before="0" w:beforeLines="0" w:beforeAutospacing="0" w:after="0" w:afterLines="0" w:afterAutospacing="0" w:line="580" w:lineRule="exact"/>
        <w:ind w:firstLine="643" w:firstLineChars="200"/>
        <w:rPr>
          <w:rFonts w:hint="eastAsia" w:ascii="仿宋_GB2312" w:hAnsi="仿宋_GB2312" w:eastAsia="仿宋_GB2312" w:cs="仿宋_GB2312"/>
          <w:b/>
          <w:bCs/>
          <w:color w:val="auto"/>
          <w:sz w:val="32"/>
          <w:szCs w:val="32"/>
          <w:highlight w:val="none"/>
          <w:lang w:val="en-US" w:eastAsia="zh-CN"/>
        </w:rPr>
      </w:pPr>
      <w:bookmarkStart w:id="38" w:name="_Toc31180"/>
      <w:bookmarkStart w:id="39" w:name="_Toc5226"/>
      <w:bookmarkStart w:id="40" w:name="_Toc11567"/>
      <w:bookmarkStart w:id="41" w:name="_Toc14334"/>
      <w:r>
        <w:rPr>
          <w:rFonts w:hint="eastAsia" w:ascii="仿宋_GB2312" w:hAnsi="仿宋_GB2312" w:eastAsia="仿宋_GB2312" w:cs="仿宋_GB2312"/>
          <w:b/>
          <w:bCs/>
          <w:color w:val="auto"/>
          <w:sz w:val="32"/>
          <w:szCs w:val="32"/>
          <w:highlight w:val="none"/>
          <w:lang w:val="en-US" w:eastAsia="zh-CN"/>
        </w:rPr>
        <w:t>7 技术文件要求及售后服务</w:t>
      </w:r>
      <w:bookmarkEnd w:id="38"/>
      <w:bookmarkEnd w:id="39"/>
      <w:bookmarkEnd w:id="40"/>
      <w:bookmarkEnd w:id="41"/>
    </w:p>
    <w:p>
      <w:pPr>
        <w:pageBreakBefore w:val="0"/>
        <w:kinsoku/>
        <w:wordWrap/>
        <w:overflowPunct/>
        <w:topLinePunct w:val="0"/>
        <w:autoSpaceDE/>
        <w:autoSpaceDN/>
        <w:bidi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color w:val="auto"/>
          <w:sz w:val="32"/>
          <w:szCs w:val="32"/>
          <w:highlight w:val="none"/>
          <w:lang w:eastAsia="zh-CN"/>
        </w:rPr>
        <w:t>投标方</w:t>
      </w:r>
      <w:r>
        <w:rPr>
          <w:rFonts w:hint="eastAsia" w:ascii="仿宋_GB2312" w:hAnsi="仿宋_GB2312" w:eastAsia="仿宋_GB2312" w:cs="仿宋_GB2312"/>
          <w:b w:val="0"/>
          <w:color w:val="auto"/>
          <w:sz w:val="32"/>
          <w:szCs w:val="32"/>
          <w:highlight w:val="none"/>
        </w:rPr>
        <w:t>应承诺在签订合同后提供</w:t>
      </w:r>
      <w:r>
        <w:rPr>
          <w:rFonts w:hint="eastAsia" w:ascii="仿宋_GB2312" w:hAnsi="仿宋_GB2312" w:eastAsia="仿宋_GB2312" w:cs="仿宋_GB2312"/>
          <w:b w:val="0"/>
          <w:color w:val="auto"/>
          <w:sz w:val="32"/>
          <w:szCs w:val="32"/>
          <w:highlight w:val="none"/>
          <w:lang w:eastAsia="zh-CN"/>
        </w:rPr>
        <w:t>相关</w:t>
      </w:r>
      <w:r>
        <w:rPr>
          <w:rFonts w:hint="eastAsia" w:ascii="仿宋_GB2312" w:hAnsi="仿宋_GB2312" w:eastAsia="仿宋_GB2312" w:cs="仿宋_GB2312"/>
          <w:b w:val="0"/>
          <w:color w:val="auto"/>
          <w:sz w:val="32"/>
          <w:szCs w:val="32"/>
          <w:highlight w:val="none"/>
        </w:rPr>
        <w:t>图纸、资料、文件纸质</w:t>
      </w:r>
      <w:r>
        <w:rPr>
          <w:rFonts w:hint="eastAsia" w:ascii="仿宋_GB2312" w:hAnsi="仿宋_GB2312" w:eastAsia="仿宋_GB2312" w:cs="仿宋_GB2312"/>
          <w:b w:val="0"/>
          <w:color w:val="auto"/>
          <w:sz w:val="32"/>
          <w:szCs w:val="32"/>
          <w:highlight w:val="none"/>
          <w:lang w:eastAsia="zh-CN"/>
        </w:rPr>
        <w:t>等</w:t>
      </w:r>
      <w:r>
        <w:rPr>
          <w:rFonts w:hint="eastAsia" w:ascii="仿宋_GB2312" w:hAnsi="仿宋_GB2312" w:eastAsia="仿宋_GB2312" w:cs="仿宋_GB2312"/>
          <w:b w:val="0"/>
          <w:color w:val="auto"/>
          <w:sz w:val="32"/>
          <w:szCs w:val="32"/>
          <w:highlight w:val="none"/>
          <w:lang w:val="en-US" w:eastAsia="zh-CN"/>
        </w:rPr>
        <w:t>资料应</w:t>
      </w:r>
      <w:r>
        <w:rPr>
          <w:rFonts w:hint="eastAsia" w:ascii="仿宋_GB2312" w:hAnsi="仿宋_GB2312" w:eastAsia="仿宋_GB2312" w:cs="仿宋_GB2312"/>
          <w:b w:val="0"/>
          <w:bCs/>
          <w:color w:val="auto"/>
          <w:sz w:val="32"/>
          <w:szCs w:val="32"/>
          <w:highlight w:val="none"/>
          <w:lang w:val="en-US" w:eastAsia="zh-CN"/>
        </w:rPr>
        <w:t>经过有关程序审批并加盖公章。</w:t>
      </w:r>
    </w:p>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7.1技术文件要求</w:t>
      </w:r>
    </w:p>
    <w:p>
      <w:pPr>
        <w:pageBreakBefore w:val="0"/>
        <w:kinsoku/>
        <w:wordWrap/>
        <w:overflowPunct/>
        <w:topLinePunct w:val="0"/>
        <w:autoSpaceDE/>
        <w:autoSpaceDN/>
        <w:bidi w:val="0"/>
        <w:spacing w:beforeAutospacing="0" w:afterAutospacing="0" w:line="580" w:lineRule="exact"/>
        <w:ind w:left="0" w:firstLine="632" w:firstLineChars="200"/>
        <w:textAlignment w:val="auto"/>
        <w:outlineLvl w:val="9"/>
        <w:rPr>
          <w:rFonts w:hint="eastAsia" w:ascii="仿宋_GB2312" w:hAnsi="仿宋_GB2312" w:eastAsia="仿宋_GB2312" w:cs="仿宋_GB2312"/>
          <w:color w:val="auto"/>
          <w:spacing w:val="-2"/>
          <w:sz w:val="32"/>
          <w:szCs w:val="32"/>
          <w:highlight w:val="none"/>
        </w:rPr>
      </w:pPr>
      <w:r>
        <w:rPr>
          <w:rFonts w:hint="eastAsia" w:ascii="仿宋_GB2312" w:hAnsi="仿宋_GB2312" w:eastAsia="仿宋_GB2312" w:cs="仿宋_GB2312"/>
          <w:color w:val="auto"/>
          <w:spacing w:val="-2"/>
          <w:sz w:val="32"/>
          <w:szCs w:val="32"/>
          <w:highlight w:val="none"/>
          <w:lang w:val="en-US" w:eastAsia="zh-CN"/>
        </w:rPr>
        <w:t>7</w:t>
      </w:r>
      <w:r>
        <w:rPr>
          <w:rFonts w:hint="eastAsia" w:ascii="仿宋_GB2312" w:hAnsi="仿宋_GB2312" w:eastAsia="仿宋_GB2312" w:cs="仿宋_GB2312"/>
          <w:color w:val="auto"/>
          <w:spacing w:val="-2"/>
          <w:sz w:val="32"/>
          <w:szCs w:val="32"/>
          <w:highlight w:val="none"/>
        </w:rPr>
        <w:t>.1.1</w:t>
      </w:r>
      <w:r>
        <w:rPr>
          <w:rFonts w:hint="eastAsia" w:ascii="仿宋_GB2312" w:hAnsi="仿宋_GB2312" w:eastAsia="仿宋_GB2312" w:cs="仿宋_GB2312"/>
          <w:b w:val="0"/>
          <w:color w:val="auto"/>
          <w:sz w:val="32"/>
          <w:szCs w:val="32"/>
          <w:highlight w:val="none"/>
          <w:lang w:eastAsia="zh-CN"/>
        </w:rPr>
        <w:t>产品型式试验报告</w:t>
      </w:r>
    </w:p>
    <w:p>
      <w:pPr>
        <w:pageBreakBefore w:val="0"/>
        <w:kinsoku/>
        <w:wordWrap/>
        <w:overflowPunct/>
        <w:topLinePunct w:val="0"/>
        <w:autoSpaceDE/>
        <w:autoSpaceDN/>
        <w:bidi w:val="0"/>
        <w:spacing w:beforeAutospacing="0" w:afterAutospacing="0" w:line="580" w:lineRule="exact"/>
        <w:ind w:left="0" w:firstLine="632" w:firstLineChars="200"/>
        <w:textAlignment w:val="auto"/>
        <w:outlineLvl w:val="9"/>
        <w:rPr>
          <w:rFonts w:hint="eastAsia" w:ascii="仿宋_GB2312" w:hAnsi="仿宋_GB2312" w:eastAsia="仿宋_GB2312" w:cs="仿宋_GB2312"/>
          <w:color w:val="auto"/>
          <w:spacing w:val="-2"/>
          <w:sz w:val="32"/>
          <w:szCs w:val="32"/>
          <w:highlight w:val="none"/>
        </w:rPr>
      </w:pPr>
      <w:r>
        <w:rPr>
          <w:rFonts w:hint="eastAsia" w:ascii="仿宋_GB2312" w:hAnsi="仿宋_GB2312" w:eastAsia="仿宋_GB2312" w:cs="仿宋_GB2312"/>
          <w:color w:val="auto"/>
          <w:spacing w:val="-2"/>
          <w:sz w:val="32"/>
          <w:szCs w:val="32"/>
          <w:highlight w:val="none"/>
          <w:lang w:val="en-US" w:eastAsia="zh-CN"/>
        </w:rPr>
        <w:t>7</w:t>
      </w:r>
      <w:r>
        <w:rPr>
          <w:rFonts w:hint="eastAsia" w:ascii="仿宋_GB2312" w:hAnsi="仿宋_GB2312" w:eastAsia="仿宋_GB2312" w:cs="仿宋_GB2312"/>
          <w:color w:val="auto"/>
          <w:spacing w:val="-2"/>
          <w:sz w:val="32"/>
          <w:szCs w:val="32"/>
          <w:highlight w:val="none"/>
        </w:rPr>
        <w:t>.1.</w:t>
      </w:r>
      <w:r>
        <w:rPr>
          <w:rFonts w:hint="eastAsia" w:ascii="仿宋_GB2312" w:hAnsi="仿宋_GB2312" w:eastAsia="仿宋_GB2312" w:cs="仿宋_GB2312"/>
          <w:color w:val="auto"/>
          <w:spacing w:val="-2"/>
          <w:sz w:val="32"/>
          <w:szCs w:val="32"/>
          <w:highlight w:val="none"/>
          <w:lang w:val="en-US" w:eastAsia="zh-CN"/>
        </w:rPr>
        <w:t>2</w:t>
      </w:r>
      <w:r>
        <w:rPr>
          <w:rFonts w:hint="eastAsia" w:ascii="仿宋_GB2312" w:hAnsi="仿宋_GB2312" w:eastAsia="仿宋_GB2312" w:cs="仿宋_GB2312"/>
          <w:b w:val="0"/>
          <w:color w:val="auto"/>
          <w:sz w:val="32"/>
          <w:szCs w:val="32"/>
          <w:highlight w:val="none"/>
          <w:lang w:eastAsia="zh-CN"/>
        </w:rPr>
        <w:t>产品合格证</w:t>
      </w:r>
    </w:p>
    <w:p>
      <w:pPr>
        <w:pageBreakBefore w:val="0"/>
        <w:kinsoku/>
        <w:wordWrap/>
        <w:overflowPunct/>
        <w:topLinePunct w:val="0"/>
        <w:autoSpaceDE/>
        <w:autoSpaceDN/>
        <w:bidi w:val="0"/>
        <w:spacing w:beforeAutospacing="0" w:afterAutospacing="0" w:line="580" w:lineRule="exact"/>
        <w:ind w:left="0" w:firstLine="632" w:firstLineChars="200"/>
        <w:textAlignment w:val="auto"/>
        <w:outlineLvl w:val="9"/>
        <w:rPr>
          <w:rFonts w:hint="eastAsia" w:ascii="仿宋_GB2312" w:hAnsi="仿宋_GB2312" w:eastAsia="仿宋_GB2312" w:cs="仿宋_GB2312"/>
          <w:color w:val="auto"/>
          <w:spacing w:val="-2"/>
          <w:sz w:val="32"/>
          <w:szCs w:val="32"/>
          <w:highlight w:val="none"/>
          <w:lang w:eastAsia="zh-CN"/>
        </w:rPr>
      </w:pPr>
      <w:r>
        <w:rPr>
          <w:rFonts w:hint="eastAsia" w:ascii="仿宋_GB2312" w:hAnsi="仿宋_GB2312" w:eastAsia="仿宋_GB2312" w:cs="仿宋_GB2312"/>
          <w:color w:val="auto"/>
          <w:spacing w:val="-2"/>
          <w:sz w:val="32"/>
          <w:szCs w:val="32"/>
          <w:highlight w:val="none"/>
          <w:lang w:val="en-US" w:eastAsia="zh-CN"/>
        </w:rPr>
        <w:t>7</w:t>
      </w:r>
      <w:r>
        <w:rPr>
          <w:rFonts w:hint="eastAsia" w:ascii="仿宋_GB2312" w:hAnsi="仿宋_GB2312" w:eastAsia="仿宋_GB2312" w:cs="仿宋_GB2312"/>
          <w:color w:val="auto"/>
          <w:spacing w:val="-2"/>
          <w:sz w:val="32"/>
          <w:szCs w:val="32"/>
          <w:highlight w:val="none"/>
        </w:rPr>
        <w:t>.1.</w:t>
      </w:r>
      <w:r>
        <w:rPr>
          <w:rFonts w:hint="eastAsia" w:ascii="仿宋_GB2312" w:hAnsi="仿宋_GB2312" w:eastAsia="仿宋_GB2312" w:cs="仿宋_GB2312"/>
          <w:color w:val="auto"/>
          <w:spacing w:val="-2"/>
          <w:sz w:val="32"/>
          <w:szCs w:val="32"/>
          <w:highlight w:val="none"/>
          <w:lang w:val="en-US" w:eastAsia="zh-CN"/>
        </w:rPr>
        <w:t>3</w:t>
      </w:r>
      <w:r>
        <w:rPr>
          <w:rFonts w:hint="eastAsia" w:ascii="仿宋_GB2312" w:hAnsi="仿宋_GB2312" w:eastAsia="仿宋_GB2312" w:cs="仿宋_GB2312"/>
          <w:color w:val="auto"/>
          <w:spacing w:val="-2"/>
          <w:sz w:val="32"/>
          <w:szCs w:val="32"/>
          <w:highlight w:val="none"/>
          <w:lang w:eastAsia="zh-CN"/>
        </w:rPr>
        <w:t>产品说明书</w:t>
      </w:r>
    </w:p>
    <w:p>
      <w:pPr>
        <w:pageBreakBefore w:val="0"/>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商品应给出下列信息，所有信息应清楚明了：</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——厂商名称；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——厂商地址等其他信息；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——产品用途、限制，最大工作高度；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——警告禁止擅自改装；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——使用说明；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——在使用前的检查步骤；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——储存、清洗、维护说明；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——建议依据环境，至少1年一次由专业人员按照厂商的说明对产品进行周期性检查； </w:t>
      </w:r>
    </w:p>
    <w:p>
      <w:pPr>
        <w:pageBreakBefore w:val="0"/>
        <w:numPr>
          <w:ilvl w:val="0"/>
          <w:numId w:val="4"/>
        </w:numPr>
        <w:kinsoku/>
        <w:wordWrap/>
        <w:overflowPunct/>
        <w:topLinePunct w:val="0"/>
        <w:autoSpaceDE/>
        <w:autoSpaceDN/>
        <w:bidi w:val="0"/>
        <w:spacing w:beforeAutospacing="0" w:afterAutospacing="0" w:line="580" w:lineRule="exact"/>
        <w:ind w:left="0" w:firstLine="404"/>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 xml:space="preserve">——产品报废条件； </w:t>
      </w:r>
    </w:p>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632" w:firstLineChars="200"/>
        <w:textAlignment w:val="auto"/>
        <w:outlineLvl w:val="9"/>
        <w:rPr>
          <w:rFonts w:hint="eastAsia" w:ascii="仿宋_GB2312" w:hAnsi="仿宋_GB2312" w:eastAsia="仿宋_GB2312" w:cs="仿宋_GB2312"/>
          <w:color w:val="auto"/>
          <w:spacing w:val="-2"/>
          <w:sz w:val="32"/>
          <w:szCs w:val="32"/>
          <w:highlight w:val="none"/>
          <w:lang w:val="en-US" w:eastAsia="zh-CN"/>
        </w:rPr>
      </w:pPr>
      <w:r>
        <w:rPr>
          <w:rFonts w:hint="eastAsia" w:ascii="仿宋_GB2312" w:hAnsi="仿宋_GB2312" w:eastAsia="仿宋_GB2312" w:cs="仿宋_GB2312"/>
          <w:color w:val="auto"/>
          <w:spacing w:val="-2"/>
          <w:sz w:val="32"/>
          <w:szCs w:val="32"/>
          <w:highlight w:val="none"/>
          <w:lang w:val="en-US" w:eastAsia="zh-CN"/>
        </w:rPr>
        <w:t>——法律法规要求说明的其他内容。</w:t>
      </w:r>
    </w:p>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7.2 售后服务</w:t>
      </w:r>
    </w:p>
    <w:p>
      <w:pPr>
        <w:pageBreakBefore w:val="0"/>
        <w:widowControl w:val="0"/>
        <w:kinsoku/>
        <w:wordWrap/>
        <w:overflowPunct/>
        <w:topLinePunct w:val="0"/>
        <w:autoSpaceDE/>
        <w:autoSpaceDN/>
        <w:bidi w:val="0"/>
        <w:adjustRightInd/>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pacing w:val="-2"/>
          <w:sz w:val="32"/>
          <w:szCs w:val="32"/>
          <w:highlight w:val="none"/>
        </w:rPr>
      </w:pPr>
      <w:r>
        <w:rPr>
          <w:rFonts w:hint="eastAsia" w:ascii="仿宋_GB2312" w:hAnsi="仿宋_GB2312" w:eastAsia="仿宋_GB2312" w:cs="仿宋_GB2312"/>
          <w:b w:val="0"/>
          <w:bCs/>
          <w:color w:val="auto"/>
          <w:sz w:val="32"/>
          <w:szCs w:val="32"/>
          <w:highlight w:val="none"/>
          <w:lang w:val="en-US" w:eastAsia="zh-CN"/>
        </w:rPr>
        <w:t>自招标方订购绝缘鞋使用之日起，投标方应向使用单位提供包括热线技术指导、现场故障排除等各种用户技术服务。如发现有质量问题，投标方应及时解决，并提供备品、备件，做好销售服务工作。</w:t>
      </w:r>
    </w:p>
    <w:p>
      <w:pPr>
        <w:pStyle w:val="5"/>
        <w:pageBreakBefore w:val="0"/>
        <w:kinsoku/>
        <w:wordWrap/>
        <w:overflowPunct/>
        <w:topLinePunct w:val="0"/>
        <w:bidi w:val="0"/>
        <w:spacing w:before="0" w:beforeLines="0" w:beforeAutospacing="0" w:after="0" w:afterLines="0" w:afterAutospacing="0" w:line="580" w:lineRule="exact"/>
        <w:ind w:left="0"/>
        <w:rPr>
          <w:rFonts w:hint="eastAsia" w:ascii="仿宋_GB2312" w:hAnsi="仿宋_GB2312" w:eastAsia="仿宋_GB2312" w:cs="仿宋_GB2312"/>
          <w:b/>
          <w:bCs/>
          <w:color w:val="auto"/>
          <w:sz w:val="32"/>
          <w:szCs w:val="32"/>
          <w:highlight w:val="none"/>
          <w:lang w:val="en-US" w:eastAsia="zh-CN"/>
        </w:rPr>
      </w:pPr>
      <w:bookmarkStart w:id="42" w:name="_Toc7336"/>
      <w:bookmarkStart w:id="43" w:name="_Toc8460"/>
      <w:bookmarkStart w:id="44" w:name="_Toc12480"/>
      <w:bookmarkStart w:id="45" w:name="_Toc21663"/>
      <w:r>
        <w:rPr>
          <w:rFonts w:hint="eastAsia" w:ascii="仿宋_GB2312" w:hAnsi="仿宋_GB2312" w:eastAsia="仿宋_GB2312" w:cs="仿宋_GB2312"/>
          <w:b/>
          <w:bCs/>
          <w:color w:val="auto"/>
          <w:sz w:val="32"/>
          <w:szCs w:val="32"/>
          <w:highlight w:val="none"/>
          <w:lang w:val="en-US" w:eastAsia="zh-CN"/>
        </w:rPr>
        <w:t>8 包装、运输、质量保证</w:t>
      </w:r>
      <w:bookmarkEnd w:id="42"/>
      <w:bookmarkEnd w:id="43"/>
      <w:bookmarkEnd w:id="44"/>
      <w:bookmarkEnd w:id="45"/>
    </w:p>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8.1 包装</w:t>
      </w:r>
    </w:p>
    <w:p>
      <w:pPr>
        <w:pageBreakBefore w:val="0"/>
        <w:widowControl w:val="0"/>
        <w:kinsoku/>
        <w:wordWrap/>
        <w:overflowPunct/>
        <w:topLinePunct w:val="0"/>
        <w:autoSpaceDE/>
        <w:autoSpaceDN/>
        <w:bidi w:val="0"/>
        <w:adjustRightInd/>
        <w:spacing w:beforeAutospacing="0" w:afterAutospacing="0" w:line="580" w:lineRule="exact"/>
        <w:ind w:left="0" w:firstLine="640" w:firstLineChars="200"/>
        <w:textAlignment w:val="auto"/>
        <w:outlineLvl w:val="9"/>
        <w:rPr>
          <w:rFonts w:hint="eastAsia" w:ascii="仿宋_GB2312" w:hAnsi="仿宋_GB2312" w:eastAsia="仿宋_GB2312" w:cs="仿宋_GB2312"/>
          <w:b w:val="0"/>
          <w:bCs w:val="0"/>
          <w:color w:val="auto"/>
          <w:spacing w:val="-2"/>
          <w:kern w:val="2"/>
          <w:sz w:val="32"/>
          <w:szCs w:val="32"/>
          <w:highlight w:val="none"/>
          <w:u w:val="single"/>
          <w:lang w:val="en-US" w:eastAsia="zh-CN" w:bidi="ar-SA"/>
        </w:rPr>
      </w:pPr>
      <w:r>
        <w:rPr>
          <w:rFonts w:hint="eastAsia" w:ascii="仿宋_GB2312" w:hAnsi="仿宋_GB2312" w:eastAsia="仿宋_GB2312" w:cs="仿宋_GB2312"/>
          <w:b w:val="0"/>
          <w:bCs/>
          <w:color w:val="auto"/>
          <w:sz w:val="32"/>
          <w:szCs w:val="32"/>
          <w:highlight w:val="none"/>
          <w:lang w:val="en-US" w:eastAsia="zh-CN"/>
        </w:rPr>
        <w:t>应急</w:t>
      </w:r>
      <w:r>
        <w:rPr>
          <w:rFonts w:hint="eastAsia" w:ascii="仿宋_GB2312" w:hAnsi="仿宋_GB2312" w:eastAsia="仿宋_GB2312" w:cs="仿宋_GB2312"/>
          <w:b w:val="0"/>
          <w:bCs/>
          <w:color w:val="auto"/>
          <w:sz w:val="32"/>
          <w:szCs w:val="32"/>
          <w:highlight w:val="none"/>
          <w:u w:val="none"/>
          <w:lang w:val="en-US" w:eastAsia="zh-CN"/>
        </w:rPr>
        <w:t>装备</w:t>
      </w:r>
      <w:r>
        <w:rPr>
          <w:rFonts w:hint="eastAsia" w:ascii="仿宋_GB2312" w:hAnsi="仿宋_GB2312" w:eastAsia="仿宋_GB2312" w:cs="仿宋_GB2312"/>
          <w:b w:val="0"/>
          <w:bCs w:val="0"/>
          <w:color w:val="auto"/>
          <w:spacing w:val="-2"/>
          <w:kern w:val="2"/>
          <w:sz w:val="32"/>
          <w:szCs w:val="32"/>
          <w:highlight w:val="none"/>
          <w:u w:val="none"/>
          <w:lang w:val="en-US" w:eastAsia="zh-CN" w:bidi="ar-SA"/>
        </w:rPr>
        <w:t>都应有其独立的外包装，包装应有足够的强度以妥善保护免受损坏。</w:t>
      </w:r>
    </w:p>
    <w:p>
      <w:pPr>
        <w:pageBreakBefore w:val="0"/>
        <w:widowControl w:val="0"/>
        <w:kinsoku/>
        <w:wordWrap/>
        <w:overflowPunct/>
        <w:topLinePunct w:val="0"/>
        <w:autoSpaceDE/>
        <w:autoSpaceDN/>
        <w:bidi w:val="0"/>
        <w:adjustRightInd/>
        <w:spacing w:beforeAutospacing="0" w:afterAutospacing="0" w:line="580" w:lineRule="exact"/>
        <w:ind w:left="0" w:firstLine="632" w:firstLineChars="200"/>
        <w:textAlignment w:val="auto"/>
        <w:outlineLvl w:val="9"/>
        <w:rPr>
          <w:rFonts w:hint="eastAsia" w:ascii="仿宋_GB2312" w:hAnsi="仿宋_GB2312" w:eastAsia="仿宋_GB2312" w:cs="仿宋_GB2312"/>
          <w:b w:val="0"/>
          <w:bCs w:val="0"/>
          <w:color w:val="auto"/>
          <w:spacing w:val="-2"/>
          <w:kern w:val="2"/>
          <w:sz w:val="32"/>
          <w:szCs w:val="32"/>
          <w:highlight w:val="none"/>
          <w:lang w:val="en-US" w:eastAsia="zh-CN" w:bidi="ar-SA"/>
        </w:rPr>
      </w:pPr>
      <w:r>
        <w:rPr>
          <w:rFonts w:hint="eastAsia" w:ascii="仿宋_GB2312" w:hAnsi="仿宋_GB2312" w:eastAsia="仿宋_GB2312" w:cs="仿宋_GB2312"/>
          <w:b w:val="0"/>
          <w:bCs w:val="0"/>
          <w:color w:val="auto"/>
          <w:spacing w:val="-2"/>
          <w:kern w:val="2"/>
          <w:sz w:val="32"/>
          <w:szCs w:val="32"/>
          <w:highlight w:val="none"/>
          <w:lang w:val="en-US" w:eastAsia="zh-CN" w:bidi="ar-SA"/>
        </w:rPr>
        <w:t>在包装箱上应标明制造厂名称、产品的名称、毛重及净重和出厂日期。另外，还须标出“防潮”、“轻放”、“勿压”、“可循环”等。</w:t>
      </w:r>
    </w:p>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8.2 运输</w:t>
      </w:r>
    </w:p>
    <w:p>
      <w:pPr>
        <w:pageBreakBefore w:val="0"/>
        <w:widowControl w:val="0"/>
        <w:kinsoku/>
        <w:wordWrap/>
        <w:overflowPunct/>
        <w:topLinePunct w:val="0"/>
        <w:autoSpaceDE/>
        <w:autoSpaceDN/>
        <w:bidi w:val="0"/>
        <w:adjustRightInd/>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pacing w:val="-2"/>
          <w:sz w:val="32"/>
          <w:szCs w:val="32"/>
          <w:highlight w:val="none"/>
        </w:rPr>
      </w:pPr>
      <w:r>
        <w:rPr>
          <w:rFonts w:hint="eastAsia" w:ascii="仿宋_GB2312" w:hAnsi="仿宋_GB2312" w:eastAsia="仿宋_GB2312" w:cs="仿宋_GB2312"/>
          <w:b w:val="0"/>
          <w:bCs/>
          <w:color w:val="auto"/>
          <w:sz w:val="32"/>
          <w:szCs w:val="32"/>
          <w:highlight w:val="none"/>
          <w:lang w:val="en-US" w:eastAsia="zh-CN"/>
        </w:rPr>
        <w:t>应急装备</w:t>
      </w:r>
      <w:r>
        <w:rPr>
          <w:rFonts w:hint="eastAsia" w:ascii="仿宋_GB2312" w:hAnsi="仿宋_GB2312" w:eastAsia="仿宋_GB2312" w:cs="仿宋_GB2312"/>
          <w:b w:val="0"/>
          <w:bCs w:val="0"/>
          <w:color w:val="auto"/>
          <w:spacing w:val="-2"/>
          <w:kern w:val="2"/>
          <w:sz w:val="32"/>
          <w:szCs w:val="32"/>
          <w:highlight w:val="none"/>
          <w:lang w:val="en-US" w:eastAsia="zh-CN" w:bidi="ar-SA"/>
        </w:rPr>
        <w:t>产品在运输时，应装入专用工具袋、箱或专用工具车内，以防受潮和损伤。</w:t>
      </w:r>
    </w:p>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 xml:space="preserve">8.3质量保证 </w:t>
      </w:r>
    </w:p>
    <w:p>
      <w:pPr>
        <w:pageBreakBefore w:val="0"/>
        <w:widowControl w:val="0"/>
        <w:kinsoku/>
        <w:wordWrap/>
        <w:overflowPunct/>
        <w:topLinePunct w:val="0"/>
        <w:autoSpaceDE/>
        <w:autoSpaceDN/>
        <w:bidi w:val="0"/>
        <w:adjustRightInd/>
        <w:spacing w:beforeAutospacing="0" w:afterAutospacing="0" w:line="580" w:lineRule="exact"/>
        <w:ind w:left="0" w:firstLine="640" w:firstLineChars="200"/>
        <w:textAlignment w:val="auto"/>
        <w:outlineLvl w:val="9"/>
        <w:rPr>
          <w:rFonts w:hint="eastAsia" w:ascii="仿宋_GB2312" w:hAnsi="仿宋_GB2312" w:eastAsia="仿宋_GB2312" w:cs="仿宋_GB2312"/>
          <w:color w:val="auto"/>
          <w:spacing w:val="-2"/>
          <w:sz w:val="32"/>
          <w:szCs w:val="32"/>
          <w:highlight w:val="none"/>
        </w:rPr>
      </w:pPr>
      <w:r>
        <w:rPr>
          <w:rFonts w:hint="eastAsia" w:ascii="仿宋_GB2312" w:hAnsi="仿宋_GB2312" w:eastAsia="仿宋_GB2312" w:cs="仿宋_GB2312"/>
          <w:b w:val="0"/>
          <w:color w:val="auto"/>
          <w:sz w:val="32"/>
          <w:szCs w:val="32"/>
          <w:highlight w:val="none"/>
          <w:lang w:eastAsia="zh-CN"/>
        </w:rPr>
        <w:t>投标方</w:t>
      </w:r>
      <w:r>
        <w:rPr>
          <w:rFonts w:hint="eastAsia" w:ascii="仿宋_GB2312" w:hAnsi="仿宋_GB2312" w:eastAsia="仿宋_GB2312" w:cs="仿宋_GB2312"/>
          <w:color w:val="auto"/>
          <w:spacing w:val="-2"/>
          <w:sz w:val="32"/>
          <w:szCs w:val="32"/>
          <w:highlight w:val="none"/>
        </w:rPr>
        <w:t>应对其整套产品在到货后提供不少于一年的“三包”质量保证。</w:t>
      </w:r>
    </w:p>
    <w:p>
      <w:pPr>
        <w:pStyle w:val="5"/>
        <w:pageBreakBefore w:val="0"/>
        <w:kinsoku/>
        <w:wordWrap/>
        <w:overflowPunct/>
        <w:topLinePunct w:val="0"/>
        <w:bidi w:val="0"/>
        <w:spacing w:before="0" w:beforeLines="0" w:beforeAutospacing="0" w:after="0" w:afterLines="0" w:afterAutospacing="0" w:line="580" w:lineRule="exact"/>
        <w:ind w:left="0"/>
        <w:rPr>
          <w:rFonts w:hint="eastAsia" w:ascii="仿宋_GB2312" w:hAnsi="仿宋_GB2312" w:eastAsia="仿宋_GB2312" w:cs="仿宋_GB2312"/>
          <w:b/>
          <w:bCs/>
          <w:color w:val="auto"/>
          <w:sz w:val="32"/>
          <w:szCs w:val="32"/>
          <w:highlight w:val="none"/>
          <w:lang w:val="en-US" w:eastAsia="zh-CN"/>
        </w:rPr>
      </w:pPr>
      <w:bookmarkStart w:id="46" w:name="_Toc1826"/>
      <w:bookmarkStart w:id="47" w:name="_Toc5398"/>
      <w:bookmarkStart w:id="48" w:name="_Toc18907"/>
      <w:bookmarkStart w:id="49" w:name="_Toc6727"/>
      <w:r>
        <w:rPr>
          <w:rFonts w:hint="eastAsia" w:ascii="仿宋_GB2312" w:hAnsi="仿宋_GB2312" w:eastAsia="仿宋_GB2312" w:cs="仿宋_GB2312"/>
          <w:b/>
          <w:bCs/>
          <w:color w:val="auto"/>
          <w:sz w:val="32"/>
          <w:szCs w:val="32"/>
          <w:highlight w:val="none"/>
          <w:lang w:val="en-US" w:eastAsia="zh-CN"/>
        </w:rPr>
        <w:t>9 技术参数和性能要求响应表、技术差异表</w:t>
      </w:r>
      <w:bookmarkEnd w:id="46"/>
      <w:bookmarkEnd w:id="47"/>
      <w:bookmarkEnd w:id="48"/>
      <w:bookmarkEnd w:id="49"/>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firstLine="640" w:firstLineChars="200"/>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投标方应认真逐项填写所供设备技术参数和性能要求响应表（见表9.1）中“投标方保证值”栏，不能空格，也不能以“响应”两字代替，不允许改动本表内 “投标方保证值”栏之外的数值。如有差异，请填写表9.2：技术差异表。</w:t>
      </w: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jc w:val="center"/>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表9.1  技术参数和性能要求响应表</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69"/>
        <w:gridCol w:w="2525"/>
        <w:gridCol w:w="825"/>
        <w:gridCol w:w="1977"/>
        <w:gridCol w:w="231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tblHeader/>
          <w:jc w:val="center"/>
        </w:trPr>
        <w:tc>
          <w:tcPr>
            <w:tcW w:w="769"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序号</w:t>
            </w:r>
          </w:p>
        </w:tc>
        <w:tc>
          <w:tcPr>
            <w:tcW w:w="25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名称</w:t>
            </w:r>
          </w:p>
        </w:tc>
        <w:tc>
          <w:tcPr>
            <w:tcW w:w="8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单位</w:t>
            </w:r>
          </w:p>
        </w:tc>
        <w:tc>
          <w:tcPr>
            <w:tcW w:w="1977"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标准参数值</w:t>
            </w:r>
          </w:p>
        </w:tc>
        <w:tc>
          <w:tcPr>
            <w:tcW w:w="2314"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eastAsia="zh-CN"/>
              </w:rPr>
              <w:t>投标方</w:t>
            </w:r>
            <w:r>
              <w:rPr>
                <w:rFonts w:hint="eastAsia" w:ascii="仿宋_GB2312" w:hAnsi="仿宋_GB2312" w:eastAsia="仿宋_GB2312" w:cs="仿宋_GB2312"/>
                <w:b/>
                <w:bCs/>
                <w:color w:val="auto"/>
                <w:sz w:val="32"/>
                <w:szCs w:val="32"/>
                <w:highlight w:val="none"/>
              </w:rPr>
              <w:t>保证值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69"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val="en-US" w:eastAsia="zh-CN"/>
              </w:rPr>
            </w:pPr>
          </w:p>
        </w:tc>
        <w:tc>
          <w:tcPr>
            <w:tcW w:w="25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rPr>
            </w:pPr>
          </w:p>
        </w:tc>
        <w:tc>
          <w:tcPr>
            <w:tcW w:w="8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eastAsia="zh-CN"/>
              </w:rPr>
            </w:pPr>
          </w:p>
        </w:tc>
        <w:tc>
          <w:tcPr>
            <w:tcW w:w="1977"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val="en-US" w:eastAsia="zh-CN"/>
              </w:rPr>
            </w:pPr>
          </w:p>
        </w:tc>
        <w:tc>
          <w:tcPr>
            <w:tcW w:w="2314" w:type="dxa"/>
            <w:noWrap w:val="0"/>
            <w:vAlign w:val="top"/>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769"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val="en-US" w:eastAsia="zh-CN"/>
              </w:rPr>
            </w:pPr>
          </w:p>
        </w:tc>
        <w:tc>
          <w:tcPr>
            <w:tcW w:w="25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rPr>
            </w:pPr>
          </w:p>
        </w:tc>
        <w:tc>
          <w:tcPr>
            <w:tcW w:w="8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eastAsia="zh-CN"/>
              </w:rPr>
            </w:pPr>
          </w:p>
        </w:tc>
        <w:tc>
          <w:tcPr>
            <w:tcW w:w="1977"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val="en-US" w:eastAsia="zh-CN"/>
              </w:rPr>
            </w:pPr>
          </w:p>
        </w:tc>
        <w:tc>
          <w:tcPr>
            <w:tcW w:w="2314" w:type="dxa"/>
            <w:noWrap w:val="0"/>
            <w:vAlign w:val="top"/>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769"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val="en-US" w:eastAsia="zh-CN"/>
              </w:rPr>
            </w:pPr>
          </w:p>
        </w:tc>
        <w:tc>
          <w:tcPr>
            <w:tcW w:w="25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rPr>
            </w:pPr>
          </w:p>
        </w:tc>
        <w:tc>
          <w:tcPr>
            <w:tcW w:w="825"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eastAsia="zh-CN"/>
              </w:rPr>
            </w:pPr>
          </w:p>
        </w:tc>
        <w:tc>
          <w:tcPr>
            <w:tcW w:w="1977" w:type="dxa"/>
            <w:noWrap w:val="0"/>
            <w:vAlign w:val="center"/>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lang w:val="en-US" w:eastAsia="zh-CN"/>
              </w:rPr>
            </w:pPr>
          </w:p>
        </w:tc>
        <w:tc>
          <w:tcPr>
            <w:tcW w:w="2314" w:type="dxa"/>
            <w:noWrap w:val="0"/>
            <w:vAlign w:val="top"/>
          </w:tcPr>
          <w:p>
            <w:pPr>
              <w:pageBreakBefore w:val="0"/>
              <w:kinsoku/>
              <w:wordWrap/>
              <w:overflowPunct/>
              <w:topLinePunct w:val="0"/>
              <w:autoSpaceDE w:val="0"/>
              <w:autoSpaceDN w:val="0"/>
              <w:bidi w:val="0"/>
              <w:adjustRightInd w:val="0"/>
              <w:spacing w:beforeAutospacing="0" w:afterAutospacing="0" w:line="580" w:lineRule="exact"/>
              <w:ind w:left="0"/>
              <w:jc w:val="center"/>
              <w:textAlignment w:val="auto"/>
              <w:outlineLvl w:val="9"/>
              <w:rPr>
                <w:rFonts w:hint="eastAsia" w:ascii="仿宋_GB2312" w:hAnsi="仿宋_GB2312" w:eastAsia="仿宋_GB2312" w:cs="仿宋_GB2312"/>
                <w:b w:val="0"/>
                <w:bCs w:val="0"/>
                <w:color w:val="auto"/>
                <w:sz w:val="32"/>
                <w:szCs w:val="32"/>
                <w:highlight w:val="none"/>
              </w:rPr>
            </w:pPr>
          </w:p>
        </w:tc>
      </w:tr>
    </w:tbl>
    <w:p>
      <w:pPr>
        <w:pStyle w:val="18"/>
        <w:pageBreakBefore w:val="0"/>
        <w:kinsoku/>
        <w:wordWrap/>
        <w:overflowPunct/>
        <w:topLinePunct w:val="0"/>
        <w:bidi w:val="0"/>
        <w:spacing w:beforeAutospacing="0" w:afterAutospacing="0" w:line="580" w:lineRule="exact"/>
        <w:ind w:left="0"/>
        <w:rPr>
          <w:rFonts w:hint="eastAsia" w:ascii="仿宋_GB2312" w:hAnsi="仿宋_GB2312" w:eastAsia="仿宋_GB2312" w:cs="仿宋_GB2312"/>
          <w:b w:val="0"/>
          <w:bCs w:val="0"/>
          <w:color w:val="auto"/>
          <w:sz w:val="32"/>
          <w:szCs w:val="32"/>
          <w:highlight w:val="none"/>
          <w:lang w:val="en-US" w:eastAsia="zh-CN"/>
        </w:rPr>
      </w:pPr>
    </w:p>
    <w:p>
      <w:pPr>
        <w:keepNext w:val="0"/>
        <w:keepLines w:val="0"/>
        <w:pageBreakBefore w:val="0"/>
        <w:widowControl w:val="0"/>
        <w:numPr>
          <w:ilvl w:val="1"/>
          <w:numId w:val="0"/>
        </w:numPr>
        <w:kinsoku/>
        <w:wordWrap/>
        <w:overflowPunct/>
        <w:topLinePunct w:val="0"/>
        <w:autoSpaceDE/>
        <w:autoSpaceDN/>
        <w:bidi w:val="0"/>
        <w:adjustRightInd/>
        <w:snapToGrid w:val="0"/>
        <w:spacing w:beforeAutospacing="0" w:afterAutospacing="0" w:line="580" w:lineRule="exact"/>
        <w:ind w:left="0" w:leftChars="0"/>
        <w:jc w:val="center"/>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表9.2 技术差异表</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39"/>
        <w:gridCol w:w="1241"/>
        <w:gridCol w:w="1677"/>
        <w:gridCol w:w="1823"/>
        <w:gridCol w:w="248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1239" w:type="dxa"/>
            <w:noWrap w:val="0"/>
            <w:vAlign w:val="center"/>
          </w:tcPr>
          <w:p>
            <w:pPr>
              <w:keepNext w:val="0"/>
              <w:keepLines w:val="0"/>
              <w:pageBreakBefore w:val="0"/>
              <w:kinsoku/>
              <w:wordWrap/>
              <w:overflowPunct/>
              <w:topLinePunct w:val="0"/>
              <w:bidi w:val="0"/>
              <w:spacing w:beforeAutospacing="0" w:afterAutospacing="0" w:line="580" w:lineRule="exact"/>
              <w:ind w:left="0"/>
              <w:jc w:val="center"/>
              <w:outlineLvl w:val="9"/>
              <w:rPr>
                <w:rFonts w:hint="eastAsia" w:ascii="仿宋_GB2312" w:hAnsi="仿宋_GB2312" w:eastAsia="仿宋_GB2312" w:cs="仿宋_GB2312"/>
                <w:b/>
                <w:bCs/>
                <w:color w:val="auto"/>
                <w:kern w:val="0"/>
                <w:sz w:val="32"/>
                <w:szCs w:val="32"/>
                <w:highlight w:val="none"/>
              </w:rPr>
            </w:pPr>
            <w:r>
              <w:rPr>
                <w:rFonts w:hint="eastAsia" w:ascii="仿宋_GB2312" w:hAnsi="仿宋_GB2312" w:eastAsia="仿宋_GB2312" w:cs="仿宋_GB2312"/>
                <w:b/>
                <w:bCs/>
                <w:color w:val="auto"/>
                <w:kern w:val="0"/>
                <w:sz w:val="32"/>
                <w:szCs w:val="32"/>
                <w:highlight w:val="none"/>
              </w:rPr>
              <w:t>序号</w:t>
            </w:r>
          </w:p>
        </w:tc>
        <w:tc>
          <w:tcPr>
            <w:tcW w:w="1241" w:type="dxa"/>
            <w:tcBorders>
              <w:righ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jc w:val="center"/>
              <w:outlineLvl w:val="9"/>
              <w:rPr>
                <w:rFonts w:hint="eastAsia" w:ascii="仿宋_GB2312" w:hAnsi="仿宋_GB2312" w:eastAsia="仿宋_GB2312" w:cs="仿宋_GB2312"/>
                <w:b/>
                <w:bCs/>
                <w:color w:val="auto"/>
                <w:kern w:val="0"/>
                <w:sz w:val="32"/>
                <w:szCs w:val="32"/>
                <w:highlight w:val="none"/>
              </w:rPr>
            </w:pPr>
            <w:r>
              <w:rPr>
                <w:rFonts w:hint="eastAsia" w:ascii="仿宋_GB2312" w:hAnsi="仿宋_GB2312" w:eastAsia="仿宋_GB2312" w:cs="仿宋_GB2312"/>
                <w:b/>
                <w:bCs/>
                <w:color w:val="auto"/>
                <w:kern w:val="0"/>
                <w:sz w:val="32"/>
                <w:szCs w:val="32"/>
                <w:highlight w:val="none"/>
              </w:rPr>
              <w:t>项目</w:t>
            </w:r>
          </w:p>
        </w:tc>
        <w:tc>
          <w:tcPr>
            <w:tcW w:w="1677" w:type="dxa"/>
            <w:tcBorders>
              <w:lef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jc w:val="center"/>
              <w:outlineLvl w:val="9"/>
              <w:rPr>
                <w:rFonts w:hint="eastAsia" w:ascii="仿宋_GB2312" w:hAnsi="仿宋_GB2312" w:eastAsia="仿宋_GB2312" w:cs="仿宋_GB2312"/>
                <w:b/>
                <w:bCs/>
                <w:color w:val="auto"/>
                <w:kern w:val="0"/>
                <w:sz w:val="32"/>
                <w:szCs w:val="32"/>
                <w:highlight w:val="none"/>
              </w:rPr>
            </w:pPr>
            <w:r>
              <w:rPr>
                <w:rFonts w:hint="eastAsia" w:ascii="仿宋_GB2312" w:hAnsi="仿宋_GB2312" w:eastAsia="仿宋_GB2312" w:cs="仿宋_GB2312"/>
                <w:b/>
                <w:bCs/>
                <w:color w:val="auto"/>
                <w:kern w:val="0"/>
                <w:sz w:val="32"/>
                <w:szCs w:val="32"/>
                <w:highlight w:val="none"/>
              </w:rPr>
              <w:t>标准参考值</w:t>
            </w:r>
          </w:p>
        </w:tc>
        <w:tc>
          <w:tcPr>
            <w:tcW w:w="1823" w:type="dxa"/>
            <w:noWrap w:val="0"/>
            <w:vAlign w:val="center"/>
          </w:tcPr>
          <w:p>
            <w:pPr>
              <w:keepNext w:val="0"/>
              <w:keepLines w:val="0"/>
              <w:pageBreakBefore w:val="0"/>
              <w:kinsoku/>
              <w:wordWrap/>
              <w:overflowPunct/>
              <w:topLinePunct w:val="0"/>
              <w:bidi w:val="0"/>
              <w:spacing w:beforeAutospacing="0" w:afterAutospacing="0" w:line="580" w:lineRule="exact"/>
              <w:ind w:left="0"/>
              <w:jc w:val="center"/>
              <w:outlineLvl w:val="9"/>
              <w:rPr>
                <w:rFonts w:hint="eastAsia" w:ascii="仿宋_GB2312" w:hAnsi="仿宋_GB2312" w:eastAsia="仿宋_GB2312" w:cs="仿宋_GB2312"/>
                <w:b/>
                <w:bCs/>
                <w:color w:val="auto"/>
                <w:kern w:val="0"/>
                <w:sz w:val="32"/>
                <w:szCs w:val="32"/>
                <w:highlight w:val="none"/>
              </w:rPr>
            </w:pPr>
            <w:r>
              <w:rPr>
                <w:rFonts w:hint="eastAsia" w:ascii="仿宋_GB2312" w:hAnsi="仿宋_GB2312" w:eastAsia="仿宋_GB2312" w:cs="仿宋_GB2312"/>
                <w:b/>
                <w:bCs/>
                <w:color w:val="auto"/>
                <w:kern w:val="0"/>
                <w:sz w:val="32"/>
                <w:szCs w:val="32"/>
                <w:highlight w:val="none"/>
              </w:rPr>
              <w:t>项目单位要求值</w:t>
            </w:r>
          </w:p>
        </w:tc>
        <w:tc>
          <w:tcPr>
            <w:tcW w:w="2485" w:type="dxa"/>
            <w:noWrap w:val="0"/>
            <w:vAlign w:val="center"/>
          </w:tcPr>
          <w:p>
            <w:pPr>
              <w:keepNext w:val="0"/>
              <w:keepLines w:val="0"/>
              <w:pageBreakBefore w:val="0"/>
              <w:kinsoku/>
              <w:wordWrap/>
              <w:overflowPunct/>
              <w:topLinePunct w:val="0"/>
              <w:bidi w:val="0"/>
              <w:spacing w:beforeAutospacing="0" w:afterAutospacing="0" w:line="580" w:lineRule="exact"/>
              <w:ind w:left="0"/>
              <w:jc w:val="center"/>
              <w:outlineLvl w:val="9"/>
              <w:rPr>
                <w:rFonts w:hint="eastAsia" w:ascii="仿宋_GB2312" w:hAnsi="仿宋_GB2312" w:eastAsia="仿宋_GB2312" w:cs="仿宋_GB2312"/>
                <w:b/>
                <w:bCs/>
                <w:color w:val="auto"/>
                <w:kern w:val="0"/>
                <w:sz w:val="32"/>
                <w:szCs w:val="32"/>
                <w:highlight w:val="none"/>
              </w:rPr>
            </w:pPr>
            <w:r>
              <w:rPr>
                <w:rFonts w:hint="eastAsia" w:ascii="仿宋_GB2312" w:hAnsi="仿宋_GB2312" w:eastAsia="仿宋_GB2312" w:cs="仿宋_GB2312"/>
                <w:b/>
                <w:bCs/>
                <w:color w:val="auto"/>
                <w:kern w:val="0"/>
                <w:sz w:val="32"/>
                <w:szCs w:val="32"/>
                <w:highlight w:val="none"/>
              </w:rPr>
              <w:t>投标人保证值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39"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b w:val="0"/>
                <w:bCs w:val="0"/>
                <w:color w:val="auto"/>
                <w:kern w:val="0"/>
                <w:sz w:val="32"/>
                <w:szCs w:val="32"/>
                <w:highlight w:val="none"/>
              </w:rPr>
            </w:pPr>
          </w:p>
        </w:tc>
        <w:tc>
          <w:tcPr>
            <w:tcW w:w="1241" w:type="dxa"/>
            <w:tcBorders>
              <w:righ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b w:val="0"/>
                <w:bCs w:val="0"/>
                <w:color w:val="auto"/>
                <w:kern w:val="0"/>
                <w:sz w:val="32"/>
                <w:szCs w:val="32"/>
                <w:highlight w:val="none"/>
              </w:rPr>
            </w:pPr>
          </w:p>
        </w:tc>
        <w:tc>
          <w:tcPr>
            <w:tcW w:w="1677" w:type="dxa"/>
            <w:tcBorders>
              <w:lef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b w:val="0"/>
                <w:bCs w:val="0"/>
                <w:color w:val="auto"/>
                <w:kern w:val="0"/>
                <w:sz w:val="32"/>
                <w:szCs w:val="32"/>
                <w:highlight w:val="none"/>
              </w:rPr>
            </w:pPr>
          </w:p>
        </w:tc>
        <w:tc>
          <w:tcPr>
            <w:tcW w:w="1823"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b w:val="0"/>
                <w:bCs w:val="0"/>
                <w:color w:val="auto"/>
                <w:kern w:val="0"/>
                <w:sz w:val="32"/>
                <w:szCs w:val="32"/>
                <w:highlight w:val="none"/>
              </w:rPr>
            </w:pPr>
          </w:p>
        </w:tc>
        <w:tc>
          <w:tcPr>
            <w:tcW w:w="2485"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b w:val="0"/>
                <w:bCs w:val="0"/>
                <w:color w:val="auto"/>
                <w:kern w:val="0"/>
                <w:sz w:val="32"/>
                <w:szCs w:val="3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39"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1241" w:type="dxa"/>
            <w:tcBorders>
              <w:righ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1677" w:type="dxa"/>
            <w:tcBorders>
              <w:lef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1823"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2485"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39"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1241" w:type="dxa"/>
            <w:tcBorders>
              <w:righ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1677" w:type="dxa"/>
            <w:tcBorders>
              <w:left w:val="single" w:color="auto" w:sz="4" w:space="0"/>
            </w:tcBorders>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1823"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c>
          <w:tcPr>
            <w:tcW w:w="2485" w:type="dxa"/>
            <w:noWrap w:val="0"/>
            <w:vAlign w:val="center"/>
          </w:tcPr>
          <w:p>
            <w:pPr>
              <w:keepNext w:val="0"/>
              <w:keepLines w:val="0"/>
              <w:pageBreakBefore w:val="0"/>
              <w:kinsoku/>
              <w:wordWrap/>
              <w:overflowPunct/>
              <w:topLinePunct w:val="0"/>
              <w:bidi w:val="0"/>
              <w:spacing w:beforeAutospacing="0" w:afterAutospacing="0" w:line="580" w:lineRule="exact"/>
              <w:ind w:left="0"/>
              <w:outlineLvl w:val="9"/>
              <w:rPr>
                <w:rFonts w:hint="eastAsia" w:ascii="仿宋_GB2312" w:hAnsi="仿宋_GB2312" w:eastAsia="仿宋_GB2312" w:cs="仿宋_GB2312"/>
                <w:color w:val="auto"/>
                <w:kern w:val="0"/>
                <w:sz w:val="32"/>
                <w:szCs w:val="32"/>
                <w:highlight w:val="none"/>
              </w:rPr>
            </w:pPr>
          </w:p>
        </w:tc>
      </w:tr>
    </w:tbl>
    <w:p>
      <w:pPr>
        <w:pStyle w:val="108"/>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left="0" w:firstLine="0" w:firstLineChars="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bookmarkStart w:id="50" w:name="_Toc20698"/>
    </w:p>
    <w:p>
      <w:pPr>
        <w:pStyle w:val="5"/>
        <w:pageBreakBefore w:val="0"/>
        <w:kinsoku/>
        <w:wordWrap/>
        <w:overflowPunct/>
        <w:topLinePunct w:val="0"/>
        <w:bidi w:val="0"/>
        <w:spacing w:before="0" w:beforeLines="0" w:beforeAutospacing="0" w:after="0" w:afterLines="0" w:afterAutospacing="0" w:line="580" w:lineRule="exact"/>
        <w:ind w:left="0"/>
        <w:rPr>
          <w:rFonts w:hint="eastAsia"/>
          <w:color w:val="auto"/>
          <w:highlight w:val="none"/>
          <w:lang w:val="en-US" w:eastAsia="zh-CN"/>
        </w:rPr>
      </w:pPr>
      <w:bookmarkStart w:id="51" w:name="_Toc17547"/>
      <w:bookmarkStart w:id="52" w:name="_Toc18708"/>
      <w:bookmarkStart w:id="53" w:name="_Toc31045"/>
      <w:r>
        <w:rPr>
          <w:rFonts w:hint="eastAsia" w:ascii="仿宋_GB2312" w:hAnsi="仿宋_GB2312" w:eastAsia="仿宋_GB2312" w:cs="仿宋_GB2312"/>
          <w:b/>
          <w:bCs/>
          <w:color w:val="auto"/>
          <w:sz w:val="32"/>
          <w:szCs w:val="32"/>
          <w:highlight w:val="none"/>
          <w:lang w:val="en-US" w:eastAsia="zh-CN"/>
        </w:rPr>
        <w:t>10 投标方需要说明的其它问题</w:t>
      </w:r>
      <w:bookmarkEnd w:id="50"/>
      <w:bookmarkEnd w:id="51"/>
      <w:bookmarkEnd w:id="52"/>
      <w:bookmarkEnd w:id="53"/>
    </w:p>
    <w:sectPr>
      <w:footerReference r:id="rId3" w:type="default"/>
      <w:pgSz w:w="11906" w:h="16838"/>
      <w:pgMar w:top="1247" w:right="1077" w:bottom="1247" w:left="107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0000000000000000000"/>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5"/>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Uf8VS&#10;6QEAAMoDAAAOAAAAAAAAAAEAIAAAACIBAABkcnMvZTJvRG9jLnhtbFBLBQYAAAAABgAGAFkBAAB9&#10;BQAAAAA=&#10;">
              <v:fill on="f" focussize="0,0"/>
              <v:stroke on="f" weight="1.2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3"/>
      <w:suff w:val="space"/>
      <w:lvlText w:val="%1."/>
      <w:lvlJc w:val="left"/>
      <w:pPr>
        <w:ind w:left="426" w:firstLine="0"/>
      </w:pPr>
      <w:rPr>
        <w:rFonts w:hint="eastAsia"/>
      </w:rPr>
    </w:lvl>
    <w:lvl w:ilvl="1" w:tentative="0">
      <w:start w:val="1"/>
      <w:numFmt w:val="decimal"/>
      <w:pStyle w:val="4"/>
      <w:isLgl/>
      <w:suff w:val="space"/>
      <w:lvlText w:val="%1.%2"/>
      <w:lvlJc w:val="left"/>
      <w:pPr>
        <w:ind w:left="568" w:firstLine="0"/>
      </w:pPr>
      <w:rPr>
        <w:rFonts w:hint="eastAsia"/>
        <w:b w:val="0"/>
        <w:lang w:val="en-US"/>
      </w:rPr>
    </w:lvl>
    <w:lvl w:ilvl="2" w:tentative="0">
      <w:start w:val="1"/>
      <w:numFmt w:val="decimal"/>
      <w:pStyle w:val="104"/>
      <w:isLgl/>
      <w:suff w:val="space"/>
      <w:lvlText w:val="%1.%2.%3"/>
      <w:lvlJc w:val="left"/>
      <w:pPr>
        <w:ind w:left="1418" w:firstLine="0"/>
      </w:pPr>
      <w:rPr>
        <w:rFonts w:hint="eastAsia"/>
        <w:b w:val="0"/>
        <w:i w:val="0"/>
        <w:sz w:val="28"/>
        <w:szCs w:val="28"/>
      </w:rPr>
    </w:lvl>
    <w:lvl w:ilvl="3" w:tentative="0">
      <w:start w:val="1"/>
      <w:numFmt w:val="decimal"/>
      <w:isLgl/>
      <w:suff w:val="space"/>
      <w:lvlText w:val="%1.%2.%3.%4"/>
      <w:lvlJc w:val="left"/>
      <w:pPr>
        <w:ind w:left="2411" w:firstLine="0"/>
      </w:pPr>
      <w:rPr>
        <w:rFonts w:hint="eastAsia"/>
        <w:lang w:val="en-US"/>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2BB0D1AF"/>
    <w:multiLevelType w:val="singleLevel"/>
    <w:tmpl w:val="2BB0D1AF"/>
    <w:lvl w:ilvl="0" w:tentative="0">
      <w:start w:val="1"/>
      <w:numFmt w:val="lowerLetter"/>
      <w:suff w:val="nothing"/>
      <w:lvlText w:val="%1）"/>
      <w:lvlJc w:val="left"/>
    </w:lvl>
  </w:abstractNum>
  <w:abstractNum w:abstractNumId="2">
    <w:nsid w:val="44018AAF"/>
    <w:multiLevelType w:val="multilevel"/>
    <w:tmpl w:val="44018AAF"/>
    <w:lvl w:ilvl="0" w:tentative="0">
      <w:start w:val="1"/>
      <w:numFmt w:val="none"/>
      <w:pStyle w:val="109"/>
      <w:suff w:val="nothing"/>
      <w:lvlText w:val="%1"/>
      <w:lvlJc w:val="left"/>
      <w:pPr>
        <w:ind w:left="0" w:firstLine="0"/>
      </w:pPr>
      <w:rPr>
        <w:rFonts w:hint="default" w:ascii="Times New Roman" w:hAnsi="Times New Roman" w:eastAsia="黑体"/>
        <w:b/>
        <w:i w:val="0"/>
        <w:sz w:val="21"/>
      </w:rPr>
    </w:lvl>
    <w:lvl w:ilvl="1" w:tentative="0">
      <w:start w:val="1"/>
      <w:numFmt w:val="decimal"/>
      <w:suff w:val="nothing"/>
      <w:lvlText w:val="%1%2　"/>
      <w:lvlJc w:val="left"/>
      <w:pPr>
        <w:tabs>
          <w:tab w:val="left" w:pos="0"/>
        </w:tabs>
        <w:ind w:left="0" w:firstLine="0"/>
      </w:pPr>
      <w:rPr>
        <w:rFonts w:hint="default" w:ascii="黑体" w:hAnsi="Times New Roman" w:eastAsia="黑体"/>
        <w:b/>
        <w:i w:val="0"/>
        <w:sz w:val="28"/>
        <w:szCs w:val="28"/>
      </w:rPr>
    </w:lvl>
    <w:lvl w:ilvl="2" w:tentative="0">
      <w:start w:val="1"/>
      <w:numFmt w:val="decimal"/>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0" w:firstLine="0"/>
      </w:pPr>
      <w:rPr>
        <w:rFonts w:hint="eastAsia" w:ascii="黑体" w:hAnsi="Times New Roman" w:eastAsia="黑体"/>
        <w:b/>
        <w:i w:val="0"/>
        <w:sz w:val="21"/>
      </w:rPr>
    </w:lvl>
    <w:lvl w:ilvl="4" w:tentative="0">
      <w:start w:val="1"/>
      <w:numFmt w:val="decimal"/>
      <w:suff w:val="nothing"/>
      <w:lvlText w:val="%1%2.%3.%4.%5　"/>
      <w:lvlJc w:val="left"/>
      <w:pPr>
        <w:ind w:left="0" w:firstLine="0"/>
      </w:pPr>
      <w:rPr>
        <w:rFonts w:hint="eastAsia" w:ascii="黑体" w:hAnsi="Times New Roman" w:eastAsia="黑体"/>
        <w:b/>
        <w:i w:val="0"/>
        <w:sz w:val="21"/>
      </w:rPr>
    </w:lvl>
    <w:lvl w:ilvl="5" w:tentative="0">
      <w:start w:val="1"/>
      <w:numFmt w:val="decimal"/>
      <w:suff w:val="nothing"/>
      <w:lvlText w:val="%1%2.%3.%4.%5.%6　"/>
      <w:lvlJc w:val="left"/>
      <w:pPr>
        <w:ind w:left="0" w:firstLine="0"/>
      </w:pPr>
      <w:rPr>
        <w:rFonts w:hint="eastAsia" w:ascii="黑体" w:hAnsi="Times New Roman" w:eastAsia="黑体"/>
        <w:b/>
        <w:i w:val="0"/>
        <w:sz w:val="21"/>
      </w:rPr>
    </w:lvl>
    <w:lvl w:ilvl="6" w:tentative="0">
      <w:start w:val="1"/>
      <w:numFmt w:val="decimal"/>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46885A2B"/>
    <w:multiLevelType w:val="multilevel"/>
    <w:tmpl w:val="46885A2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xNGJiZTY4ZmUzODI4NjU0MGQ2MWZjZTQzODk4ODEifQ=="/>
  </w:docVars>
  <w:rsids>
    <w:rsidRoot w:val="00172A27"/>
    <w:rsid w:val="00006565"/>
    <w:rsid w:val="000344BB"/>
    <w:rsid w:val="00060967"/>
    <w:rsid w:val="000C4CD0"/>
    <w:rsid w:val="000E26CF"/>
    <w:rsid w:val="0017766B"/>
    <w:rsid w:val="00192940"/>
    <w:rsid w:val="001A3751"/>
    <w:rsid w:val="001A45A1"/>
    <w:rsid w:val="002079C8"/>
    <w:rsid w:val="00332405"/>
    <w:rsid w:val="00381E01"/>
    <w:rsid w:val="00493B96"/>
    <w:rsid w:val="005B2C7F"/>
    <w:rsid w:val="00687F32"/>
    <w:rsid w:val="00897DE8"/>
    <w:rsid w:val="00AA04A6"/>
    <w:rsid w:val="00B53946"/>
    <w:rsid w:val="00C238B1"/>
    <w:rsid w:val="00CB1DDE"/>
    <w:rsid w:val="00CC21F5"/>
    <w:rsid w:val="00CE4AF4"/>
    <w:rsid w:val="00D01D18"/>
    <w:rsid w:val="00DF2C41"/>
    <w:rsid w:val="00E03D15"/>
    <w:rsid w:val="00EE1CEB"/>
    <w:rsid w:val="00FA6326"/>
    <w:rsid w:val="00FF7FB2"/>
    <w:rsid w:val="01172099"/>
    <w:rsid w:val="011C0397"/>
    <w:rsid w:val="015E370D"/>
    <w:rsid w:val="01606437"/>
    <w:rsid w:val="01756326"/>
    <w:rsid w:val="01A16F2B"/>
    <w:rsid w:val="01AF6E12"/>
    <w:rsid w:val="01C045B7"/>
    <w:rsid w:val="01C67254"/>
    <w:rsid w:val="01DF170E"/>
    <w:rsid w:val="0206192F"/>
    <w:rsid w:val="021A6B1E"/>
    <w:rsid w:val="02373E32"/>
    <w:rsid w:val="025A10D1"/>
    <w:rsid w:val="02623FF3"/>
    <w:rsid w:val="026C7390"/>
    <w:rsid w:val="02BF72D7"/>
    <w:rsid w:val="02D32878"/>
    <w:rsid w:val="02D9046B"/>
    <w:rsid w:val="02E40009"/>
    <w:rsid w:val="02F60961"/>
    <w:rsid w:val="030B4637"/>
    <w:rsid w:val="034D54BE"/>
    <w:rsid w:val="036A7519"/>
    <w:rsid w:val="03953C6F"/>
    <w:rsid w:val="03BD5502"/>
    <w:rsid w:val="03C17AD3"/>
    <w:rsid w:val="03FD5A02"/>
    <w:rsid w:val="04196C9F"/>
    <w:rsid w:val="04355AB9"/>
    <w:rsid w:val="0445077A"/>
    <w:rsid w:val="04806290"/>
    <w:rsid w:val="04B940C6"/>
    <w:rsid w:val="04CA269E"/>
    <w:rsid w:val="04F17B87"/>
    <w:rsid w:val="050325B3"/>
    <w:rsid w:val="05046659"/>
    <w:rsid w:val="05143B79"/>
    <w:rsid w:val="051E4D62"/>
    <w:rsid w:val="05493359"/>
    <w:rsid w:val="05563008"/>
    <w:rsid w:val="055D7E9F"/>
    <w:rsid w:val="05BB1B3C"/>
    <w:rsid w:val="05C049F6"/>
    <w:rsid w:val="05D13C38"/>
    <w:rsid w:val="05D348C6"/>
    <w:rsid w:val="05DB7C58"/>
    <w:rsid w:val="05E829A8"/>
    <w:rsid w:val="0606711C"/>
    <w:rsid w:val="061C7E6C"/>
    <w:rsid w:val="0650083C"/>
    <w:rsid w:val="067240A9"/>
    <w:rsid w:val="067359F4"/>
    <w:rsid w:val="067B53E3"/>
    <w:rsid w:val="068C52A5"/>
    <w:rsid w:val="06A03A0F"/>
    <w:rsid w:val="06AA4866"/>
    <w:rsid w:val="06C102C4"/>
    <w:rsid w:val="06CB1EF0"/>
    <w:rsid w:val="06D761BF"/>
    <w:rsid w:val="06EA7D1E"/>
    <w:rsid w:val="06F33D4F"/>
    <w:rsid w:val="06F63548"/>
    <w:rsid w:val="07024A03"/>
    <w:rsid w:val="07131CAD"/>
    <w:rsid w:val="0713658A"/>
    <w:rsid w:val="07320E91"/>
    <w:rsid w:val="073B2D38"/>
    <w:rsid w:val="076A2173"/>
    <w:rsid w:val="077533D7"/>
    <w:rsid w:val="07DD6848"/>
    <w:rsid w:val="07FB5B12"/>
    <w:rsid w:val="08074CC4"/>
    <w:rsid w:val="080F3263"/>
    <w:rsid w:val="08303234"/>
    <w:rsid w:val="08517FC4"/>
    <w:rsid w:val="08753BE5"/>
    <w:rsid w:val="087720AB"/>
    <w:rsid w:val="08811552"/>
    <w:rsid w:val="08AC1DA8"/>
    <w:rsid w:val="08C5667A"/>
    <w:rsid w:val="08C879F0"/>
    <w:rsid w:val="08F80B07"/>
    <w:rsid w:val="0906059F"/>
    <w:rsid w:val="0912323A"/>
    <w:rsid w:val="094F6C40"/>
    <w:rsid w:val="0982007C"/>
    <w:rsid w:val="09994D77"/>
    <w:rsid w:val="099C4161"/>
    <w:rsid w:val="09FC083F"/>
    <w:rsid w:val="09FC768D"/>
    <w:rsid w:val="0A5D1C57"/>
    <w:rsid w:val="0A687A6F"/>
    <w:rsid w:val="0A7558C0"/>
    <w:rsid w:val="0A77696E"/>
    <w:rsid w:val="0A862D8B"/>
    <w:rsid w:val="0A91700A"/>
    <w:rsid w:val="0AA479CF"/>
    <w:rsid w:val="0AC7033A"/>
    <w:rsid w:val="0AEE5344"/>
    <w:rsid w:val="0AF33D4D"/>
    <w:rsid w:val="0B237445"/>
    <w:rsid w:val="0B793CDE"/>
    <w:rsid w:val="0BB0697E"/>
    <w:rsid w:val="0BBA1DE8"/>
    <w:rsid w:val="0BD20DBB"/>
    <w:rsid w:val="0C3665D0"/>
    <w:rsid w:val="0C3C5C04"/>
    <w:rsid w:val="0C4D1E15"/>
    <w:rsid w:val="0C6B214D"/>
    <w:rsid w:val="0C6F7A35"/>
    <w:rsid w:val="0C847CED"/>
    <w:rsid w:val="0C91415A"/>
    <w:rsid w:val="0CA77714"/>
    <w:rsid w:val="0CE162CB"/>
    <w:rsid w:val="0D131743"/>
    <w:rsid w:val="0D1406D2"/>
    <w:rsid w:val="0D417D6C"/>
    <w:rsid w:val="0D4D5767"/>
    <w:rsid w:val="0D50430A"/>
    <w:rsid w:val="0D5934A4"/>
    <w:rsid w:val="0D705704"/>
    <w:rsid w:val="0D786A5A"/>
    <w:rsid w:val="0DD375A3"/>
    <w:rsid w:val="0E021CA8"/>
    <w:rsid w:val="0E0B0651"/>
    <w:rsid w:val="0E2C0A5A"/>
    <w:rsid w:val="0E3A0144"/>
    <w:rsid w:val="0E605438"/>
    <w:rsid w:val="0E7F0575"/>
    <w:rsid w:val="0E8201C9"/>
    <w:rsid w:val="0EB92826"/>
    <w:rsid w:val="0EE83CF2"/>
    <w:rsid w:val="0F1D6C39"/>
    <w:rsid w:val="0F3C4803"/>
    <w:rsid w:val="0F504057"/>
    <w:rsid w:val="0F66034D"/>
    <w:rsid w:val="0F996932"/>
    <w:rsid w:val="0FB41753"/>
    <w:rsid w:val="0FEA2AEF"/>
    <w:rsid w:val="101E6A74"/>
    <w:rsid w:val="1025659C"/>
    <w:rsid w:val="10300EBD"/>
    <w:rsid w:val="1079236C"/>
    <w:rsid w:val="109629AA"/>
    <w:rsid w:val="109E1EFF"/>
    <w:rsid w:val="10AF7234"/>
    <w:rsid w:val="10AF73EC"/>
    <w:rsid w:val="10B4662F"/>
    <w:rsid w:val="10D80802"/>
    <w:rsid w:val="10ED5643"/>
    <w:rsid w:val="10F21C10"/>
    <w:rsid w:val="110369B5"/>
    <w:rsid w:val="11373C15"/>
    <w:rsid w:val="115D08C5"/>
    <w:rsid w:val="118D3245"/>
    <w:rsid w:val="11A46D12"/>
    <w:rsid w:val="11BB7DE1"/>
    <w:rsid w:val="11C70732"/>
    <w:rsid w:val="11FD6F2E"/>
    <w:rsid w:val="1230755F"/>
    <w:rsid w:val="12580F6B"/>
    <w:rsid w:val="12755C44"/>
    <w:rsid w:val="128419F6"/>
    <w:rsid w:val="12B33BFF"/>
    <w:rsid w:val="12B565FF"/>
    <w:rsid w:val="12C30846"/>
    <w:rsid w:val="12D71442"/>
    <w:rsid w:val="12E10BA1"/>
    <w:rsid w:val="13463C8F"/>
    <w:rsid w:val="134C4EF0"/>
    <w:rsid w:val="134E6C4A"/>
    <w:rsid w:val="13600068"/>
    <w:rsid w:val="136362F4"/>
    <w:rsid w:val="137479D4"/>
    <w:rsid w:val="13792643"/>
    <w:rsid w:val="1382274A"/>
    <w:rsid w:val="13884FA0"/>
    <w:rsid w:val="1396152C"/>
    <w:rsid w:val="13B31695"/>
    <w:rsid w:val="13CE11E7"/>
    <w:rsid w:val="14125E09"/>
    <w:rsid w:val="14350FAE"/>
    <w:rsid w:val="143D1885"/>
    <w:rsid w:val="147E7637"/>
    <w:rsid w:val="149932CE"/>
    <w:rsid w:val="14A063F5"/>
    <w:rsid w:val="14A0741E"/>
    <w:rsid w:val="14BA590D"/>
    <w:rsid w:val="14D805EC"/>
    <w:rsid w:val="14E969C6"/>
    <w:rsid w:val="150E546D"/>
    <w:rsid w:val="152247A1"/>
    <w:rsid w:val="15311EF2"/>
    <w:rsid w:val="153C0A44"/>
    <w:rsid w:val="1541418F"/>
    <w:rsid w:val="155568D3"/>
    <w:rsid w:val="155F1A32"/>
    <w:rsid w:val="15760825"/>
    <w:rsid w:val="15A74CCF"/>
    <w:rsid w:val="15AF3160"/>
    <w:rsid w:val="15CE19A3"/>
    <w:rsid w:val="15CF76D1"/>
    <w:rsid w:val="15ED58E3"/>
    <w:rsid w:val="15FC5F56"/>
    <w:rsid w:val="16320515"/>
    <w:rsid w:val="163443CE"/>
    <w:rsid w:val="1659415B"/>
    <w:rsid w:val="168B097B"/>
    <w:rsid w:val="16A928CE"/>
    <w:rsid w:val="16C8255E"/>
    <w:rsid w:val="16CB3D78"/>
    <w:rsid w:val="16DA38C6"/>
    <w:rsid w:val="16F90239"/>
    <w:rsid w:val="1711029D"/>
    <w:rsid w:val="171A4AFA"/>
    <w:rsid w:val="173742B7"/>
    <w:rsid w:val="17430BBA"/>
    <w:rsid w:val="174B36F0"/>
    <w:rsid w:val="17620A8C"/>
    <w:rsid w:val="17655073"/>
    <w:rsid w:val="17817230"/>
    <w:rsid w:val="1798132F"/>
    <w:rsid w:val="17AC791B"/>
    <w:rsid w:val="17B00B9F"/>
    <w:rsid w:val="17D2088F"/>
    <w:rsid w:val="17F22E76"/>
    <w:rsid w:val="180D796F"/>
    <w:rsid w:val="18313B0B"/>
    <w:rsid w:val="185F67BC"/>
    <w:rsid w:val="186B0887"/>
    <w:rsid w:val="18736EDA"/>
    <w:rsid w:val="192C3AAF"/>
    <w:rsid w:val="19356194"/>
    <w:rsid w:val="193A026B"/>
    <w:rsid w:val="194F33BE"/>
    <w:rsid w:val="1961621A"/>
    <w:rsid w:val="196B2136"/>
    <w:rsid w:val="19903C09"/>
    <w:rsid w:val="19A25CB2"/>
    <w:rsid w:val="19AA4D96"/>
    <w:rsid w:val="19D73DF7"/>
    <w:rsid w:val="1A181343"/>
    <w:rsid w:val="1A2571FA"/>
    <w:rsid w:val="1A3A1915"/>
    <w:rsid w:val="1A3D4CD2"/>
    <w:rsid w:val="1A463EB0"/>
    <w:rsid w:val="1A4C265C"/>
    <w:rsid w:val="1A9131D1"/>
    <w:rsid w:val="1AA04D44"/>
    <w:rsid w:val="1ADF00B0"/>
    <w:rsid w:val="1ADF1F1E"/>
    <w:rsid w:val="1AF81DC3"/>
    <w:rsid w:val="1AFC0D82"/>
    <w:rsid w:val="1B045105"/>
    <w:rsid w:val="1B1B6ADC"/>
    <w:rsid w:val="1B1F551B"/>
    <w:rsid w:val="1B405451"/>
    <w:rsid w:val="1B5D63DA"/>
    <w:rsid w:val="1B6B09FC"/>
    <w:rsid w:val="1B750980"/>
    <w:rsid w:val="1BA1621E"/>
    <w:rsid w:val="1BA63353"/>
    <w:rsid w:val="1BA72682"/>
    <w:rsid w:val="1BBF378E"/>
    <w:rsid w:val="1BE25A7C"/>
    <w:rsid w:val="1BE6451A"/>
    <w:rsid w:val="1C054400"/>
    <w:rsid w:val="1C1E6664"/>
    <w:rsid w:val="1C3373B4"/>
    <w:rsid w:val="1C5B3212"/>
    <w:rsid w:val="1CB010A5"/>
    <w:rsid w:val="1CBF3D1F"/>
    <w:rsid w:val="1CE7679A"/>
    <w:rsid w:val="1CF954D3"/>
    <w:rsid w:val="1D077379"/>
    <w:rsid w:val="1D2A0A2F"/>
    <w:rsid w:val="1D2B6B83"/>
    <w:rsid w:val="1D421D45"/>
    <w:rsid w:val="1D43744C"/>
    <w:rsid w:val="1D532B2D"/>
    <w:rsid w:val="1D887A63"/>
    <w:rsid w:val="1D9A4709"/>
    <w:rsid w:val="1D9D1F6B"/>
    <w:rsid w:val="1DAD7AB0"/>
    <w:rsid w:val="1DB3590D"/>
    <w:rsid w:val="1DD33921"/>
    <w:rsid w:val="1DE60A2C"/>
    <w:rsid w:val="1DEE07B7"/>
    <w:rsid w:val="1E1D57F0"/>
    <w:rsid w:val="1E2D41C7"/>
    <w:rsid w:val="1E2E3B3D"/>
    <w:rsid w:val="1E38514F"/>
    <w:rsid w:val="1E4520D6"/>
    <w:rsid w:val="1E793BBD"/>
    <w:rsid w:val="1EB73D81"/>
    <w:rsid w:val="1EBC38F4"/>
    <w:rsid w:val="1EDC5612"/>
    <w:rsid w:val="1EE35F8A"/>
    <w:rsid w:val="1EFE5A81"/>
    <w:rsid w:val="1F434AAD"/>
    <w:rsid w:val="1F7953B2"/>
    <w:rsid w:val="1F8D18C1"/>
    <w:rsid w:val="1FA673C7"/>
    <w:rsid w:val="1FD6715D"/>
    <w:rsid w:val="1FDF3207"/>
    <w:rsid w:val="1FE93FA7"/>
    <w:rsid w:val="1FEE0455"/>
    <w:rsid w:val="1FEE77B1"/>
    <w:rsid w:val="1FF15068"/>
    <w:rsid w:val="1FF84D5E"/>
    <w:rsid w:val="201F3931"/>
    <w:rsid w:val="20304771"/>
    <w:rsid w:val="203879A5"/>
    <w:rsid w:val="204F15C8"/>
    <w:rsid w:val="20683020"/>
    <w:rsid w:val="20694F2B"/>
    <w:rsid w:val="209A0296"/>
    <w:rsid w:val="20D30D5B"/>
    <w:rsid w:val="20EB2129"/>
    <w:rsid w:val="210711E5"/>
    <w:rsid w:val="21077E06"/>
    <w:rsid w:val="211D1C70"/>
    <w:rsid w:val="214E74E6"/>
    <w:rsid w:val="21517DF7"/>
    <w:rsid w:val="215E1ED2"/>
    <w:rsid w:val="216D6ED1"/>
    <w:rsid w:val="21CA6BC9"/>
    <w:rsid w:val="21CD1145"/>
    <w:rsid w:val="21CD2C66"/>
    <w:rsid w:val="21D20F01"/>
    <w:rsid w:val="21DD237E"/>
    <w:rsid w:val="21E9671B"/>
    <w:rsid w:val="221E63AB"/>
    <w:rsid w:val="22263F55"/>
    <w:rsid w:val="22312BC9"/>
    <w:rsid w:val="22682964"/>
    <w:rsid w:val="22AF3F43"/>
    <w:rsid w:val="22BF3611"/>
    <w:rsid w:val="22E95F5B"/>
    <w:rsid w:val="22F37628"/>
    <w:rsid w:val="22FC1D8B"/>
    <w:rsid w:val="230F1C47"/>
    <w:rsid w:val="23114ACD"/>
    <w:rsid w:val="232C62ED"/>
    <w:rsid w:val="23506EB2"/>
    <w:rsid w:val="235F7923"/>
    <w:rsid w:val="2385172A"/>
    <w:rsid w:val="239A3836"/>
    <w:rsid w:val="23B25370"/>
    <w:rsid w:val="23C268AB"/>
    <w:rsid w:val="23C27A3A"/>
    <w:rsid w:val="23CD6CE4"/>
    <w:rsid w:val="23E55A70"/>
    <w:rsid w:val="24162B68"/>
    <w:rsid w:val="241A06A4"/>
    <w:rsid w:val="2433197A"/>
    <w:rsid w:val="24450E05"/>
    <w:rsid w:val="245C09BE"/>
    <w:rsid w:val="24706FAA"/>
    <w:rsid w:val="247D78C7"/>
    <w:rsid w:val="247E1C0D"/>
    <w:rsid w:val="24815B2D"/>
    <w:rsid w:val="24844D67"/>
    <w:rsid w:val="24A40FD3"/>
    <w:rsid w:val="24B17B74"/>
    <w:rsid w:val="24C63DE4"/>
    <w:rsid w:val="24D76DCB"/>
    <w:rsid w:val="255246A8"/>
    <w:rsid w:val="255923F5"/>
    <w:rsid w:val="25655F29"/>
    <w:rsid w:val="2568467A"/>
    <w:rsid w:val="256B7EF7"/>
    <w:rsid w:val="256D47CC"/>
    <w:rsid w:val="258D731A"/>
    <w:rsid w:val="259B1756"/>
    <w:rsid w:val="259C5E73"/>
    <w:rsid w:val="25A26667"/>
    <w:rsid w:val="25B4273E"/>
    <w:rsid w:val="25C54ED9"/>
    <w:rsid w:val="261D2998"/>
    <w:rsid w:val="26636B6E"/>
    <w:rsid w:val="26707FDA"/>
    <w:rsid w:val="267B6409"/>
    <w:rsid w:val="26813088"/>
    <w:rsid w:val="26AE00FB"/>
    <w:rsid w:val="26BA4084"/>
    <w:rsid w:val="26C762BA"/>
    <w:rsid w:val="26E20491"/>
    <w:rsid w:val="27057427"/>
    <w:rsid w:val="272B3746"/>
    <w:rsid w:val="27380427"/>
    <w:rsid w:val="274B02A9"/>
    <w:rsid w:val="277F685C"/>
    <w:rsid w:val="279020FC"/>
    <w:rsid w:val="27CC6D8B"/>
    <w:rsid w:val="27DF7038"/>
    <w:rsid w:val="27F23F39"/>
    <w:rsid w:val="28607C1A"/>
    <w:rsid w:val="288D6ADC"/>
    <w:rsid w:val="29073062"/>
    <w:rsid w:val="292A16A3"/>
    <w:rsid w:val="292E27AA"/>
    <w:rsid w:val="29545DD6"/>
    <w:rsid w:val="297B7681"/>
    <w:rsid w:val="298E6203"/>
    <w:rsid w:val="29A5657D"/>
    <w:rsid w:val="29AA0D33"/>
    <w:rsid w:val="29BC7B1D"/>
    <w:rsid w:val="29F66476"/>
    <w:rsid w:val="2A072AD6"/>
    <w:rsid w:val="2A174918"/>
    <w:rsid w:val="2A524BD2"/>
    <w:rsid w:val="2A6303A0"/>
    <w:rsid w:val="2A6349C2"/>
    <w:rsid w:val="2A910AF0"/>
    <w:rsid w:val="2A9E47EB"/>
    <w:rsid w:val="2AA9523D"/>
    <w:rsid w:val="2AF6469C"/>
    <w:rsid w:val="2B513A1E"/>
    <w:rsid w:val="2B9E650B"/>
    <w:rsid w:val="2B9E7782"/>
    <w:rsid w:val="2BA31614"/>
    <w:rsid w:val="2BA47F43"/>
    <w:rsid w:val="2BD93F89"/>
    <w:rsid w:val="2C0D202E"/>
    <w:rsid w:val="2C515A84"/>
    <w:rsid w:val="2C56F87A"/>
    <w:rsid w:val="2C8C7F23"/>
    <w:rsid w:val="2CA61FD1"/>
    <w:rsid w:val="2CAA4118"/>
    <w:rsid w:val="2CB86A24"/>
    <w:rsid w:val="2CD7A834"/>
    <w:rsid w:val="2D006DC2"/>
    <w:rsid w:val="2D0E5E24"/>
    <w:rsid w:val="2D0F25A3"/>
    <w:rsid w:val="2D224A9A"/>
    <w:rsid w:val="2D2455B0"/>
    <w:rsid w:val="2D621493"/>
    <w:rsid w:val="2D852054"/>
    <w:rsid w:val="2D917C61"/>
    <w:rsid w:val="2D966AB5"/>
    <w:rsid w:val="2DAC6D14"/>
    <w:rsid w:val="2DC545FF"/>
    <w:rsid w:val="2DC829EE"/>
    <w:rsid w:val="2DF5605B"/>
    <w:rsid w:val="2E1A6E3F"/>
    <w:rsid w:val="2E517845"/>
    <w:rsid w:val="2E556795"/>
    <w:rsid w:val="2E586D7C"/>
    <w:rsid w:val="2E5F0AFD"/>
    <w:rsid w:val="2E626C35"/>
    <w:rsid w:val="2E662EE9"/>
    <w:rsid w:val="2E7044FF"/>
    <w:rsid w:val="2EED4712"/>
    <w:rsid w:val="2F0430CA"/>
    <w:rsid w:val="2F06018F"/>
    <w:rsid w:val="2F1A2A31"/>
    <w:rsid w:val="2F2A461A"/>
    <w:rsid w:val="2F345763"/>
    <w:rsid w:val="2F434804"/>
    <w:rsid w:val="2FA246F6"/>
    <w:rsid w:val="2FBB0F3E"/>
    <w:rsid w:val="2FC51B2B"/>
    <w:rsid w:val="300361EB"/>
    <w:rsid w:val="301E0755"/>
    <w:rsid w:val="30267BAD"/>
    <w:rsid w:val="30600513"/>
    <w:rsid w:val="30853794"/>
    <w:rsid w:val="308A1119"/>
    <w:rsid w:val="3090149D"/>
    <w:rsid w:val="30A5328C"/>
    <w:rsid w:val="30A85E4A"/>
    <w:rsid w:val="30B116CD"/>
    <w:rsid w:val="30BC3215"/>
    <w:rsid w:val="30C61C7E"/>
    <w:rsid w:val="30EC4C88"/>
    <w:rsid w:val="3105782D"/>
    <w:rsid w:val="31057A6F"/>
    <w:rsid w:val="310A650E"/>
    <w:rsid w:val="310D5472"/>
    <w:rsid w:val="311904B3"/>
    <w:rsid w:val="312E2C9E"/>
    <w:rsid w:val="31473AF8"/>
    <w:rsid w:val="314C292F"/>
    <w:rsid w:val="31846D21"/>
    <w:rsid w:val="318700B6"/>
    <w:rsid w:val="318F797B"/>
    <w:rsid w:val="31920AF1"/>
    <w:rsid w:val="319A16EF"/>
    <w:rsid w:val="31AE61BC"/>
    <w:rsid w:val="31D27750"/>
    <w:rsid w:val="31D362F6"/>
    <w:rsid w:val="31E12881"/>
    <w:rsid w:val="31F604CB"/>
    <w:rsid w:val="320434A3"/>
    <w:rsid w:val="323743AD"/>
    <w:rsid w:val="3266462F"/>
    <w:rsid w:val="3276256B"/>
    <w:rsid w:val="32BE3175"/>
    <w:rsid w:val="32DD3A9D"/>
    <w:rsid w:val="32F873F5"/>
    <w:rsid w:val="32FC7446"/>
    <w:rsid w:val="33074C12"/>
    <w:rsid w:val="3310099D"/>
    <w:rsid w:val="33220EC2"/>
    <w:rsid w:val="332E42BA"/>
    <w:rsid w:val="335B795A"/>
    <w:rsid w:val="336F622B"/>
    <w:rsid w:val="33720EF2"/>
    <w:rsid w:val="33BE1E00"/>
    <w:rsid w:val="33FD7B4A"/>
    <w:rsid w:val="341D38D9"/>
    <w:rsid w:val="34400491"/>
    <w:rsid w:val="344153F1"/>
    <w:rsid w:val="3442038E"/>
    <w:rsid w:val="34634B46"/>
    <w:rsid w:val="347C790C"/>
    <w:rsid w:val="34862892"/>
    <w:rsid w:val="348908EB"/>
    <w:rsid w:val="34A41E51"/>
    <w:rsid w:val="34B17240"/>
    <w:rsid w:val="34F328F4"/>
    <w:rsid w:val="354B6B52"/>
    <w:rsid w:val="354E489F"/>
    <w:rsid w:val="355E0F7E"/>
    <w:rsid w:val="359D40AB"/>
    <w:rsid w:val="35A37C3A"/>
    <w:rsid w:val="35E76031"/>
    <w:rsid w:val="35F21608"/>
    <w:rsid w:val="36317954"/>
    <w:rsid w:val="363A4132"/>
    <w:rsid w:val="36531211"/>
    <w:rsid w:val="36567F7F"/>
    <w:rsid w:val="36576387"/>
    <w:rsid w:val="365A38E7"/>
    <w:rsid w:val="366D5A44"/>
    <w:rsid w:val="3679330D"/>
    <w:rsid w:val="369F2518"/>
    <w:rsid w:val="36A54FEE"/>
    <w:rsid w:val="36A60903"/>
    <w:rsid w:val="36A7197E"/>
    <w:rsid w:val="36B200C8"/>
    <w:rsid w:val="36B55139"/>
    <w:rsid w:val="36BD05A2"/>
    <w:rsid w:val="36C26D52"/>
    <w:rsid w:val="36D1461F"/>
    <w:rsid w:val="36EC42CF"/>
    <w:rsid w:val="37226CEC"/>
    <w:rsid w:val="372C50E3"/>
    <w:rsid w:val="374200E3"/>
    <w:rsid w:val="374B5928"/>
    <w:rsid w:val="3764033A"/>
    <w:rsid w:val="37783CC2"/>
    <w:rsid w:val="378BE47A"/>
    <w:rsid w:val="37955151"/>
    <w:rsid w:val="37AA3969"/>
    <w:rsid w:val="37BA28EC"/>
    <w:rsid w:val="37C33C8C"/>
    <w:rsid w:val="37E042D9"/>
    <w:rsid w:val="37FE3192"/>
    <w:rsid w:val="3804423C"/>
    <w:rsid w:val="381C3D1B"/>
    <w:rsid w:val="382C000F"/>
    <w:rsid w:val="38434BAB"/>
    <w:rsid w:val="38465193"/>
    <w:rsid w:val="385A604E"/>
    <w:rsid w:val="38805F5D"/>
    <w:rsid w:val="3891164C"/>
    <w:rsid w:val="38A2161F"/>
    <w:rsid w:val="38C178C9"/>
    <w:rsid w:val="38CB018B"/>
    <w:rsid w:val="39140B99"/>
    <w:rsid w:val="39212FA2"/>
    <w:rsid w:val="39322E8A"/>
    <w:rsid w:val="393D4981"/>
    <w:rsid w:val="39414ADB"/>
    <w:rsid w:val="3946213D"/>
    <w:rsid w:val="395F32DF"/>
    <w:rsid w:val="396479A2"/>
    <w:rsid w:val="397A0875"/>
    <w:rsid w:val="39C41457"/>
    <w:rsid w:val="39C463F2"/>
    <w:rsid w:val="39C523B4"/>
    <w:rsid w:val="39D620EE"/>
    <w:rsid w:val="39D69702"/>
    <w:rsid w:val="39F717C7"/>
    <w:rsid w:val="39FB1364"/>
    <w:rsid w:val="3A2674AF"/>
    <w:rsid w:val="3A444CC4"/>
    <w:rsid w:val="3A64155A"/>
    <w:rsid w:val="3A643847"/>
    <w:rsid w:val="3A7F18A7"/>
    <w:rsid w:val="3ADD0BFD"/>
    <w:rsid w:val="3ADE7A95"/>
    <w:rsid w:val="3AE10C89"/>
    <w:rsid w:val="3B104110"/>
    <w:rsid w:val="3B132A2E"/>
    <w:rsid w:val="3B217F39"/>
    <w:rsid w:val="3B390255"/>
    <w:rsid w:val="3B674A09"/>
    <w:rsid w:val="3B722715"/>
    <w:rsid w:val="3B831C03"/>
    <w:rsid w:val="3BAA3AE3"/>
    <w:rsid w:val="3BC92DCE"/>
    <w:rsid w:val="3BD02F03"/>
    <w:rsid w:val="3BD13F3F"/>
    <w:rsid w:val="3BDA6186"/>
    <w:rsid w:val="3C011AD9"/>
    <w:rsid w:val="3C014D0A"/>
    <w:rsid w:val="3C120E6A"/>
    <w:rsid w:val="3C191772"/>
    <w:rsid w:val="3C3742B1"/>
    <w:rsid w:val="3C560C91"/>
    <w:rsid w:val="3C9803E2"/>
    <w:rsid w:val="3CA6350A"/>
    <w:rsid w:val="3CD70E5A"/>
    <w:rsid w:val="3CF1413B"/>
    <w:rsid w:val="3CF857B6"/>
    <w:rsid w:val="3D07427F"/>
    <w:rsid w:val="3D46069E"/>
    <w:rsid w:val="3D893DEA"/>
    <w:rsid w:val="3DA95396"/>
    <w:rsid w:val="3DC609E8"/>
    <w:rsid w:val="3DEF261D"/>
    <w:rsid w:val="3DF81D90"/>
    <w:rsid w:val="3E014204"/>
    <w:rsid w:val="3E2A7980"/>
    <w:rsid w:val="3E5355FD"/>
    <w:rsid w:val="3E6A3411"/>
    <w:rsid w:val="3E7A1066"/>
    <w:rsid w:val="3E8B02D2"/>
    <w:rsid w:val="3EB5203B"/>
    <w:rsid w:val="3EC90851"/>
    <w:rsid w:val="3EDF580B"/>
    <w:rsid w:val="3EE91F38"/>
    <w:rsid w:val="3EEC709C"/>
    <w:rsid w:val="3EF67939"/>
    <w:rsid w:val="3F0C6896"/>
    <w:rsid w:val="3F0F0593"/>
    <w:rsid w:val="3F6858B0"/>
    <w:rsid w:val="3F8C00E4"/>
    <w:rsid w:val="3FA634CF"/>
    <w:rsid w:val="3FC416B5"/>
    <w:rsid w:val="3FCB08BB"/>
    <w:rsid w:val="3FE35D6F"/>
    <w:rsid w:val="3FE566A7"/>
    <w:rsid w:val="3FF21CE3"/>
    <w:rsid w:val="3FF7D8CC"/>
    <w:rsid w:val="3FF803E9"/>
    <w:rsid w:val="3FFD509F"/>
    <w:rsid w:val="401902C0"/>
    <w:rsid w:val="403A4756"/>
    <w:rsid w:val="407319AF"/>
    <w:rsid w:val="408F21AE"/>
    <w:rsid w:val="40904164"/>
    <w:rsid w:val="409A4F66"/>
    <w:rsid w:val="409F5BC5"/>
    <w:rsid w:val="40A77C1E"/>
    <w:rsid w:val="40B25E65"/>
    <w:rsid w:val="40ED1BC5"/>
    <w:rsid w:val="41150177"/>
    <w:rsid w:val="414E6527"/>
    <w:rsid w:val="415B3DDB"/>
    <w:rsid w:val="41624571"/>
    <w:rsid w:val="419052C2"/>
    <w:rsid w:val="41921D6E"/>
    <w:rsid w:val="41AA2D88"/>
    <w:rsid w:val="41AB0607"/>
    <w:rsid w:val="41AB483E"/>
    <w:rsid w:val="41F7007B"/>
    <w:rsid w:val="41FC77A9"/>
    <w:rsid w:val="41FE6C77"/>
    <w:rsid w:val="420976C6"/>
    <w:rsid w:val="425E349F"/>
    <w:rsid w:val="426377B4"/>
    <w:rsid w:val="42765B70"/>
    <w:rsid w:val="42970F29"/>
    <w:rsid w:val="429F090F"/>
    <w:rsid w:val="42AA1217"/>
    <w:rsid w:val="42B02E1C"/>
    <w:rsid w:val="42D33FE9"/>
    <w:rsid w:val="42E659B9"/>
    <w:rsid w:val="42EC7EB0"/>
    <w:rsid w:val="430F1791"/>
    <w:rsid w:val="43103CBF"/>
    <w:rsid w:val="43193B00"/>
    <w:rsid w:val="4343096E"/>
    <w:rsid w:val="4369133D"/>
    <w:rsid w:val="437655DF"/>
    <w:rsid w:val="4380386C"/>
    <w:rsid w:val="43833896"/>
    <w:rsid w:val="43905FCB"/>
    <w:rsid w:val="439716BC"/>
    <w:rsid w:val="439A227F"/>
    <w:rsid w:val="43AB24BB"/>
    <w:rsid w:val="43BB2231"/>
    <w:rsid w:val="43C64E74"/>
    <w:rsid w:val="43D9708D"/>
    <w:rsid w:val="44202B49"/>
    <w:rsid w:val="44343761"/>
    <w:rsid w:val="448279C6"/>
    <w:rsid w:val="449A426F"/>
    <w:rsid w:val="44C04BF1"/>
    <w:rsid w:val="44D1077F"/>
    <w:rsid w:val="44F5180E"/>
    <w:rsid w:val="45294AE5"/>
    <w:rsid w:val="45592D15"/>
    <w:rsid w:val="456C6122"/>
    <w:rsid w:val="45E91D95"/>
    <w:rsid w:val="45F34A40"/>
    <w:rsid w:val="463A1345"/>
    <w:rsid w:val="465D5E5A"/>
    <w:rsid w:val="46627872"/>
    <w:rsid w:val="468F7BD3"/>
    <w:rsid w:val="46B974DD"/>
    <w:rsid w:val="47081596"/>
    <w:rsid w:val="47116848"/>
    <w:rsid w:val="47141F55"/>
    <w:rsid w:val="471A4860"/>
    <w:rsid w:val="471B36B5"/>
    <w:rsid w:val="47247D73"/>
    <w:rsid w:val="47266DC4"/>
    <w:rsid w:val="473C5120"/>
    <w:rsid w:val="474A4389"/>
    <w:rsid w:val="4772234A"/>
    <w:rsid w:val="4779658F"/>
    <w:rsid w:val="47A66B0B"/>
    <w:rsid w:val="47D711D7"/>
    <w:rsid w:val="47E01FDA"/>
    <w:rsid w:val="4821318C"/>
    <w:rsid w:val="485C56F3"/>
    <w:rsid w:val="48D55240"/>
    <w:rsid w:val="48E24F64"/>
    <w:rsid w:val="48F139D2"/>
    <w:rsid w:val="490025DB"/>
    <w:rsid w:val="4909091E"/>
    <w:rsid w:val="491C5B70"/>
    <w:rsid w:val="49270A58"/>
    <w:rsid w:val="4933322F"/>
    <w:rsid w:val="494517FD"/>
    <w:rsid w:val="49497542"/>
    <w:rsid w:val="494B5B97"/>
    <w:rsid w:val="497A213F"/>
    <w:rsid w:val="497B1F6D"/>
    <w:rsid w:val="498B2D47"/>
    <w:rsid w:val="498D016A"/>
    <w:rsid w:val="49C25ACD"/>
    <w:rsid w:val="49CA6990"/>
    <w:rsid w:val="49FD7D06"/>
    <w:rsid w:val="4A1F3E75"/>
    <w:rsid w:val="4A342276"/>
    <w:rsid w:val="4A385D7D"/>
    <w:rsid w:val="4A553200"/>
    <w:rsid w:val="4A6842CF"/>
    <w:rsid w:val="4A8F14D5"/>
    <w:rsid w:val="4AAC6390"/>
    <w:rsid w:val="4AB61391"/>
    <w:rsid w:val="4AC92FB0"/>
    <w:rsid w:val="4AE32977"/>
    <w:rsid w:val="4AE73D52"/>
    <w:rsid w:val="4AF17F6E"/>
    <w:rsid w:val="4AFC1B7E"/>
    <w:rsid w:val="4B0945FB"/>
    <w:rsid w:val="4B133F99"/>
    <w:rsid w:val="4B2046C3"/>
    <w:rsid w:val="4B4C0FE6"/>
    <w:rsid w:val="4B552F2A"/>
    <w:rsid w:val="4B58404E"/>
    <w:rsid w:val="4B601380"/>
    <w:rsid w:val="4B6F1B7D"/>
    <w:rsid w:val="4B7D1EE0"/>
    <w:rsid w:val="4B8C6A3E"/>
    <w:rsid w:val="4B8D317C"/>
    <w:rsid w:val="4BAE55B5"/>
    <w:rsid w:val="4BC8579F"/>
    <w:rsid w:val="4BDF49C1"/>
    <w:rsid w:val="4C0A657C"/>
    <w:rsid w:val="4C140F7F"/>
    <w:rsid w:val="4C406CEC"/>
    <w:rsid w:val="4C4B2321"/>
    <w:rsid w:val="4C5A00A4"/>
    <w:rsid w:val="4C983D44"/>
    <w:rsid w:val="4CB31115"/>
    <w:rsid w:val="4CCD2061"/>
    <w:rsid w:val="4CD37E70"/>
    <w:rsid w:val="4CE34AF1"/>
    <w:rsid w:val="4CEC62F5"/>
    <w:rsid w:val="4CED2987"/>
    <w:rsid w:val="4D3968F4"/>
    <w:rsid w:val="4D755ACF"/>
    <w:rsid w:val="4D847718"/>
    <w:rsid w:val="4D880C83"/>
    <w:rsid w:val="4E3932D8"/>
    <w:rsid w:val="4E8A44A6"/>
    <w:rsid w:val="4E8A5F3B"/>
    <w:rsid w:val="4EA06357"/>
    <w:rsid w:val="4EAD3076"/>
    <w:rsid w:val="4EB352D1"/>
    <w:rsid w:val="4EB64983"/>
    <w:rsid w:val="4EB85D4D"/>
    <w:rsid w:val="4EB9719F"/>
    <w:rsid w:val="4EDE3C34"/>
    <w:rsid w:val="4EDF26CB"/>
    <w:rsid w:val="4EE54A7A"/>
    <w:rsid w:val="4EF372AB"/>
    <w:rsid w:val="4EF74531"/>
    <w:rsid w:val="4F366133"/>
    <w:rsid w:val="4F5F14E2"/>
    <w:rsid w:val="4F676D1A"/>
    <w:rsid w:val="4F770325"/>
    <w:rsid w:val="4F934AB8"/>
    <w:rsid w:val="4F9A586D"/>
    <w:rsid w:val="4FBE4FD6"/>
    <w:rsid w:val="4FC34769"/>
    <w:rsid w:val="4FFFB778"/>
    <w:rsid w:val="5035124A"/>
    <w:rsid w:val="50402933"/>
    <w:rsid w:val="506438E4"/>
    <w:rsid w:val="507F1805"/>
    <w:rsid w:val="50852ED1"/>
    <w:rsid w:val="50D22026"/>
    <w:rsid w:val="50F73EA4"/>
    <w:rsid w:val="51297913"/>
    <w:rsid w:val="512C2753"/>
    <w:rsid w:val="51387DF0"/>
    <w:rsid w:val="515A7797"/>
    <w:rsid w:val="517C5172"/>
    <w:rsid w:val="51B271BF"/>
    <w:rsid w:val="51CB49BA"/>
    <w:rsid w:val="51E253E3"/>
    <w:rsid w:val="51EB214F"/>
    <w:rsid w:val="51FC056F"/>
    <w:rsid w:val="52042C55"/>
    <w:rsid w:val="52354768"/>
    <w:rsid w:val="525C468F"/>
    <w:rsid w:val="52BC5790"/>
    <w:rsid w:val="52E67FE8"/>
    <w:rsid w:val="53090813"/>
    <w:rsid w:val="530A1CE7"/>
    <w:rsid w:val="530A603C"/>
    <w:rsid w:val="53454D2A"/>
    <w:rsid w:val="535B6DA2"/>
    <w:rsid w:val="53614B6A"/>
    <w:rsid w:val="536D0C32"/>
    <w:rsid w:val="53793660"/>
    <w:rsid w:val="53814071"/>
    <w:rsid w:val="539630B4"/>
    <w:rsid w:val="53A12084"/>
    <w:rsid w:val="53A978CA"/>
    <w:rsid w:val="53AB3929"/>
    <w:rsid w:val="53B224DC"/>
    <w:rsid w:val="53B67271"/>
    <w:rsid w:val="543D630B"/>
    <w:rsid w:val="54436309"/>
    <w:rsid w:val="54442973"/>
    <w:rsid w:val="545F2763"/>
    <w:rsid w:val="546B599F"/>
    <w:rsid w:val="5477647F"/>
    <w:rsid w:val="54A263A6"/>
    <w:rsid w:val="54A478A8"/>
    <w:rsid w:val="54CD02D0"/>
    <w:rsid w:val="54DC4739"/>
    <w:rsid w:val="54F226E1"/>
    <w:rsid w:val="54F42812"/>
    <w:rsid w:val="54F6277E"/>
    <w:rsid w:val="55210316"/>
    <w:rsid w:val="55530590"/>
    <w:rsid w:val="55760C1C"/>
    <w:rsid w:val="557D2D4C"/>
    <w:rsid w:val="558B5570"/>
    <w:rsid w:val="55A460F7"/>
    <w:rsid w:val="55A96019"/>
    <w:rsid w:val="55AC5F35"/>
    <w:rsid w:val="55C7261E"/>
    <w:rsid w:val="55D83363"/>
    <w:rsid w:val="55F202D5"/>
    <w:rsid w:val="5612032E"/>
    <w:rsid w:val="5627395E"/>
    <w:rsid w:val="56457C3F"/>
    <w:rsid w:val="56661A59"/>
    <w:rsid w:val="5696214E"/>
    <w:rsid w:val="56C213BD"/>
    <w:rsid w:val="56D06246"/>
    <w:rsid w:val="56DC3932"/>
    <w:rsid w:val="56F305E7"/>
    <w:rsid w:val="57210727"/>
    <w:rsid w:val="5738186F"/>
    <w:rsid w:val="573B374F"/>
    <w:rsid w:val="57444D2D"/>
    <w:rsid w:val="57651DD4"/>
    <w:rsid w:val="57776B49"/>
    <w:rsid w:val="577E694F"/>
    <w:rsid w:val="578D02DA"/>
    <w:rsid w:val="57955BC5"/>
    <w:rsid w:val="57CC7D1F"/>
    <w:rsid w:val="57CE70E6"/>
    <w:rsid w:val="57D61199"/>
    <w:rsid w:val="57FD03CF"/>
    <w:rsid w:val="583A29CE"/>
    <w:rsid w:val="58627CC4"/>
    <w:rsid w:val="589E1E83"/>
    <w:rsid w:val="58B45421"/>
    <w:rsid w:val="58BE6F4E"/>
    <w:rsid w:val="58CB0852"/>
    <w:rsid w:val="58EC49D8"/>
    <w:rsid w:val="58EC5880"/>
    <w:rsid w:val="58EF61C5"/>
    <w:rsid w:val="59201E24"/>
    <w:rsid w:val="592E7BF5"/>
    <w:rsid w:val="59361E4C"/>
    <w:rsid w:val="593D3747"/>
    <w:rsid w:val="593D603F"/>
    <w:rsid w:val="597A4BD7"/>
    <w:rsid w:val="597A631B"/>
    <w:rsid w:val="597F56F1"/>
    <w:rsid w:val="59B43B81"/>
    <w:rsid w:val="59BE5A79"/>
    <w:rsid w:val="59D9003F"/>
    <w:rsid w:val="59EF6402"/>
    <w:rsid w:val="5A17173B"/>
    <w:rsid w:val="5A7B2BD6"/>
    <w:rsid w:val="5A820933"/>
    <w:rsid w:val="5A865AEA"/>
    <w:rsid w:val="5AE01A9C"/>
    <w:rsid w:val="5B4809EA"/>
    <w:rsid w:val="5B6A5777"/>
    <w:rsid w:val="5B7D3889"/>
    <w:rsid w:val="5B7D4F3D"/>
    <w:rsid w:val="5B801EC0"/>
    <w:rsid w:val="5B8020C6"/>
    <w:rsid w:val="5B996128"/>
    <w:rsid w:val="5BA509C1"/>
    <w:rsid w:val="5BBE24A2"/>
    <w:rsid w:val="5BDE23A3"/>
    <w:rsid w:val="5BFC0869"/>
    <w:rsid w:val="5BFF1AC4"/>
    <w:rsid w:val="5C1C2049"/>
    <w:rsid w:val="5C4D47D6"/>
    <w:rsid w:val="5C781020"/>
    <w:rsid w:val="5C8F2D0C"/>
    <w:rsid w:val="5CCE6662"/>
    <w:rsid w:val="5CDE06A4"/>
    <w:rsid w:val="5CEA216B"/>
    <w:rsid w:val="5CFB307C"/>
    <w:rsid w:val="5D0022A4"/>
    <w:rsid w:val="5D0C4067"/>
    <w:rsid w:val="5D12635A"/>
    <w:rsid w:val="5D1700F5"/>
    <w:rsid w:val="5D3B4345"/>
    <w:rsid w:val="5D403036"/>
    <w:rsid w:val="5D9D27BC"/>
    <w:rsid w:val="5DB169CC"/>
    <w:rsid w:val="5DB8108E"/>
    <w:rsid w:val="5DC91F9F"/>
    <w:rsid w:val="5E077007"/>
    <w:rsid w:val="5E0D0E5A"/>
    <w:rsid w:val="5E1A21B7"/>
    <w:rsid w:val="5E73161E"/>
    <w:rsid w:val="5EA63703"/>
    <w:rsid w:val="5EC7145C"/>
    <w:rsid w:val="5F021ADA"/>
    <w:rsid w:val="5F24397E"/>
    <w:rsid w:val="5F2510AD"/>
    <w:rsid w:val="5F412251"/>
    <w:rsid w:val="5F59332C"/>
    <w:rsid w:val="5F917672"/>
    <w:rsid w:val="5F9A4534"/>
    <w:rsid w:val="5FBF7F7C"/>
    <w:rsid w:val="5FFA1BA9"/>
    <w:rsid w:val="60162A32"/>
    <w:rsid w:val="603737E6"/>
    <w:rsid w:val="60484121"/>
    <w:rsid w:val="605D37B6"/>
    <w:rsid w:val="60886E68"/>
    <w:rsid w:val="608D4D42"/>
    <w:rsid w:val="60915764"/>
    <w:rsid w:val="6098578A"/>
    <w:rsid w:val="60A01AE2"/>
    <w:rsid w:val="60B6099F"/>
    <w:rsid w:val="60CD5A3B"/>
    <w:rsid w:val="60F00163"/>
    <w:rsid w:val="613D38FA"/>
    <w:rsid w:val="615D16CF"/>
    <w:rsid w:val="61771CA1"/>
    <w:rsid w:val="617C2257"/>
    <w:rsid w:val="617D7193"/>
    <w:rsid w:val="61CE298B"/>
    <w:rsid w:val="61F04574"/>
    <w:rsid w:val="61FC2C13"/>
    <w:rsid w:val="62045A73"/>
    <w:rsid w:val="62060FB0"/>
    <w:rsid w:val="623928E9"/>
    <w:rsid w:val="62861627"/>
    <w:rsid w:val="62900E4D"/>
    <w:rsid w:val="62A17960"/>
    <w:rsid w:val="62BC4AF2"/>
    <w:rsid w:val="62C03708"/>
    <w:rsid w:val="63120F0F"/>
    <w:rsid w:val="633706FC"/>
    <w:rsid w:val="63571D28"/>
    <w:rsid w:val="63641AA2"/>
    <w:rsid w:val="63A034FD"/>
    <w:rsid w:val="63C10941"/>
    <w:rsid w:val="63C71C93"/>
    <w:rsid w:val="63DE5B6E"/>
    <w:rsid w:val="63E40146"/>
    <w:rsid w:val="64327BDB"/>
    <w:rsid w:val="6448422E"/>
    <w:rsid w:val="64511284"/>
    <w:rsid w:val="64A5760D"/>
    <w:rsid w:val="64EB0058"/>
    <w:rsid w:val="64F75218"/>
    <w:rsid w:val="65571143"/>
    <w:rsid w:val="65AE1912"/>
    <w:rsid w:val="6612320A"/>
    <w:rsid w:val="661C6D5B"/>
    <w:rsid w:val="662B7F82"/>
    <w:rsid w:val="662C610E"/>
    <w:rsid w:val="663B06C8"/>
    <w:rsid w:val="664546D2"/>
    <w:rsid w:val="66584272"/>
    <w:rsid w:val="667D6BD6"/>
    <w:rsid w:val="66857386"/>
    <w:rsid w:val="668F22BA"/>
    <w:rsid w:val="66C80B1C"/>
    <w:rsid w:val="66C81889"/>
    <w:rsid w:val="66C93102"/>
    <w:rsid w:val="66CD5C0E"/>
    <w:rsid w:val="66CE3C1F"/>
    <w:rsid w:val="66F46458"/>
    <w:rsid w:val="66F70AFD"/>
    <w:rsid w:val="671C796D"/>
    <w:rsid w:val="676A5C93"/>
    <w:rsid w:val="676C62D1"/>
    <w:rsid w:val="67891362"/>
    <w:rsid w:val="67A145BD"/>
    <w:rsid w:val="67A86501"/>
    <w:rsid w:val="67B42973"/>
    <w:rsid w:val="67B62B11"/>
    <w:rsid w:val="67CE34CD"/>
    <w:rsid w:val="67D8443E"/>
    <w:rsid w:val="67F9073D"/>
    <w:rsid w:val="67F97CA8"/>
    <w:rsid w:val="68047219"/>
    <w:rsid w:val="68740927"/>
    <w:rsid w:val="68A56E0B"/>
    <w:rsid w:val="68B67E31"/>
    <w:rsid w:val="68FE793E"/>
    <w:rsid w:val="693917FC"/>
    <w:rsid w:val="694606E8"/>
    <w:rsid w:val="6987246E"/>
    <w:rsid w:val="69A3627A"/>
    <w:rsid w:val="69AF1206"/>
    <w:rsid w:val="69C96D7D"/>
    <w:rsid w:val="69DE4961"/>
    <w:rsid w:val="6A1C2FC5"/>
    <w:rsid w:val="6A8801A3"/>
    <w:rsid w:val="6A8E6D55"/>
    <w:rsid w:val="6A9274F8"/>
    <w:rsid w:val="6A9A3DE0"/>
    <w:rsid w:val="6AB45694"/>
    <w:rsid w:val="6B110C26"/>
    <w:rsid w:val="6B4B6503"/>
    <w:rsid w:val="6B54233F"/>
    <w:rsid w:val="6B5A36B8"/>
    <w:rsid w:val="6B885FBC"/>
    <w:rsid w:val="6B907912"/>
    <w:rsid w:val="6B9634AB"/>
    <w:rsid w:val="6B9E49BE"/>
    <w:rsid w:val="6BA022C7"/>
    <w:rsid w:val="6BA94CB2"/>
    <w:rsid w:val="6BB00E6E"/>
    <w:rsid w:val="6BBA05E0"/>
    <w:rsid w:val="6BCA42B7"/>
    <w:rsid w:val="6BF96190"/>
    <w:rsid w:val="6C06558A"/>
    <w:rsid w:val="6C4C4FA3"/>
    <w:rsid w:val="6D317DF2"/>
    <w:rsid w:val="6D561FA9"/>
    <w:rsid w:val="6D60318D"/>
    <w:rsid w:val="6D7C1947"/>
    <w:rsid w:val="6E43227F"/>
    <w:rsid w:val="6E474D2B"/>
    <w:rsid w:val="6E583BE7"/>
    <w:rsid w:val="6E8430A2"/>
    <w:rsid w:val="6EAA03D5"/>
    <w:rsid w:val="6ED67587"/>
    <w:rsid w:val="6EEA0B2D"/>
    <w:rsid w:val="6EFC219A"/>
    <w:rsid w:val="6F0037D5"/>
    <w:rsid w:val="6F0E5D9B"/>
    <w:rsid w:val="6F301FF5"/>
    <w:rsid w:val="6F3432C4"/>
    <w:rsid w:val="6F3519C4"/>
    <w:rsid w:val="6F36BA1A"/>
    <w:rsid w:val="6F3F2B07"/>
    <w:rsid w:val="6F6F0448"/>
    <w:rsid w:val="6F9D00D5"/>
    <w:rsid w:val="6FB36847"/>
    <w:rsid w:val="6FD25AEB"/>
    <w:rsid w:val="6FD27415"/>
    <w:rsid w:val="700600AF"/>
    <w:rsid w:val="70490762"/>
    <w:rsid w:val="704C61B2"/>
    <w:rsid w:val="705C24E4"/>
    <w:rsid w:val="70624FDE"/>
    <w:rsid w:val="708F6E4F"/>
    <w:rsid w:val="70B27BB9"/>
    <w:rsid w:val="70D22E37"/>
    <w:rsid w:val="70EB2CFE"/>
    <w:rsid w:val="712959EB"/>
    <w:rsid w:val="71542F6E"/>
    <w:rsid w:val="71AB59F8"/>
    <w:rsid w:val="71AF1953"/>
    <w:rsid w:val="71DD040E"/>
    <w:rsid w:val="71F60548"/>
    <w:rsid w:val="720A5AE4"/>
    <w:rsid w:val="72296484"/>
    <w:rsid w:val="7238466A"/>
    <w:rsid w:val="724040EA"/>
    <w:rsid w:val="72517E09"/>
    <w:rsid w:val="72571600"/>
    <w:rsid w:val="725A7738"/>
    <w:rsid w:val="725B0D1B"/>
    <w:rsid w:val="7263772C"/>
    <w:rsid w:val="726B70A2"/>
    <w:rsid w:val="727D119F"/>
    <w:rsid w:val="72902B04"/>
    <w:rsid w:val="729F1160"/>
    <w:rsid w:val="72A95DBC"/>
    <w:rsid w:val="72BF1307"/>
    <w:rsid w:val="72D47BEE"/>
    <w:rsid w:val="731A5A36"/>
    <w:rsid w:val="731D5646"/>
    <w:rsid w:val="732C7652"/>
    <w:rsid w:val="7339052E"/>
    <w:rsid w:val="733A28D2"/>
    <w:rsid w:val="73425424"/>
    <w:rsid w:val="73442499"/>
    <w:rsid w:val="73630EF8"/>
    <w:rsid w:val="73666A44"/>
    <w:rsid w:val="73780A4D"/>
    <w:rsid w:val="73822B61"/>
    <w:rsid w:val="73840D2E"/>
    <w:rsid w:val="738E2206"/>
    <w:rsid w:val="739154A5"/>
    <w:rsid w:val="73A66CA8"/>
    <w:rsid w:val="73C04247"/>
    <w:rsid w:val="73C87980"/>
    <w:rsid w:val="73CF1F9E"/>
    <w:rsid w:val="73DC7107"/>
    <w:rsid w:val="73F11302"/>
    <w:rsid w:val="73FC6986"/>
    <w:rsid w:val="74112A39"/>
    <w:rsid w:val="74291EBB"/>
    <w:rsid w:val="74312DBA"/>
    <w:rsid w:val="74333ED1"/>
    <w:rsid w:val="744D3654"/>
    <w:rsid w:val="7451024C"/>
    <w:rsid w:val="74594B9A"/>
    <w:rsid w:val="74697AFF"/>
    <w:rsid w:val="74770B98"/>
    <w:rsid w:val="7480771A"/>
    <w:rsid w:val="74953420"/>
    <w:rsid w:val="74991597"/>
    <w:rsid w:val="74A46359"/>
    <w:rsid w:val="74C37223"/>
    <w:rsid w:val="753C0C33"/>
    <w:rsid w:val="753F338B"/>
    <w:rsid w:val="75576AE0"/>
    <w:rsid w:val="755873EF"/>
    <w:rsid w:val="758351CD"/>
    <w:rsid w:val="75BC038C"/>
    <w:rsid w:val="75C0344B"/>
    <w:rsid w:val="75CB36FA"/>
    <w:rsid w:val="75E44210"/>
    <w:rsid w:val="75E776B9"/>
    <w:rsid w:val="760009EB"/>
    <w:rsid w:val="761C42A4"/>
    <w:rsid w:val="7652134C"/>
    <w:rsid w:val="767E343C"/>
    <w:rsid w:val="769A3A8D"/>
    <w:rsid w:val="76C24505"/>
    <w:rsid w:val="76DD3E2B"/>
    <w:rsid w:val="76FC7DCD"/>
    <w:rsid w:val="76FE2437"/>
    <w:rsid w:val="7723678B"/>
    <w:rsid w:val="772A3ECA"/>
    <w:rsid w:val="773C22FB"/>
    <w:rsid w:val="774719F2"/>
    <w:rsid w:val="774A5831"/>
    <w:rsid w:val="774F1138"/>
    <w:rsid w:val="7754323D"/>
    <w:rsid w:val="779D5E48"/>
    <w:rsid w:val="77B728E4"/>
    <w:rsid w:val="77BE380B"/>
    <w:rsid w:val="77C429E6"/>
    <w:rsid w:val="77D539E1"/>
    <w:rsid w:val="77F85D05"/>
    <w:rsid w:val="78317F5F"/>
    <w:rsid w:val="78326078"/>
    <w:rsid w:val="783F0D3D"/>
    <w:rsid w:val="78503C8B"/>
    <w:rsid w:val="785C5A58"/>
    <w:rsid w:val="787A7236"/>
    <w:rsid w:val="788C4BE8"/>
    <w:rsid w:val="788D2CD3"/>
    <w:rsid w:val="789D60F4"/>
    <w:rsid w:val="78D9067C"/>
    <w:rsid w:val="78FF1F25"/>
    <w:rsid w:val="79240A8B"/>
    <w:rsid w:val="79251555"/>
    <w:rsid w:val="793357E6"/>
    <w:rsid w:val="79446550"/>
    <w:rsid w:val="79AF3F37"/>
    <w:rsid w:val="79CF4524"/>
    <w:rsid w:val="79DF2182"/>
    <w:rsid w:val="79EF72F0"/>
    <w:rsid w:val="7A313387"/>
    <w:rsid w:val="7A320CC7"/>
    <w:rsid w:val="7A385DB6"/>
    <w:rsid w:val="7A596BA4"/>
    <w:rsid w:val="7A5B4D46"/>
    <w:rsid w:val="7A886AEF"/>
    <w:rsid w:val="7A9BA46A"/>
    <w:rsid w:val="7A9D6DD3"/>
    <w:rsid w:val="7A9E1F2D"/>
    <w:rsid w:val="7A9F1394"/>
    <w:rsid w:val="7AA55238"/>
    <w:rsid w:val="7AA8633C"/>
    <w:rsid w:val="7AD9768C"/>
    <w:rsid w:val="7ADC40F0"/>
    <w:rsid w:val="7AE3251B"/>
    <w:rsid w:val="7AE45DC2"/>
    <w:rsid w:val="7AFE0D54"/>
    <w:rsid w:val="7B027E8A"/>
    <w:rsid w:val="7B4873A4"/>
    <w:rsid w:val="7B4A7995"/>
    <w:rsid w:val="7B6D18C7"/>
    <w:rsid w:val="7B79498A"/>
    <w:rsid w:val="7B7F6987"/>
    <w:rsid w:val="7B873044"/>
    <w:rsid w:val="7BC1658F"/>
    <w:rsid w:val="7C1A4D07"/>
    <w:rsid w:val="7C2834FA"/>
    <w:rsid w:val="7C991B3A"/>
    <w:rsid w:val="7CA86170"/>
    <w:rsid w:val="7CB9C4B5"/>
    <w:rsid w:val="7CD03E5E"/>
    <w:rsid w:val="7CD8E04D"/>
    <w:rsid w:val="7CE9025D"/>
    <w:rsid w:val="7CEE17C2"/>
    <w:rsid w:val="7CEE2E85"/>
    <w:rsid w:val="7CF11ED1"/>
    <w:rsid w:val="7CFC6EEE"/>
    <w:rsid w:val="7D0670BB"/>
    <w:rsid w:val="7D076EE7"/>
    <w:rsid w:val="7D086627"/>
    <w:rsid w:val="7D0A27D4"/>
    <w:rsid w:val="7D0C4C4B"/>
    <w:rsid w:val="7D274A02"/>
    <w:rsid w:val="7D2B368C"/>
    <w:rsid w:val="7D4140AE"/>
    <w:rsid w:val="7D4252C7"/>
    <w:rsid w:val="7D4773FD"/>
    <w:rsid w:val="7D585EAD"/>
    <w:rsid w:val="7DAB50A2"/>
    <w:rsid w:val="7DDA1053"/>
    <w:rsid w:val="7DE15C81"/>
    <w:rsid w:val="7DF201C3"/>
    <w:rsid w:val="7DFDA3BB"/>
    <w:rsid w:val="7DFF03E7"/>
    <w:rsid w:val="7E010B98"/>
    <w:rsid w:val="7E087D83"/>
    <w:rsid w:val="7E167C07"/>
    <w:rsid w:val="7E2D3556"/>
    <w:rsid w:val="7E421EBE"/>
    <w:rsid w:val="7E5B41EB"/>
    <w:rsid w:val="7E5B45DD"/>
    <w:rsid w:val="7E5B990C"/>
    <w:rsid w:val="7E5D44A7"/>
    <w:rsid w:val="7E673275"/>
    <w:rsid w:val="7EA63BF5"/>
    <w:rsid w:val="7EBB6DCF"/>
    <w:rsid w:val="7EDE6D1B"/>
    <w:rsid w:val="7EEA332F"/>
    <w:rsid w:val="7EFC0C96"/>
    <w:rsid w:val="7F0D2C2A"/>
    <w:rsid w:val="7F398EB2"/>
    <w:rsid w:val="7F539584"/>
    <w:rsid w:val="7F6C23CC"/>
    <w:rsid w:val="7F6E4398"/>
    <w:rsid w:val="7F779D45"/>
    <w:rsid w:val="7FAF1111"/>
    <w:rsid w:val="7FBB3F45"/>
    <w:rsid w:val="7FBD36A5"/>
    <w:rsid w:val="7FCE1E6C"/>
    <w:rsid w:val="7FF7DD7D"/>
    <w:rsid w:val="7FF81879"/>
    <w:rsid w:val="7FF83E8E"/>
    <w:rsid w:val="7FFB2F05"/>
    <w:rsid w:val="87DF6E9B"/>
    <w:rsid w:val="95BF53A9"/>
    <w:rsid w:val="9F7F57ED"/>
    <w:rsid w:val="B5F9F1D4"/>
    <w:rsid w:val="B7CE1347"/>
    <w:rsid w:val="BBD2707F"/>
    <w:rsid w:val="BBFDBA8D"/>
    <w:rsid w:val="BF7D9CB7"/>
    <w:rsid w:val="C76FE27E"/>
    <w:rsid w:val="C83F9E53"/>
    <w:rsid w:val="CFB68749"/>
    <w:rsid w:val="CFDBAB80"/>
    <w:rsid w:val="CFFE4286"/>
    <w:rsid w:val="D0D39BCD"/>
    <w:rsid w:val="D71FCB3E"/>
    <w:rsid w:val="D93D637D"/>
    <w:rsid w:val="DBFDE982"/>
    <w:rsid w:val="DE7B7233"/>
    <w:rsid w:val="DF5E15AE"/>
    <w:rsid w:val="E1744743"/>
    <w:rsid w:val="E33E3744"/>
    <w:rsid w:val="EFBB5D56"/>
    <w:rsid w:val="EFF7D24C"/>
    <w:rsid w:val="F3E5C954"/>
    <w:rsid w:val="F5EF8182"/>
    <w:rsid w:val="F755C322"/>
    <w:rsid w:val="F7FFC846"/>
    <w:rsid w:val="FD6F28C5"/>
    <w:rsid w:val="FD6FE142"/>
    <w:rsid w:val="FD7DBC79"/>
    <w:rsid w:val="FDEFDE14"/>
    <w:rsid w:val="FDFFF4E5"/>
    <w:rsid w:val="FE2752A8"/>
    <w:rsid w:val="FE65147F"/>
    <w:rsid w:val="FEFF493D"/>
    <w:rsid w:val="FF3FA30C"/>
    <w:rsid w:val="FF570ED4"/>
    <w:rsid w:val="FF7FF323"/>
    <w:rsid w:val="FFE7FFF6"/>
    <w:rsid w:val="FFE91E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iPriority="99"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lang w:val="en-US" w:eastAsia="zh-CN" w:bidi="ar-SA"/>
    </w:rPr>
  </w:style>
  <w:style w:type="paragraph" w:styleId="3">
    <w:name w:val="heading 1"/>
    <w:basedOn w:val="1"/>
    <w:next w:val="1"/>
    <w:link w:val="32"/>
    <w:qFormat/>
    <w:uiPriority w:val="0"/>
    <w:pPr>
      <w:keepNext/>
      <w:keepLines/>
      <w:numPr>
        <w:ilvl w:val="0"/>
        <w:numId w:val="1"/>
      </w:numPr>
      <w:outlineLvl w:val="0"/>
    </w:pPr>
    <w:rPr>
      <w:b/>
      <w:bCs/>
      <w:kern w:val="44"/>
      <w:szCs w:val="44"/>
    </w:rPr>
  </w:style>
  <w:style w:type="paragraph" w:styleId="4">
    <w:name w:val="heading 2"/>
    <w:basedOn w:val="1"/>
    <w:next w:val="1"/>
    <w:link w:val="31"/>
    <w:qFormat/>
    <w:uiPriority w:val="0"/>
    <w:pPr>
      <w:keepNext/>
      <w:keepLines/>
      <w:numPr>
        <w:ilvl w:val="1"/>
        <w:numId w:val="1"/>
      </w:numPr>
      <w:outlineLvl w:val="1"/>
    </w:pPr>
    <w:rPr>
      <w:rFonts w:ascii="Times New Roman" w:hAnsi="Times New Roman" w:eastAsia="黑体"/>
      <w:b/>
      <w:bCs/>
      <w:sz w:val="28"/>
      <w:szCs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eastAsia="黑体"/>
      <w:sz w:val="24"/>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4">
    <w:name w:val="Default Paragraph Font"/>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customStyle="1" w:styleId="2">
    <w:name w:val="Default"/>
    <w:unhideWhenUsed/>
    <w:qFormat/>
    <w:uiPriority w:val="99"/>
    <w:pPr>
      <w:widowControl w:val="0"/>
      <w:autoSpaceDE w:val="0"/>
      <w:autoSpaceDN w:val="0"/>
      <w:adjustRightInd w:val="0"/>
      <w:spacing w:beforeLines="0" w:afterLines="0"/>
    </w:pPr>
    <w:rPr>
      <w:rFonts w:hint="eastAsia" w:ascii="FangSong_GB2312" w:hAnsi="FangSong_GB2312" w:eastAsia="FangSong_GB2312" w:cs="Times New Roman"/>
      <w:color w:val="000000"/>
      <w:sz w:val="24"/>
    </w:rPr>
  </w:style>
  <w:style w:type="paragraph" w:styleId="7">
    <w:name w:val="Normal Indent"/>
    <w:basedOn w:val="1"/>
    <w:qFormat/>
    <w:uiPriority w:val="0"/>
    <w:pPr>
      <w:ind w:firstLine="420" w:firstLineChars="200"/>
    </w:pPr>
    <w:rPr>
      <w:rFonts w:ascii="Times New Roman"/>
      <w:sz w:val="21"/>
    </w:rPr>
  </w:style>
  <w:style w:type="paragraph" w:styleId="8">
    <w:name w:val="caption"/>
    <w:basedOn w:val="1"/>
    <w:next w:val="1"/>
    <w:unhideWhenUsed/>
    <w:qFormat/>
    <w:uiPriority w:val="0"/>
    <w:rPr>
      <w:rFonts w:ascii="宋体" w:hAnsi="Arial"/>
    </w:rPr>
  </w:style>
  <w:style w:type="paragraph" w:styleId="9">
    <w:name w:val="annotation text"/>
    <w:basedOn w:val="1"/>
    <w:qFormat/>
    <w:uiPriority w:val="0"/>
    <w:pPr>
      <w:jc w:val="left"/>
    </w:pPr>
  </w:style>
  <w:style w:type="paragraph" w:styleId="10">
    <w:name w:val="Body Text"/>
    <w:basedOn w:val="1"/>
    <w:next w:val="11"/>
    <w:qFormat/>
    <w:uiPriority w:val="0"/>
    <w:pPr>
      <w:spacing w:after="120" w:line="240" w:lineRule="auto"/>
    </w:pPr>
  </w:style>
  <w:style w:type="paragraph" w:styleId="11">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12">
    <w:name w:val="Body Text Indent"/>
    <w:basedOn w:val="1"/>
    <w:qFormat/>
    <w:uiPriority w:val="0"/>
    <w:pPr>
      <w:autoSpaceDE w:val="0"/>
      <w:autoSpaceDN w:val="0"/>
      <w:adjustRightInd w:val="0"/>
      <w:snapToGrid w:val="0"/>
      <w:spacing w:line="240" w:lineRule="atLeast"/>
      <w:ind w:firstLine="435"/>
    </w:pPr>
    <w:rPr>
      <w:rFonts w:hAnsi="宋体"/>
      <w:sz w:val="21"/>
    </w:rPr>
  </w:style>
  <w:style w:type="paragraph" w:styleId="13">
    <w:name w:val="toc 3"/>
    <w:basedOn w:val="1"/>
    <w:next w:val="1"/>
    <w:qFormat/>
    <w:uiPriority w:val="0"/>
    <w:pPr>
      <w:ind w:left="840" w:leftChars="400"/>
    </w:pPr>
  </w:style>
  <w:style w:type="paragraph" w:styleId="14">
    <w:name w:val="Balloon Text"/>
    <w:basedOn w:val="1"/>
    <w:link w:val="33"/>
    <w:qFormat/>
    <w:uiPriority w:val="0"/>
    <w:rPr>
      <w:kern w:val="2"/>
      <w:sz w:val="18"/>
    </w:rPr>
  </w:style>
  <w:style w:type="paragraph" w:styleId="15">
    <w:name w:val="footer"/>
    <w:basedOn w:val="1"/>
    <w:link w:val="34"/>
    <w:qFormat/>
    <w:uiPriority w:val="0"/>
    <w:pPr>
      <w:tabs>
        <w:tab w:val="center" w:pos="4153"/>
        <w:tab w:val="right" w:pos="8306"/>
      </w:tabs>
      <w:snapToGrid w:val="0"/>
      <w:jc w:val="left"/>
    </w:pPr>
    <w:rPr>
      <w:kern w:val="2"/>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7">
    <w:name w:val="toc 1"/>
    <w:basedOn w:val="1"/>
    <w:next w:val="1"/>
    <w:qFormat/>
    <w:uiPriority w:val="0"/>
  </w:style>
  <w:style w:type="paragraph" w:styleId="18">
    <w:name w:val="index heading"/>
    <w:basedOn w:val="1"/>
    <w:next w:val="19"/>
    <w:unhideWhenUsed/>
    <w:qFormat/>
    <w:uiPriority w:val="99"/>
    <w:rPr>
      <w:rFonts w:ascii="Cambria" w:hAnsi="Cambria" w:eastAsia="宋体" w:cs="Times New Roman"/>
      <w:b/>
      <w:bCs/>
    </w:rPr>
  </w:style>
  <w:style w:type="paragraph" w:styleId="19">
    <w:name w:val="index 1"/>
    <w:basedOn w:val="1"/>
    <w:next w:val="1"/>
    <w:unhideWhenUsed/>
    <w:qFormat/>
    <w:uiPriority w:val="99"/>
    <w:rPr>
      <w:rFonts w:ascii="Times New Roman" w:hAnsi="Times New Roman" w:eastAsia="宋体" w:cs="Times New Roman"/>
    </w:rPr>
  </w:style>
  <w:style w:type="paragraph" w:styleId="20">
    <w:name w:val="toc 2"/>
    <w:basedOn w:val="1"/>
    <w:next w:val="1"/>
    <w:qFormat/>
    <w:uiPriority w:val="0"/>
    <w:pPr>
      <w:ind w:left="420" w:leftChars="200"/>
    </w:pPr>
  </w:style>
  <w:style w:type="paragraph" w:styleId="21">
    <w:name w:val="Normal (Web)"/>
    <w:basedOn w:val="1"/>
    <w:qFormat/>
    <w:uiPriority w:val="0"/>
    <w:rPr>
      <w:sz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rPr>
  </w:style>
  <w:style w:type="character" w:styleId="26">
    <w:name w:val="page number"/>
    <w:qFormat/>
    <w:uiPriority w:val="0"/>
  </w:style>
  <w:style w:type="character" w:styleId="27">
    <w:name w:val="FollowedHyperlink"/>
    <w:qFormat/>
    <w:uiPriority w:val="0"/>
    <w:rPr>
      <w:color w:val="3894C1"/>
      <w:u w:val="none"/>
    </w:rPr>
  </w:style>
  <w:style w:type="character" w:styleId="28">
    <w:name w:val="Emphasis"/>
    <w:qFormat/>
    <w:uiPriority w:val="0"/>
    <w:rPr>
      <w:i/>
    </w:rPr>
  </w:style>
  <w:style w:type="character" w:styleId="29">
    <w:name w:val="Hyperlink"/>
    <w:qFormat/>
    <w:uiPriority w:val="0"/>
    <w:rPr>
      <w:color w:val="3894C1"/>
      <w:u w:val="none"/>
    </w:rPr>
  </w:style>
  <w:style w:type="character" w:styleId="30">
    <w:name w:val="HTML Cite"/>
    <w:qFormat/>
    <w:uiPriority w:val="0"/>
  </w:style>
  <w:style w:type="character" w:customStyle="1" w:styleId="31">
    <w:name w:val="标题 2 Char"/>
    <w:link w:val="4"/>
    <w:qFormat/>
    <w:uiPriority w:val="0"/>
    <w:rPr>
      <w:rFonts w:ascii="Times New Roman" w:hAnsi="Times New Roman" w:eastAsia="黑体"/>
      <w:b/>
      <w:bCs/>
      <w:sz w:val="28"/>
      <w:szCs w:val="32"/>
    </w:rPr>
  </w:style>
  <w:style w:type="character" w:customStyle="1" w:styleId="32">
    <w:name w:val="标题 1 Char"/>
    <w:link w:val="3"/>
    <w:qFormat/>
    <w:uiPriority w:val="0"/>
    <w:rPr>
      <w:b/>
      <w:bCs/>
      <w:kern w:val="44"/>
      <w:szCs w:val="44"/>
    </w:rPr>
  </w:style>
  <w:style w:type="character" w:customStyle="1" w:styleId="33">
    <w:name w:val="批注框文本 Char"/>
    <w:link w:val="14"/>
    <w:qFormat/>
    <w:uiPriority w:val="0"/>
    <w:rPr>
      <w:kern w:val="2"/>
      <w:sz w:val="18"/>
    </w:rPr>
  </w:style>
  <w:style w:type="character" w:customStyle="1" w:styleId="34">
    <w:name w:val="页脚 Char"/>
    <w:link w:val="15"/>
    <w:qFormat/>
    <w:uiPriority w:val="0"/>
    <w:rPr>
      <w:kern w:val="2"/>
      <w:sz w:val="18"/>
    </w:rPr>
  </w:style>
  <w:style w:type="character" w:customStyle="1" w:styleId="35">
    <w:name w:val="dynatree-expander12"/>
    <w:basedOn w:val="24"/>
    <w:qFormat/>
    <w:uiPriority w:val="0"/>
  </w:style>
  <w:style w:type="character" w:customStyle="1" w:styleId="36">
    <w:name w:val="dynatree-connector1"/>
    <w:basedOn w:val="24"/>
    <w:qFormat/>
    <w:uiPriority w:val="0"/>
  </w:style>
  <w:style w:type="character" w:customStyle="1" w:styleId="37">
    <w:name w:val="dynatree-expander13"/>
    <w:basedOn w:val="24"/>
    <w:qFormat/>
    <w:uiPriority w:val="0"/>
  </w:style>
  <w:style w:type="character" w:customStyle="1" w:styleId="38">
    <w:name w:val="dynatree-radio-disable"/>
    <w:basedOn w:val="24"/>
    <w:qFormat/>
    <w:uiPriority w:val="0"/>
  </w:style>
  <w:style w:type="character" w:customStyle="1" w:styleId="39">
    <w:name w:val="page-selected2"/>
    <w:qFormat/>
    <w:uiPriority w:val="0"/>
    <w:rPr>
      <w:color w:val="888888"/>
    </w:rPr>
  </w:style>
  <w:style w:type="character" w:customStyle="1" w:styleId="40">
    <w:name w:val="dynatree-drag-source"/>
    <w:qFormat/>
    <w:uiPriority w:val="0"/>
    <w:rPr>
      <w:shd w:val="clear" w:color="auto" w:fill="E0E0E0"/>
    </w:rPr>
  </w:style>
  <w:style w:type="character" w:customStyle="1" w:styleId="41">
    <w:name w:val="page-end"/>
    <w:qFormat/>
    <w:uiPriority w:val="0"/>
    <w:rPr>
      <w:color w:val="CCCCCC"/>
      <w:sz w:val="21"/>
      <w:szCs w:val="21"/>
    </w:rPr>
  </w:style>
  <w:style w:type="character" w:customStyle="1" w:styleId="42">
    <w:name w:val="edui-clickable2"/>
    <w:qFormat/>
    <w:uiPriority w:val="0"/>
    <w:rPr>
      <w:color w:val="0000FF"/>
      <w:u w:val="single"/>
    </w:rPr>
  </w:style>
  <w:style w:type="character" w:customStyle="1" w:styleId="43">
    <w:name w:val="dynatree-icon4"/>
    <w:basedOn w:val="24"/>
    <w:qFormat/>
    <w:uiPriority w:val="0"/>
  </w:style>
  <w:style w:type="character" w:customStyle="1" w:styleId="44">
    <w:name w:val="dynatree-node"/>
    <w:basedOn w:val="24"/>
    <w:qFormat/>
    <w:uiPriority w:val="0"/>
  </w:style>
  <w:style w:type="character" w:customStyle="1" w:styleId="45">
    <w:name w:val="dynatree-checkbox"/>
    <w:basedOn w:val="24"/>
    <w:qFormat/>
    <w:uiPriority w:val="0"/>
  </w:style>
  <w:style w:type="character" w:customStyle="1" w:styleId="46">
    <w:name w:val="dynatree-expander8"/>
    <w:basedOn w:val="24"/>
    <w:qFormat/>
    <w:uiPriority w:val="0"/>
  </w:style>
  <w:style w:type="character" w:customStyle="1" w:styleId="47">
    <w:name w:val="dynatree-drag-helper-img"/>
    <w:basedOn w:val="24"/>
    <w:qFormat/>
    <w:uiPriority w:val="0"/>
  </w:style>
  <w:style w:type="character" w:customStyle="1" w:styleId="48">
    <w:name w:val="dynatree-radio2"/>
    <w:basedOn w:val="24"/>
    <w:qFormat/>
    <w:uiPriority w:val="0"/>
  </w:style>
  <w:style w:type="character" w:customStyle="1" w:styleId="49">
    <w:name w:val="dynatree-radio"/>
    <w:basedOn w:val="24"/>
    <w:qFormat/>
    <w:uiPriority w:val="0"/>
  </w:style>
  <w:style w:type="character" w:customStyle="1" w:styleId="50">
    <w:name w:val="dynatree-icon5"/>
    <w:basedOn w:val="24"/>
    <w:qFormat/>
    <w:uiPriority w:val="0"/>
  </w:style>
  <w:style w:type="character" w:customStyle="1" w:styleId="51">
    <w:name w:val="dynatree-expander1"/>
    <w:basedOn w:val="24"/>
    <w:qFormat/>
    <w:uiPriority w:val="0"/>
  </w:style>
  <w:style w:type="character" w:customStyle="1" w:styleId="52">
    <w:name w:val="dynatree-icon3"/>
    <w:basedOn w:val="24"/>
    <w:qFormat/>
    <w:uiPriority w:val="0"/>
  </w:style>
  <w:style w:type="character" w:customStyle="1" w:styleId="53">
    <w:name w:val="page-first1"/>
    <w:qFormat/>
    <w:uiPriority w:val="0"/>
    <w:rPr>
      <w:color w:val="CCCCCC"/>
      <w:sz w:val="21"/>
      <w:szCs w:val="21"/>
      <w:bdr w:val="single" w:color="DDDDDD" w:sz="6" w:space="0"/>
    </w:rPr>
  </w:style>
  <w:style w:type="character" w:customStyle="1" w:styleId="54">
    <w:name w:val="page-first8"/>
    <w:qFormat/>
    <w:uiPriority w:val="0"/>
    <w:rPr>
      <w:color w:val="CCCCCC"/>
    </w:rPr>
  </w:style>
  <w:style w:type="character" w:customStyle="1" w:styleId="55">
    <w:name w:val="dynatree-expander2"/>
    <w:basedOn w:val="24"/>
    <w:qFormat/>
    <w:uiPriority w:val="0"/>
  </w:style>
  <w:style w:type="character" w:customStyle="1" w:styleId="56">
    <w:name w:val="dynatree-drag-helper-img1"/>
    <w:basedOn w:val="24"/>
    <w:qFormat/>
    <w:uiPriority w:val="0"/>
  </w:style>
  <w:style w:type="character" w:customStyle="1" w:styleId="57">
    <w:name w:val="dynatree-expander9"/>
    <w:basedOn w:val="24"/>
    <w:qFormat/>
    <w:uiPriority w:val="0"/>
  </w:style>
  <w:style w:type="character" w:customStyle="1" w:styleId="58">
    <w:name w:val="page-prev-dis1"/>
    <w:qFormat/>
    <w:uiPriority w:val="0"/>
    <w:rPr>
      <w:color w:val="CCCCCC"/>
      <w:sz w:val="21"/>
      <w:szCs w:val="21"/>
      <w:bdr w:val="single" w:color="DDDDDD" w:sz="6" w:space="0"/>
      <w:shd w:val="clear" w:color="auto" w:fill="FFFFFF"/>
    </w:rPr>
  </w:style>
  <w:style w:type="character" w:customStyle="1" w:styleId="59">
    <w:name w:val="dynatree-expander7"/>
    <w:qFormat/>
    <w:uiPriority w:val="0"/>
    <w:rPr>
      <w:shd w:val="clear" w:color="auto" w:fill="FFFFFF"/>
    </w:rPr>
  </w:style>
  <w:style w:type="character" w:customStyle="1" w:styleId="60">
    <w:name w:val="dynatree-drag-helper-img3"/>
    <w:basedOn w:val="24"/>
    <w:qFormat/>
    <w:uiPriority w:val="0"/>
  </w:style>
  <w:style w:type="character" w:customStyle="1" w:styleId="61">
    <w:name w:val="pagesize-selected7"/>
    <w:qFormat/>
    <w:uiPriority w:val="0"/>
    <w:rPr>
      <w:color w:val="888888"/>
    </w:rPr>
  </w:style>
  <w:style w:type="character" w:customStyle="1" w:styleId="62">
    <w:name w:val="page-selected1"/>
    <w:qFormat/>
    <w:uiPriority w:val="0"/>
    <w:rPr>
      <w:color w:val="888888"/>
    </w:rPr>
  </w:style>
  <w:style w:type="character" w:customStyle="1" w:styleId="63">
    <w:name w:val="dynatree-empty1"/>
    <w:basedOn w:val="24"/>
    <w:qFormat/>
    <w:uiPriority w:val="0"/>
  </w:style>
  <w:style w:type="character" w:customStyle="1" w:styleId="64">
    <w:name w:val="dynatree-expander6"/>
    <w:basedOn w:val="24"/>
    <w:qFormat/>
    <w:uiPriority w:val="0"/>
  </w:style>
  <w:style w:type="character" w:customStyle="1" w:styleId="65">
    <w:name w:val="font01"/>
    <w:qFormat/>
    <w:uiPriority w:val="0"/>
    <w:rPr>
      <w:rFonts w:hint="eastAsia" w:ascii="仿宋" w:hAnsi="仿宋" w:eastAsia="仿宋" w:cs="仿宋"/>
      <w:color w:val="000000"/>
      <w:sz w:val="21"/>
      <w:szCs w:val="21"/>
      <w:u w:val="none"/>
    </w:rPr>
  </w:style>
  <w:style w:type="character" w:customStyle="1" w:styleId="66">
    <w:name w:val="page-next"/>
    <w:qFormat/>
    <w:uiPriority w:val="0"/>
    <w:rPr>
      <w:color w:val="CCCCCC"/>
      <w:sz w:val="21"/>
      <w:szCs w:val="21"/>
    </w:rPr>
  </w:style>
  <w:style w:type="character" w:customStyle="1" w:styleId="67">
    <w:name w:val="dynatree-vline"/>
    <w:basedOn w:val="24"/>
    <w:qFormat/>
    <w:uiPriority w:val="0"/>
  </w:style>
  <w:style w:type="character" w:customStyle="1" w:styleId="68">
    <w:name w:val="page-end3"/>
    <w:qFormat/>
    <w:uiPriority w:val="0"/>
    <w:rPr>
      <w:color w:val="CCCCCC"/>
    </w:rPr>
  </w:style>
  <w:style w:type="character" w:customStyle="1" w:styleId="69">
    <w:name w:val="page-first9"/>
    <w:qFormat/>
    <w:uiPriority w:val="0"/>
    <w:rPr>
      <w:color w:val="CCCCCC"/>
    </w:rPr>
  </w:style>
  <w:style w:type="character" w:customStyle="1" w:styleId="70">
    <w:name w:val="dynatree-icon2"/>
    <w:basedOn w:val="24"/>
    <w:qFormat/>
    <w:uiPriority w:val="0"/>
  </w:style>
  <w:style w:type="character" w:customStyle="1" w:styleId="71">
    <w:name w:val="dynatree-checkbox2"/>
    <w:basedOn w:val="24"/>
    <w:qFormat/>
    <w:uiPriority w:val="0"/>
  </w:style>
  <w:style w:type="character" w:customStyle="1" w:styleId="72">
    <w:name w:val="dynatree-checkbox1"/>
    <w:basedOn w:val="24"/>
    <w:qFormat/>
    <w:uiPriority w:val="0"/>
  </w:style>
  <w:style w:type="character" w:customStyle="1" w:styleId="73">
    <w:name w:val="dynatree-radio1"/>
    <w:basedOn w:val="24"/>
    <w:qFormat/>
    <w:uiPriority w:val="0"/>
  </w:style>
  <w:style w:type="character" w:customStyle="1" w:styleId="74">
    <w:name w:val="page-first2"/>
    <w:qFormat/>
    <w:uiPriority w:val="0"/>
    <w:rPr>
      <w:color w:val="CCCCCC"/>
    </w:rPr>
  </w:style>
  <w:style w:type="character" w:customStyle="1" w:styleId="75">
    <w:name w:val="dynatree-expander4"/>
    <w:basedOn w:val="24"/>
    <w:qFormat/>
    <w:uiPriority w:val="0"/>
  </w:style>
  <w:style w:type="character" w:customStyle="1" w:styleId="76">
    <w:name w:val="page-next1"/>
    <w:qFormat/>
    <w:uiPriority w:val="0"/>
    <w:rPr>
      <w:color w:val="CCCCCC"/>
    </w:rPr>
  </w:style>
  <w:style w:type="character" w:customStyle="1" w:styleId="77">
    <w:name w:val="font11"/>
    <w:qFormat/>
    <w:uiPriority w:val="0"/>
    <w:rPr>
      <w:rFonts w:hint="eastAsia" w:ascii="宋体" w:hAnsi="宋体" w:eastAsia="宋体" w:cs="宋体"/>
      <w:color w:val="000000"/>
      <w:sz w:val="28"/>
      <w:szCs w:val="28"/>
      <w:u w:val="none"/>
    </w:rPr>
  </w:style>
  <w:style w:type="character" w:customStyle="1" w:styleId="78">
    <w:name w:val="NormalCharacter"/>
    <w:qFormat/>
    <w:uiPriority w:val="0"/>
  </w:style>
  <w:style w:type="character" w:customStyle="1" w:styleId="79">
    <w:name w:val="page-selected"/>
    <w:qFormat/>
    <w:uiPriority w:val="0"/>
    <w:rPr>
      <w:color w:val="888888"/>
      <w:shd w:val="clear" w:color="auto" w:fill="F2F2F2"/>
    </w:rPr>
  </w:style>
  <w:style w:type="character" w:customStyle="1" w:styleId="80">
    <w:name w:val="page-next2"/>
    <w:qFormat/>
    <w:uiPriority w:val="0"/>
    <w:rPr>
      <w:color w:val="CCCCCC"/>
    </w:rPr>
  </w:style>
  <w:style w:type="character" w:customStyle="1" w:styleId="81">
    <w:name w:val="dynatree-expander5"/>
    <w:basedOn w:val="24"/>
    <w:qFormat/>
    <w:uiPriority w:val="0"/>
  </w:style>
  <w:style w:type="character" w:customStyle="1" w:styleId="82">
    <w:name w:val="dynatree-empty"/>
    <w:basedOn w:val="24"/>
    <w:qFormat/>
    <w:uiPriority w:val="0"/>
  </w:style>
  <w:style w:type="character" w:customStyle="1" w:styleId="83">
    <w:name w:val="dynatree-vline1"/>
    <w:basedOn w:val="24"/>
    <w:qFormat/>
    <w:uiPriority w:val="0"/>
  </w:style>
  <w:style w:type="character" w:customStyle="1" w:styleId="84">
    <w:name w:val="dynatree-connector"/>
    <w:basedOn w:val="24"/>
    <w:qFormat/>
    <w:uiPriority w:val="0"/>
  </w:style>
  <w:style w:type="character" w:customStyle="1" w:styleId="85">
    <w:name w:val="dynatree-expander11"/>
    <w:basedOn w:val="24"/>
    <w:qFormat/>
    <w:uiPriority w:val="0"/>
  </w:style>
  <w:style w:type="character" w:customStyle="1" w:styleId="86">
    <w:name w:val="dynatree-expander"/>
    <w:basedOn w:val="24"/>
    <w:qFormat/>
    <w:uiPriority w:val="0"/>
  </w:style>
  <w:style w:type="character" w:customStyle="1" w:styleId="87">
    <w:name w:val="dynatree-checkbox-disable"/>
    <w:basedOn w:val="24"/>
    <w:qFormat/>
    <w:uiPriority w:val="0"/>
  </w:style>
  <w:style w:type="character" w:customStyle="1" w:styleId="88">
    <w:name w:val="page-first"/>
    <w:qFormat/>
    <w:uiPriority w:val="0"/>
    <w:rPr>
      <w:color w:val="CCCCCC"/>
    </w:rPr>
  </w:style>
  <w:style w:type="character" w:customStyle="1" w:styleId="89">
    <w:name w:val="dynatree-icon"/>
    <w:basedOn w:val="24"/>
    <w:qFormat/>
    <w:uiPriority w:val="0"/>
  </w:style>
  <w:style w:type="character" w:customStyle="1" w:styleId="90">
    <w:name w:val="page-first7"/>
    <w:qFormat/>
    <w:uiPriority w:val="0"/>
    <w:rPr>
      <w:color w:val="CCCCCC"/>
    </w:rPr>
  </w:style>
  <w:style w:type="character" w:customStyle="1" w:styleId="91">
    <w:name w:val="dynatree-expander3"/>
    <w:basedOn w:val="24"/>
    <w:qFormat/>
    <w:uiPriority w:val="0"/>
  </w:style>
  <w:style w:type="character" w:customStyle="1" w:styleId="92">
    <w:name w:val="edui-unclickable"/>
    <w:qFormat/>
    <w:uiPriority w:val="0"/>
    <w:rPr>
      <w:color w:val="808080"/>
    </w:rPr>
  </w:style>
  <w:style w:type="character" w:customStyle="1" w:styleId="93">
    <w:name w:val="dynatree-expander10"/>
    <w:basedOn w:val="24"/>
    <w:qFormat/>
    <w:uiPriority w:val="0"/>
  </w:style>
  <w:style w:type="character" w:customStyle="1" w:styleId="94">
    <w:name w:val="pagesize-selected6"/>
    <w:qFormat/>
    <w:uiPriority w:val="0"/>
    <w:rPr>
      <w:color w:val="888888"/>
    </w:rPr>
  </w:style>
  <w:style w:type="character" w:customStyle="1" w:styleId="95">
    <w:name w:val="page-prev-dis"/>
    <w:qFormat/>
    <w:uiPriority w:val="0"/>
    <w:rPr>
      <w:color w:val="CCCCCC"/>
      <w:sz w:val="21"/>
      <w:szCs w:val="21"/>
      <w:bdr w:val="single" w:color="DDDDDD" w:sz="6" w:space="0"/>
      <w:shd w:val="clear" w:color="auto" w:fill="FFFFFF"/>
    </w:rPr>
  </w:style>
  <w:style w:type="character" w:customStyle="1" w:styleId="96">
    <w:name w:val="page-next10"/>
    <w:qFormat/>
    <w:uiPriority w:val="0"/>
    <w:rPr>
      <w:color w:val="CCCCCC"/>
    </w:rPr>
  </w:style>
  <w:style w:type="character" w:customStyle="1" w:styleId="97">
    <w:name w:val="pagesize-selected8"/>
    <w:qFormat/>
    <w:uiPriority w:val="0"/>
    <w:rPr>
      <w:color w:val="888888"/>
    </w:rPr>
  </w:style>
  <w:style w:type="character" w:customStyle="1" w:styleId="98">
    <w:name w:val="dynatree-drag-helper-img2"/>
    <w:basedOn w:val="24"/>
    <w:qFormat/>
    <w:uiPriority w:val="0"/>
  </w:style>
  <w:style w:type="character" w:customStyle="1" w:styleId="99">
    <w:name w:val="page-next12"/>
    <w:qFormat/>
    <w:uiPriority w:val="0"/>
    <w:rPr>
      <w:color w:val="CCCCCC"/>
    </w:rPr>
  </w:style>
  <w:style w:type="character" w:customStyle="1" w:styleId="100">
    <w:name w:val="dynatree-icon1"/>
    <w:basedOn w:val="24"/>
    <w:qFormat/>
    <w:uiPriority w:val="0"/>
  </w:style>
  <w:style w:type="character" w:customStyle="1" w:styleId="101">
    <w:name w:val="page-next11"/>
    <w:qFormat/>
    <w:uiPriority w:val="0"/>
    <w:rPr>
      <w:color w:val="CCCCCC"/>
    </w:rPr>
  </w:style>
  <w:style w:type="paragraph" w:customStyle="1" w:styleId="102">
    <w:name w:val="样式 (中文) 黑体 小五 居中 行距: 1.5 倍行距"/>
    <w:basedOn w:val="1"/>
    <w:qFormat/>
    <w:uiPriority w:val="0"/>
    <w:pPr>
      <w:jc w:val="center"/>
    </w:pPr>
    <w:rPr>
      <w:rFonts w:ascii="Times New Roman" w:cs="宋体"/>
      <w:sz w:val="18"/>
      <w:szCs w:val="20"/>
    </w:rPr>
  </w:style>
  <w:style w:type="paragraph" w:customStyle="1" w:styleId="103">
    <w:name w:val="p0"/>
    <w:basedOn w:val="1"/>
    <w:qFormat/>
    <w:uiPriority w:val="0"/>
    <w:pPr>
      <w:widowControl/>
    </w:pPr>
    <w:rPr>
      <w:kern w:val="0"/>
    </w:rPr>
  </w:style>
  <w:style w:type="paragraph" w:customStyle="1" w:styleId="104">
    <w:name w:val="样式1"/>
    <w:basedOn w:val="1"/>
    <w:qFormat/>
    <w:uiPriority w:val="0"/>
    <w:pPr>
      <w:numPr>
        <w:ilvl w:val="2"/>
        <w:numId w:val="1"/>
      </w:numPr>
    </w:pPr>
  </w:style>
  <w:style w:type="paragraph" w:customStyle="1" w:styleId="105">
    <w:name w:val="样式5"/>
    <w:basedOn w:val="1"/>
    <w:next w:val="1"/>
    <w:qFormat/>
    <w:uiPriority w:val="0"/>
    <w:pPr>
      <w:spacing w:before="200" w:beforeLines="200"/>
      <w:jc w:val="center"/>
    </w:pPr>
    <w:rPr>
      <w:rFonts w:hint="eastAsia" w:ascii="宋体" w:hAnsi="宋体" w:eastAsia="宋体" w:cs="宋体"/>
      <w:b/>
      <w:sz w:val="52"/>
    </w:rPr>
  </w:style>
  <w:style w:type="paragraph" w:customStyle="1" w:styleId="106">
    <w:name w:val="List Paragraph"/>
    <w:qFormat/>
    <w:uiPriority w:val="0"/>
    <w:pPr>
      <w:widowControl w:val="0"/>
      <w:spacing w:line="240" w:lineRule="auto"/>
      <w:ind w:firstLine="420" w:firstLineChars="200"/>
      <w:jc w:val="both"/>
    </w:pPr>
    <w:rPr>
      <w:rFonts w:ascii="Times New Roman" w:hAnsi="Times New Roman" w:eastAsia="宋体" w:cs="Times New Roman"/>
      <w:kern w:val="2"/>
      <w:sz w:val="21"/>
      <w:szCs w:val="20"/>
      <w:lang w:val="en-US" w:eastAsia="zh-CN" w:bidi="ar-SA"/>
    </w:rPr>
  </w:style>
  <w:style w:type="paragraph" w:customStyle="1" w:styleId="107">
    <w:name w:val="样式 标题 2"/>
    <w:basedOn w:val="4"/>
    <w:qFormat/>
    <w:uiPriority w:val="0"/>
    <w:rPr>
      <w:b w:val="0"/>
      <w:bCs w:val="0"/>
    </w:rPr>
  </w:style>
  <w:style w:type="paragraph" w:customStyle="1" w:styleId="108">
    <w:name w:val="首行缩进"/>
    <w:basedOn w:val="1"/>
    <w:qFormat/>
    <w:uiPriority w:val="0"/>
    <w:pPr>
      <w:spacing w:line="300" w:lineRule="auto"/>
      <w:ind w:firstLine="420" w:firstLineChars="200"/>
    </w:pPr>
    <w:rPr>
      <w:rFonts w:ascii="Calibri" w:hAnsi="Calibri" w:eastAsia="方正书宋简体"/>
      <w:kern w:val="0"/>
      <w:sz w:val="20"/>
      <w:szCs w:val="20"/>
    </w:rPr>
  </w:style>
  <w:style w:type="paragraph" w:customStyle="1" w:styleId="109">
    <w:name w:val="前言、引言标题"/>
    <w:basedOn w:val="1"/>
    <w:next w:val="1"/>
    <w:qFormat/>
    <w:uiPriority w:val="0"/>
    <w:pPr>
      <w:numPr>
        <w:ilvl w:val="0"/>
        <w:numId w:val="2"/>
      </w:numPr>
    </w:pPr>
  </w:style>
  <w:style w:type="paragraph" w:customStyle="1" w:styleId="110">
    <w:name w:val="表头"/>
    <w:basedOn w:val="8"/>
    <w:qFormat/>
    <w:uiPriority w:val="0"/>
    <w:pPr>
      <w:spacing w:beforeLines="50" w:line="360" w:lineRule="auto"/>
      <w:jc w:val="center"/>
    </w:pPr>
    <w:rPr>
      <w:rFonts w:ascii="Times New Roman" w:hAnsi="Cambria" w:eastAsia="宋体" w:cs="Times New Roman"/>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iTianKong.com</Company>
  <Pages>30</Pages>
  <Words>115862</Words>
  <Characters>130673</Characters>
  <Lines>94</Lines>
  <Paragraphs>26</Paragraphs>
  <TotalTime>2</TotalTime>
  <ScaleCrop>false</ScaleCrop>
  <LinksUpToDate>false</LinksUpToDate>
  <CharactersWithSpaces>144179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2019-04-19T15:11:00Z</dcterms:created>
  <dc:creator>吴激勇</dc:creator>
  <cp:lastModifiedBy>吴庆军</cp:lastModifiedBy>
  <cp:lastPrinted>2022-09-19T00:45:00Z</cp:lastPrinted>
  <dcterms:modified xsi:type="dcterms:W3CDTF">2025-11-21T02:32:55Z</dcterms:modified>
  <dc:title>鹿山站#1主变差动保护动作检查及试验情况</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C1F92A780EAC40D58AF487040AAB8DBA</vt:lpwstr>
  </property>
</Properties>
</file>