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pPr>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0" y="0"/>
                <wp:lineTo x="0" y="21500"/>
                <wp:lineTo x="21554" y="21500"/>
                <wp:lineTo x="21554"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a:ln>
                      <a:noFill/>
                    </a:ln>
                  </pic:spPr>
                </pic:pic>
              </a:graphicData>
            </a:graphic>
          </wp:anchor>
        </w:drawing>
      </w:r>
      <w:r>
        <w:rPr>
          <w:rFonts w:hint="eastAsia" w:eastAsia="黑体"/>
          <w:b/>
          <w:sz w:val="52"/>
        </w:rPr>
        <w:t>10kV 干式电压互感器技术规范书</w:t>
      </w:r>
    </w:p>
    <w:p>
      <w:pPr>
        <w:spacing w:before="480" w:beforeLines="200"/>
        <w:ind w:left="2437" w:leftChars="300" w:hanging="1807" w:hangingChars="500"/>
        <w:jc w:val="left"/>
        <w:rPr>
          <w:rFonts w:hint="eastAsia" w:eastAsia="黑体"/>
          <w:b/>
          <w:sz w:val="36"/>
          <w:lang w:eastAsia="zh-CN"/>
        </w:rPr>
      </w:pPr>
      <w:r>
        <w:rPr>
          <w:rFonts w:hint="eastAsia" w:eastAsia="黑体"/>
          <w:b/>
          <w:sz w:val="36"/>
        </w:rPr>
        <w:t>项目名称：</w:t>
      </w:r>
      <w:r>
        <w:rPr>
          <w:rFonts w:hint="eastAsia" w:eastAsia="黑体"/>
          <w:b/>
          <w:sz w:val="36"/>
          <w:lang w:eastAsia="zh-CN"/>
        </w:rPr>
        <w:t>2024年35kV泉水变电站10kV1号母线PT更换技改项目</w:t>
      </w:r>
    </w:p>
    <w:p>
      <w:pPr>
        <w:spacing w:before="480" w:beforeLines="200"/>
        <w:ind w:left="2437" w:leftChars="300" w:hanging="1807" w:hangingChars="500"/>
        <w:jc w:val="left"/>
        <w:rPr>
          <w:rFonts w:hint="eastAsia" w:eastAsia="黑体"/>
          <w:b/>
          <w:sz w:val="36"/>
        </w:rPr>
      </w:pP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jc w:val="center"/>
        <w:rPr>
          <w:rFonts w:hint="eastAsia" w:ascii="黑体" w:eastAsia="黑体"/>
          <w:b/>
          <w:spacing w:val="20"/>
          <w:w w:val="135"/>
          <w:sz w:val="30"/>
        </w:rPr>
      </w:pPr>
      <w:r>
        <w:rPr>
          <w:rFonts w:hint="eastAsia" w:ascii="黑体" w:eastAsia="黑体"/>
          <w:b/>
          <w:spacing w:val="20"/>
          <w:w w:val="135"/>
          <w:sz w:val="30"/>
        </w:rPr>
        <w:t>广西电网公司钦州供电局</w:t>
      </w:r>
    </w:p>
    <w:p>
      <w:pPr>
        <w:spacing w:before="480" w:beforeLines="200"/>
        <w:jc w:val="center"/>
        <w:rPr>
          <w:rFonts w:eastAsia="黑体"/>
          <w:b/>
          <w:sz w:val="36"/>
        </w:rPr>
      </w:pPr>
      <w:r>
        <w:rPr>
          <w:rFonts w:hint="eastAsia" w:ascii="黑体" w:eastAsia="黑体"/>
          <w:b/>
          <w:spacing w:val="20"/>
          <w:w w:val="135"/>
          <w:sz w:val="30"/>
        </w:rPr>
        <w:t>20</w:t>
      </w:r>
      <w:r>
        <w:rPr>
          <w:rFonts w:hint="eastAsia" w:ascii="黑体" w:eastAsia="黑体"/>
          <w:b/>
          <w:spacing w:val="20"/>
          <w:w w:val="135"/>
          <w:sz w:val="30"/>
          <w:lang w:val="en-US" w:eastAsia="zh-CN"/>
        </w:rPr>
        <w:t>25</w:t>
      </w:r>
      <w:r>
        <w:rPr>
          <w:rFonts w:hint="eastAsia" w:ascii="黑体" w:eastAsia="黑体"/>
          <w:b/>
          <w:spacing w:val="20"/>
          <w:w w:val="135"/>
          <w:sz w:val="30"/>
        </w:rPr>
        <w:t>年</w:t>
      </w:r>
      <w:r>
        <w:rPr>
          <w:rFonts w:hint="eastAsia" w:ascii="黑体" w:eastAsia="黑体"/>
          <w:b/>
          <w:spacing w:val="20"/>
          <w:w w:val="135"/>
          <w:sz w:val="30"/>
          <w:lang w:val="en-US" w:eastAsia="zh-CN"/>
        </w:rPr>
        <w:t>11</w:t>
      </w:r>
      <w:r>
        <w:rPr>
          <w:rFonts w:hint="eastAsia" w:ascii="黑体" w:eastAsia="黑体"/>
          <w:b/>
          <w:spacing w:val="20"/>
          <w:w w:val="135"/>
          <w:sz w:val="30"/>
        </w:rPr>
        <w:t>月</w:t>
      </w:r>
    </w:p>
    <w:p>
      <w:pPr>
        <w:pStyle w:val="58"/>
        <w:numPr>
          <w:ilvl w:val="1"/>
          <w:numId w:val="0"/>
        </w:numPr>
        <w:autoSpaceDE w:val="0"/>
        <w:autoSpaceDN w:val="0"/>
        <w:rPr>
          <w:rFonts w:ascii="Times New Roman"/>
        </w:rPr>
      </w:pPr>
    </w:p>
    <w:p>
      <w:pPr>
        <w:pStyle w:val="58"/>
        <w:numPr>
          <w:ilvl w:val="1"/>
          <w:numId w:val="0"/>
        </w:numPr>
        <w:autoSpaceDE w:val="0"/>
        <w:autoSpaceDN w:val="0"/>
        <w:rPr>
          <w:rFonts w:ascii="Times New Roman"/>
        </w:rPr>
        <w:sectPr>
          <w:headerReference r:id="rId5" w:type="first"/>
          <w:footerReference r:id="rId8" w:type="first"/>
          <w:headerReference r:id="rId3" w:type="default"/>
          <w:footerReference r:id="rId6" w:type="default"/>
          <w:headerReference r:id="rId4" w:type="even"/>
          <w:footerReference r:id="rId7" w:type="even"/>
          <w:pgSz w:w="11907" w:h="16839"/>
          <w:pgMar w:top="1440" w:right="1701" w:bottom="1440" w:left="1701" w:header="964" w:footer="737" w:gutter="0"/>
          <w:pgNumType w:start="1"/>
          <w:cols w:space="425" w:num="1"/>
          <w:titlePg/>
          <w:docGrid w:linePitch="312" w:charSpace="0"/>
        </w:sectPr>
      </w:pPr>
    </w:p>
    <w:p>
      <w:pPr>
        <w:pStyle w:val="45"/>
        <w:adjustRightInd w:val="0"/>
        <w:snapToGrid w:val="0"/>
        <w:spacing w:line="360" w:lineRule="auto"/>
        <w:ind w:firstLine="3241" w:firstLineChars="1076"/>
        <w:rPr>
          <w:rFonts w:eastAsia="宋体" w:cs="Times New Roman"/>
          <w:b/>
          <w:sz w:val="30"/>
          <w:szCs w:val="24"/>
        </w:rPr>
      </w:pPr>
      <w:r>
        <w:rPr>
          <w:rFonts w:hint="eastAsia" w:eastAsia="宋体" w:cs="Times New Roman"/>
          <w:b/>
          <w:sz w:val="30"/>
          <w:szCs w:val="24"/>
        </w:rPr>
        <w:t>目  录</w:t>
      </w:r>
    </w:p>
    <w:p>
      <w:pPr>
        <w:pStyle w:val="20"/>
        <w:tabs>
          <w:tab w:val="right" w:leader="dot" w:pos="8296"/>
        </w:tabs>
        <w:rPr>
          <w:rFonts w:ascii="Calibri" w:hAnsi="Calibri"/>
          <w:b w:val="0"/>
          <w:bCs w:val="0"/>
          <w:caps w:val="0"/>
          <w:sz w:val="21"/>
          <w:szCs w:val="22"/>
        </w:rPr>
      </w:pPr>
      <w:r>
        <w:rPr>
          <w:b w:val="0"/>
          <w:i/>
          <w:sz w:val="21"/>
          <w:szCs w:val="21"/>
        </w:rPr>
        <w:fldChar w:fldCharType="begin"/>
      </w:r>
      <w:r>
        <w:rPr>
          <w:b w:val="0"/>
          <w:i/>
          <w:sz w:val="21"/>
          <w:szCs w:val="21"/>
        </w:rPr>
        <w:instrText xml:space="preserve"> </w:instrText>
      </w:r>
      <w:r>
        <w:rPr>
          <w:rFonts w:hint="eastAsia"/>
          <w:b w:val="0"/>
          <w:i/>
          <w:sz w:val="21"/>
          <w:szCs w:val="21"/>
        </w:rPr>
        <w:instrText xml:space="preserve">TOC \o "1-2" \h \z \u</w:instrText>
      </w:r>
      <w:r>
        <w:rPr>
          <w:b w:val="0"/>
          <w:i/>
          <w:sz w:val="21"/>
          <w:szCs w:val="21"/>
        </w:rPr>
        <w:instrText xml:space="preserve"> </w:instrText>
      </w:r>
      <w:r>
        <w:rPr>
          <w:b w:val="0"/>
          <w:i/>
          <w:sz w:val="21"/>
          <w:szCs w:val="21"/>
        </w:rPr>
        <w:fldChar w:fldCharType="separate"/>
      </w:r>
      <w:r>
        <w:fldChar w:fldCharType="begin"/>
      </w:r>
      <w:r>
        <w:instrText xml:space="preserve"> HYPERLINK \l "_Toc423550157" </w:instrText>
      </w:r>
      <w:r>
        <w:fldChar w:fldCharType="separate"/>
      </w:r>
      <w:r>
        <w:rPr>
          <w:rStyle w:val="31"/>
        </w:rPr>
        <w:t>1</w:t>
      </w:r>
      <w:r>
        <w:rPr>
          <w:rStyle w:val="31"/>
          <w:rFonts w:hint="eastAsia" w:ascii="黑体" w:eastAsia="黑体"/>
        </w:rPr>
        <w:t xml:space="preserve"> 总则</w:t>
      </w:r>
      <w:r>
        <w:tab/>
      </w:r>
      <w:r>
        <w:fldChar w:fldCharType="begin"/>
      </w:r>
      <w:r>
        <w:instrText xml:space="preserve"> PAGEREF _Toc423550157 \h </w:instrText>
      </w:r>
      <w:r>
        <w:fldChar w:fldCharType="separate"/>
      </w:r>
      <w:r>
        <w:t>1</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"_Toc423550158" </w:instrText>
      </w:r>
      <w:r>
        <w:fldChar w:fldCharType="separate"/>
      </w:r>
      <w:r>
        <w:rPr>
          <w:rStyle w:val="31"/>
        </w:rPr>
        <w:t>2</w:t>
      </w:r>
      <w:r>
        <w:rPr>
          <w:rStyle w:val="31"/>
          <w:rFonts w:hint="eastAsia" w:ascii="黑体" w:hAnsi="宋体" w:eastAsia="黑体"/>
        </w:rPr>
        <w:t xml:space="preserve"> 工作范围</w:t>
      </w:r>
      <w:r>
        <w:tab/>
      </w:r>
      <w:r>
        <w:fldChar w:fldCharType="begin"/>
      </w:r>
      <w:r>
        <w:instrText xml:space="preserve"> PAGEREF _Toc423550158 \h </w:instrText>
      </w:r>
      <w:r>
        <w:fldChar w:fldCharType="separate"/>
      </w:r>
      <w:r>
        <w:t>1</w:t>
      </w:r>
      <w:r>
        <w:fldChar w:fldCharType="end"/>
      </w:r>
      <w:r>
        <w:fldChar w:fldCharType="end"/>
      </w:r>
    </w:p>
    <w:p>
      <w:pPr>
        <w:pStyle w:val="22"/>
        <w:rPr>
          <w:rFonts w:ascii="Calibri" w:hAnsi="Calibri"/>
          <w:szCs w:val="22"/>
        </w:rPr>
      </w:pPr>
      <w:r>
        <w:fldChar w:fldCharType="begin"/>
      </w:r>
      <w:r>
        <w:instrText xml:space="preserve"> HYPERLINK \l "_Toc423550159" </w:instrText>
      </w:r>
      <w:r>
        <w:fldChar w:fldCharType="separate"/>
      </w:r>
      <w:r>
        <w:rPr>
          <w:rStyle w:val="31"/>
          <w:rFonts w:ascii="黑体" w:eastAsia="黑体"/>
        </w:rPr>
        <w:t xml:space="preserve">2.1 </w:t>
      </w:r>
      <w:r>
        <w:rPr>
          <w:rStyle w:val="31"/>
          <w:rFonts w:hint="eastAsia" w:ascii="黑体" w:eastAsia="黑体"/>
        </w:rPr>
        <w:t>工程概况</w:t>
      </w:r>
      <w:r>
        <w:tab/>
      </w:r>
      <w:r>
        <w:fldChar w:fldCharType="begin"/>
      </w:r>
      <w:r>
        <w:instrText xml:space="preserve"> PAGEREF _Toc423550159 \h </w:instrText>
      </w:r>
      <w:r>
        <w:fldChar w:fldCharType="separate"/>
      </w:r>
      <w:r>
        <w:t>1</w:t>
      </w:r>
      <w:r>
        <w:fldChar w:fldCharType="end"/>
      </w:r>
      <w:r>
        <w:fldChar w:fldCharType="end"/>
      </w:r>
    </w:p>
    <w:p>
      <w:pPr>
        <w:pStyle w:val="22"/>
        <w:rPr>
          <w:rFonts w:ascii="Calibri" w:hAnsi="Calibri"/>
          <w:szCs w:val="22"/>
        </w:rPr>
      </w:pPr>
      <w:r>
        <w:fldChar w:fldCharType="begin"/>
      </w:r>
      <w:r>
        <w:instrText xml:space="preserve"> HYPERLINK \l "_Toc423550160" </w:instrText>
      </w:r>
      <w:r>
        <w:fldChar w:fldCharType="separate"/>
      </w:r>
      <w:r>
        <w:rPr>
          <w:rStyle w:val="31"/>
          <w:rFonts w:ascii="黑体" w:eastAsia="黑体"/>
        </w:rPr>
        <w:t xml:space="preserve">2.2  </w:t>
      </w:r>
      <w:r>
        <w:rPr>
          <w:rStyle w:val="31"/>
          <w:rFonts w:hint="eastAsia" w:ascii="黑体" w:eastAsia="黑体"/>
        </w:rPr>
        <w:t>范围和界限</w:t>
      </w:r>
      <w:r>
        <w:tab/>
      </w:r>
      <w:r>
        <w:fldChar w:fldCharType="begin"/>
      </w:r>
      <w:r>
        <w:instrText xml:space="preserve"> PAGEREF _Toc423550160 \h </w:instrText>
      </w:r>
      <w:r>
        <w:fldChar w:fldCharType="separate"/>
      </w:r>
      <w:r>
        <w:t>2</w:t>
      </w:r>
      <w:r>
        <w:fldChar w:fldCharType="end"/>
      </w:r>
      <w:r>
        <w:fldChar w:fldCharType="end"/>
      </w:r>
    </w:p>
    <w:p>
      <w:pPr>
        <w:pStyle w:val="22"/>
        <w:rPr>
          <w:rFonts w:ascii="Calibri" w:hAnsi="Calibri"/>
          <w:szCs w:val="22"/>
        </w:rPr>
      </w:pPr>
      <w:r>
        <w:fldChar w:fldCharType="begin"/>
      </w:r>
      <w:r>
        <w:instrText xml:space="preserve"> HYPERLINK \l "_Toc423550161" </w:instrText>
      </w:r>
      <w:r>
        <w:fldChar w:fldCharType="separate"/>
      </w:r>
      <w:r>
        <w:rPr>
          <w:rStyle w:val="31"/>
          <w:rFonts w:ascii="黑体" w:eastAsia="黑体"/>
        </w:rPr>
        <w:t xml:space="preserve">2.3  </w:t>
      </w:r>
      <w:r>
        <w:rPr>
          <w:rStyle w:val="31"/>
          <w:rFonts w:hint="eastAsia" w:ascii="黑体" w:eastAsia="黑体"/>
        </w:rPr>
        <w:t>服务范围</w:t>
      </w:r>
      <w:r>
        <w:tab/>
      </w:r>
      <w:r>
        <w:fldChar w:fldCharType="begin"/>
      </w:r>
      <w:r>
        <w:instrText xml:space="preserve"> PAGEREF _Toc423550161 \h </w:instrText>
      </w:r>
      <w:r>
        <w:fldChar w:fldCharType="separate"/>
      </w:r>
      <w:r>
        <w:t>2</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"_Toc423550162" </w:instrText>
      </w:r>
      <w:r>
        <w:fldChar w:fldCharType="separate"/>
      </w:r>
      <w:r>
        <w:rPr>
          <w:rStyle w:val="31"/>
        </w:rPr>
        <w:t>3</w:t>
      </w:r>
      <w:r>
        <w:rPr>
          <w:rStyle w:val="31"/>
          <w:rFonts w:hint="eastAsia"/>
        </w:rPr>
        <w:t xml:space="preserve"> 应遵循的主要标准</w:t>
      </w:r>
      <w:r>
        <w:tab/>
      </w:r>
      <w:r>
        <w:fldChar w:fldCharType="begin"/>
      </w:r>
      <w:r>
        <w:instrText xml:space="preserve"> PAGEREF _Toc423550162 \h </w:instrText>
      </w:r>
      <w:r>
        <w:fldChar w:fldCharType="separate"/>
      </w:r>
      <w:r>
        <w:t>3</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"_Toc423550163" </w:instrText>
      </w:r>
      <w:r>
        <w:fldChar w:fldCharType="separate"/>
      </w:r>
      <w:r>
        <w:rPr>
          <w:rStyle w:val="31"/>
        </w:rPr>
        <w:t>4</w:t>
      </w:r>
      <w:r>
        <w:rPr>
          <w:rStyle w:val="31"/>
          <w:rFonts w:hint="eastAsia" w:ascii="黑体" w:hAnsi="宋体" w:eastAsia="黑体"/>
        </w:rPr>
        <w:t xml:space="preserve"> 使用条件</w:t>
      </w:r>
      <w:r>
        <w:tab/>
      </w:r>
      <w:r>
        <w:fldChar w:fldCharType="begin"/>
      </w:r>
      <w:r>
        <w:instrText xml:space="preserve"> PAGEREF _Toc423550163 \h </w:instrText>
      </w:r>
      <w:r>
        <w:fldChar w:fldCharType="separate"/>
      </w:r>
      <w:r>
        <w:t>4</w:t>
      </w:r>
      <w:r>
        <w:fldChar w:fldCharType="end"/>
      </w:r>
      <w:r>
        <w:fldChar w:fldCharType="end"/>
      </w:r>
    </w:p>
    <w:p>
      <w:pPr>
        <w:pStyle w:val="22"/>
        <w:rPr>
          <w:rFonts w:ascii="Calibri" w:hAnsi="Calibri"/>
          <w:szCs w:val="22"/>
        </w:rPr>
      </w:pPr>
      <w:r>
        <w:fldChar w:fldCharType="begin"/>
      </w:r>
      <w:r>
        <w:instrText xml:space="preserve"> HYPERLINK \l "_Toc423550164" </w:instrText>
      </w:r>
      <w:r>
        <w:fldChar w:fldCharType="separate"/>
      </w:r>
      <w:r>
        <w:rPr>
          <w:rStyle w:val="31"/>
          <w:rFonts w:ascii="黑体" w:eastAsia="黑体"/>
        </w:rPr>
        <w:t xml:space="preserve">4.1 </w:t>
      </w:r>
      <w:r>
        <w:rPr>
          <w:rStyle w:val="31"/>
          <w:rFonts w:hint="eastAsia" w:ascii="黑体" w:eastAsia="黑体"/>
        </w:rPr>
        <w:t>正常使用条件</w:t>
      </w:r>
      <w:r>
        <w:tab/>
      </w:r>
      <w:r>
        <w:fldChar w:fldCharType="begin"/>
      </w:r>
      <w:r>
        <w:instrText xml:space="preserve"> PAGEREF _Toc423550164 \h </w:instrText>
      </w:r>
      <w:r>
        <w:fldChar w:fldCharType="separate"/>
      </w:r>
      <w:r>
        <w:t>4</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"_Toc423550165" </w:instrText>
      </w:r>
      <w:r>
        <w:fldChar w:fldCharType="separate"/>
      </w:r>
      <w:r>
        <w:rPr>
          <w:rStyle w:val="31"/>
        </w:rPr>
        <w:t>5</w:t>
      </w:r>
      <w:r>
        <w:rPr>
          <w:rStyle w:val="31"/>
          <w:rFonts w:hint="eastAsia" w:ascii="黑体" w:hAnsi="宋体" w:eastAsia="黑体"/>
        </w:rPr>
        <w:t xml:space="preserve"> 技术要求</w:t>
      </w:r>
      <w:r>
        <w:tab/>
      </w:r>
      <w:r>
        <w:fldChar w:fldCharType="begin"/>
      </w:r>
      <w:r>
        <w:instrText xml:space="preserve"> PAGEREF _Toc423550165 \h </w:instrText>
      </w:r>
      <w:r>
        <w:fldChar w:fldCharType="separate"/>
      </w:r>
      <w:r>
        <w:t>4</w:t>
      </w:r>
      <w:r>
        <w:fldChar w:fldCharType="end"/>
      </w:r>
      <w:r>
        <w:fldChar w:fldCharType="end"/>
      </w:r>
    </w:p>
    <w:p>
      <w:pPr>
        <w:pStyle w:val="22"/>
        <w:rPr>
          <w:rFonts w:ascii="Calibri" w:hAnsi="Calibri"/>
          <w:szCs w:val="22"/>
        </w:rPr>
      </w:pPr>
      <w:r>
        <w:fldChar w:fldCharType="begin"/>
      </w:r>
      <w:r>
        <w:instrText xml:space="preserve"> HYPERLINK \l "_Toc423550166" </w:instrText>
      </w:r>
      <w:r>
        <w:fldChar w:fldCharType="separate"/>
      </w:r>
      <w:r>
        <w:rPr>
          <w:rStyle w:val="31"/>
          <w:rFonts w:ascii="黑体" w:hAnsi="宋体" w:eastAsia="黑体"/>
        </w:rPr>
        <w:t xml:space="preserve">5.1 </w:t>
      </w:r>
      <w:r>
        <w:rPr>
          <w:rStyle w:val="31"/>
          <w:rFonts w:hint="eastAsia" w:ascii="黑体" w:hAnsi="宋体" w:eastAsia="黑体"/>
        </w:rPr>
        <w:t>基本参数</w:t>
      </w:r>
      <w:r>
        <w:tab/>
      </w:r>
      <w:r>
        <w:fldChar w:fldCharType="begin"/>
      </w:r>
      <w:r>
        <w:instrText xml:space="preserve"> PAGEREF _Toc423550166 \h </w:instrText>
      </w:r>
      <w:r>
        <w:fldChar w:fldCharType="separate"/>
      </w:r>
      <w:r>
        <w:t>4</w:t>
      </w:r>
      <w:r>
        <w:fldChar w:fldCharType="end"/>
      </w:r>
      <w:r>
        <w:fldChar w:fldCharType="end"/>
      </w:r>
    </w:p>
    <w:p>
      <w:pPr>
        <w:pStyle w:val="22"/>
        <w:rPr>
          <w:rFonts w:ascii="Calibri" w:hAnsi="Calibri"/>
          <w:szCs w:val="22"/>
        </w:rPr>
      </w:pPr>
      <w:r>
        <w:fldChar w:fldCharType="begin"/>
      </w:r>
      <w:r>
        <w:instrText xml:space="preserve"> HYPERLINK \l "_Toc423550167" </w:instrText>
      </w:r>
      <w:r>
        <w:fldChar w:fldCharType="separate"/>
      </w:r>
      <w:r>
        <w:rPr>
          <w:rStyle w:val="31"/>
          <w:rFonts w:ascii="黑体" w:eastAsia="黑体"/>
        </w:rPr>
        <w:t>5.2</w:t>
      </w:r>
      <w:r>
        <w:rPr>
          <w:rStyle w:val="31"/>
          <w:rFonts w:hint="eastAsia" w:ascii="黑体" w:eastAsia="黑体"/>
        </w:rPr>
        <w:t>设计与结构要求</w:t>
      </w:r>
      <w:r>
        <w:tab/>
      </w:r>
      <w:r>
        <w:fldChar w:fldCharType="begin"/>
      </w:r>
      <w:r>
        <w:instrText xml:space="preserve"> PAGEREF _Toc423550167 \h </w:instrText>
      </w:r>
      <w:r>
        <w:fldChar w:fldCharType="separate"/>
      </w:r>
      <w:r>
        <w:t>6</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"_Toc423550168" </w:instrText>
      </w:r>
      <w:r>
        <w:fldChar w:fldCharType="separate"/>
      </w:r>
      <w:r>
        <w:rPr>
          <w:rStyle w:val="31"/>
        </w:rPr>
        <w:t>6</w:t>
      </w:r>
      <w:r>
        <w:rPr>
          <w:rStyle w:val="31"/>
          <w:rFonts w:hint="eastAsia" w:ascii="黑体" w:hAnsi="宋体" w:eastAsia="黑体"/>
        </w:rPr>
        <w:t xml:space="preserve"> 试验</w:t>
      </w:r>
      <w:r>
        <w:tab/>
      </w:r>
      <w:r>
        <w:fldChar w:fldCharType="begin"/>
      </w:r>
      <w:r>
        <w:instrText xml:space="preserve"> PAGEREF _Toc423550168 \h </w:instrText>
      </w:r>
      <w:r>
        <w:fldChar w:fldCharType="separate"/>
      </w:r>
      <w:r>
        <w:t>9</w:t>
      </w:r>
      <w:r>
        <w:fldChar w:fldCharType="end"/>
      </w:r>
      <w:r>
        <w:fldChar w:fldCharType="end"/>
      </w:r>
    </w:p>
    <w:p>
      <w:pPr>
        <w:pStyle w:val="22"/>
        <w:rPr>
          <w:rFonts w:ascii="Calibri" w:hAnsi="Calibri"/>
          <w:szCs w:val="22"/>
        </w:rPr>
      </w:pPr>
      <w:r>
        <w:fldChar w:fldCharType="begin"/>
      </w:r>
      <w:r>
        <w:instrText xml:space="preserve"> HYPERLINK \l "_Toc423550169" </w:instrText>
      </w:r>
      <w:r>
        <w:fldChar w:fldCharType="separate"/>
      </w:r>
      <w:r>
        <w:rPr>
          <w:rStyle w:val="31"/>
          <w:rFonts w:eastAsia="黑体"/>
        </w:rPr>
        <w:t>6.1</w:t>
      </w:r>
      <w:r>
        <w:rPr>
          <w:rStyle w:val="31"/>
          <w:rFonts w:hint="eastAsia" w:eastAsia="黑体"/>
        </w:rPr>
        <w:t>试验分类</w:t>
      </w:r>
      <w:r>
        <w:tab/>
      </w:r>
      <w:r>
        <w:fldChar w:fldCharType="begin"/>
      </w:r>
      <w:r>
        <w:instrText xml:space="preserve"> PAGEREF _Toc423550169 \h </w:instrText>
      </w:r>
      <w:r>
        <w:fldChar w:fldCharType="separate"/>
      </w:r>
      <w:r>
        <w:t>9</w:t>
      </w:r>
      <w:r>
        <w:fldChar w:fldCharType="end"/>
      </w:r>
      <w:r>
        <w:fldChar w:fldCharType="end"/>
      </w:r>
    </w:p>
    <w:p>
      <w:pPr>
        <w:pStyle w:val="22"/>
        <w:rPr>
          <w:rFonts w:ascii="Calibri" w:hAnsi="Calibri"/>
          <w:szCs w:val="22"/>
        </w:rPr>
      </w:pPr>
      <w:r>
        <w:fldChar w:fldCharType="begin"/>
      </w:r>
      <w:r>
        <w:instrText xml:space="preserve"> HYPERLINK \l "_Toc423550170" </w:instrText>
      </w:r>
      <w:r>
        <w:fldChar w:fldCharType="separate"/>
      </w:r>
      <w:r>
        <w:rPr>
          <w:rStyle w:val="31"/>
          <w:rFonts w:eastAsia="黑体"/>
        </w:rPr>
        <w:t xml:space="preserve">6.2 </w:t>
      </w:r>
      <w:r>
        <w:rPr>
          <w:rStyle w:val="31"/>
          <w:rFonts w:hint="eastAsia" w:eastAsia="黑体"/>
        </w:rPr>
        <w:t>型式试验</w:t>
      </w:r>
      <w:r>
        <w:tab/>
      </w:r>
      <w:r>
        <w:fldChar w:fldCharType="begin"/>
      </w:r>
      <w:r>
        <w:instrText xml:space="preserve"> PAGEREF _Toc423550170 \h </w:instrText>
      </w:r>
      <w:r>
        <w:fldChar w:fldCharType="separate"/>
      </w:r>
      <w:r>
        <w:t>10</w:t>
      </w:r>
      <w:r>
        <w:fldChar w:fldCharType="end"/>
      </w:r>
      <w:r>
        <w:fldChar w:fldCharType="end"/>
      </w:r>
    </w:p>
    <w:p>
      <w:pPr>
        <w:pStyle w:val="22"/>
        <w:rPr>
          <w:rFonts w:ascii="Calibri" w:hAnsi="Calibri"/>
          <w:szCs w:val="22"/>
        </w:rPr>
      </w:pPr>
      <w:r>
        <w:fldChar w:fldCharType="begin"/>
      </w:r>
      <w:r>
        <w:instrText xml:space="preserve"> HYPERLINK \l "_Toc423550171" </w:instrText>
      </w:r>
      <w:r>
        <w:fldChar w:fldCharType="separate"/>
      </w:r>
      <w:r>
        <w:rPr>
          <w:rStyle w:val="31"/>
          <w:rFonts w:eastAsia="黑体"/>
        </w:rPr>
        <w:t xml:space="preserve">6.3 </w:t>
      </w:r>
      <w:r>
        <w:rPr>
          <w:rStyle w:val="31"/>
          <w:rFonts w:hint="eastAsia" w:ascii="宋体" w:hAnsi="宋体"/>
        </w:rPr>
        <w:t>★</w:t>
      </w:r>
      <w:r>
        <w:rPr>
          <w:rStyle w:val="31"/>
          <w:rFonts w:hint="eastAsia" w:eastAsia="黑体"/>
        </w:rPr>
        <w:t>例行试验</w:t>
      </w:r>
      <w:r>
        <w:tab/>
      </w:r>
      <w:r>
        <w:fldChar w:fldCharType="begin"/>
      </w:r>
      <w:r>
        <w:instrText xml:space="preserve"> PAGEREF _Toc423550171 \h </w:instrText>
      </w:r>
      <w:r>
        <w:fldChar w:fldCharType="separate"/>
      </w:r>
      <w:r>
        <w:t>10</w:t>
      </w:r>
      <w:r>
        <w:fldChar w:fldCharType="end"/>
      </w:r>
      <w:r>
        <w:fldChar w:fldCharType="end"/>
      </w:r>
    </w:p>
    <w:p>
      <w:pPr>
        <w:pStyle w:val="22"/>
        <w:rPr>
          <w:rFonts w:ascii="Calibri" w:hAnsi="Calibri"/>
          <w:szCs w:val="22"/>
        </w:rPr>
      </w:pPr>
      <w:r>
        <w:fldChar w:fldCharType="begin"/>
      </w:r>
      <w:r>
        <w:instrText xml:space="preserve"> HYPERLINK \l "_Toc423550172" </w:instrText>
      </w:r>
      <w:r>
        <w:fldChar w:fldCharType="separate"/>
      </w:r>
      <w:r>
        <w:rPr>
          <w:rStyle w:val="31"/>
          <w:rFonts w:eastAsia="黑体"/>
        </w:rPr>
        <w:t>6.4</w:t>
      </w:r>
      <w:r>
        <w:rPr>
          <w:rStyle w:val="31"/>
          <w:rFonts w:hint="eastAsia" w:eastAsia="黑体"/>
        </w:rPr>
        <w:t>特殊试验</w:t>
      </w:r>
      <w:r>
        <w:tab/>
      </w:r>
      <w:r>
        <w:fldChar w:fldCharType="begin"/>
      </w:r>
      <w:r>
        <w:instrText xml:space="preserve"> PAGEREF _Toc423550172 \h </w:instrText>
      </w:r>
      <w:r>
        <w:fldChar w:fldCharType="separate"/>
      </w:r>
      <w:r>
        <w:t>10</w:t>
      </w:r>
      <w:r>
        <w:fldChar w:fldCharType="end"/>
      </w:r>
      <w:r>
        <w:fldChar w:fldCharType="end"/>
      </w:r>
    </w:p>
    <w:p>
      <w:pPr>
        <w:pStyle w:val="22"/>
        <w:rPr>
          <w:rFonts w:ascii="Calibri" w:hAnsi="Calibri"/>
          <w:szCs w:val="22"/>
        </w:rPr>
      </w:pPr>
      <w:r>
        <w:fldChar w:fldCharType="begin"/>
      </w:r>
      <w:r>
        <w:instrText xml:space="preserve"> HYPERLINK \l "_Toc423550173" </w:instrText>
      </w:r>
      <w:r>
        <w:fldChar w:fldCharType="separate"/>
      </w:r>
      <w:r>
        <w:rPr>
          <w:rStyle w:val="31"/>
          <w:rFonts w:eastAsia="黑体"/>
        </w:rPr>
        <w:t>6.5</w:t>
      </w:r>
      <w:r>
        <w:rPr>
          <w:rStyle w:val="31"/>
          <w:rFonts w:hint="eastAsia" w:eastAsia="黑体"/>
        </w:rPr>
        <w:t>现场交接试验</w:t>
      </w:r>
      <w:r>
        <w:tab/>
      </w:r>
      <w:r>
        <w:fldChar w:fldCharType="begin"/>
      </w:r>
      <w:r>
        <w:instrText xml:space="preserve"> PAGEREF _Toc423550173 \h </w:instrText>
      </w:r>
      <w:r>
        <w:fldChar w:fldCharType="separate"/>
      </w:r>
      <w:r>
        <w:t>11</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"_Toc423550174" </w:instrText>
      </w:r>
      <w:r>
        <w:fldChar w:fldCharType="separate"/>
      </w:r>
      <w:r>
        <w:rPr>
          <w:rStyle w:val="31"/>
          <w:rFonts w:ascii="黑体" w:eastAsia="黑体"/>
        </w:rPr>
        <w:t xml:space="preserve">7 </w:t>
      </w:r>
      <w:r>
        <w:rPr>
          <w:rStyle w:val="31"/>
          <w:rFonts w:hint="eastAsia" w:ascii="黑体" w:eastAsia="黑体"/>
        </w:rPr>
        <w:t>产品对环境的影响</w:t>
      </w:r>
      <w:r>
        <w:tab/>
      </w:r>
      <w:r>
        <w:fldChar w:fldCharType="begin"/>
      </w:r>
      <w:r>
        <w:instrText xml:space="preserve"> PAGEREF _Toc423550174 \h </w:instrText>
      </w:r>
      <w:r>
        <w:fldChar w:fldCharType="separate"/>
      </w:r>
      <w:r>
        <w:t>11</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"_Toc423550175" </w:instrText>
      </w:r>
      <w:r>
        <w:fldChar w:fldCharType="separate"/>
      </w:r>
      <w:r>
        <w:rPr>
          <w:rStyle w:val="31"/>
          <w:rFonts w:ascii="黑体" w:eastAsia="黑体"/>
        </w:rPr>
        <w:t xml:space="preserve">8 </w:t>
      </w:r>
      <w:r>
        <w:rPr>
          <w:rStyle w:val="31"/>
          <w:rFonts w:hint="eastAsia" w:ascii="黑体" w:eastAsia="黑体"/>
        </w:rPr>
        <w:t>企业</w:t>
      </w:r>
      <w:r>
        <w:rPr>
          <w:rStyle w:val="31"/>
          <w:rFonts w:ascii="黑体" w:eastAsia="黑体"/>
        </w:rPr>
        <w:t>VI</w:t>
      </w:r>
      <w:r>
        <w:rPr>
          <w:rStyle w:val="31"/>
          <w:rFonts w:hint="eastAsia" w:ascii="黑体" w:eastAsia="黑体"/>
        </w:rPr>
        <w:t>标识</w:t>
      </w:r>
      <w:r>
        <w:tab/>
      </w:r>
      <w:r>
        <w:fldChar w:fldCharType="begin"/>
      </w:r>
      <w:r>
        <w:instrText xml:space="preserve"> PAGEREF _Toc423550175 \h </w:instrText>
      </w:r>
      <w:r>
        <w:fldChar w:fldCharType="separate"/>
      </w:r>
      <w:r>
        <w:t>11</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"_Toc423550176" </w:instrText>
      </w:r>
      <w:r>
        <w:fldChar w:fldCharType="separate"/>
      </w:r>
      <w:r>
        <w:rPr>
          <w:rStyle w:val="31"/>
          <w:rFonts w:ascii="黑体" w:eastAsia="黑体"/>
        </w:rPr>
        <w:t xml:space="preserve">9 </w:t>
      </w:r>
      <w:r>
        <w:rPr>
          <w:rStyle w:val="31"/>
          <w:rFonts w:hint="eastAsia" w:ascii="黑体" w:eastAsia="黑体"/>
        </w:rPr>
        <w:t>技术文件要求</w:t>
      </w:r>
      <w:r>
        <w:tab/>
      </w:r>
      <w:r>
        <w:fldChar w:fldCharType="begin"/>
      </w:r>
      <w:r>
        <w:instrText xml:space="preserve"> PAGEREF _Toc423550176 \h </w:instrText>
      </w:r>
      <w:r>
        <w:fldChar w:fldCharType="separate"/>
      </w:r>
      <w:r>
        <w:t>11</w:t>
      </w:r>
      <w:r>
        <w:fldChar w:fldCharType="end"/>
      </w:r>
      <w:r>
        <w:fldChar w:fldCharType="end"/>
      </w:r>
    </w:p>
    <w:p>
      <w:pPr>
        <w:pStyle w:val="20"/>
        <w:tabs>
          <w:tab w:val="right" w:leader="dot" w:pos="8296"/>
        </w:tabs>
        <w:rPr>
          <w:rFonts w:ascii="Calibri" w:hAnsi="Calibri"/>
          <w:b w:val="0"/>
          <w:bCs w:val="0"/>
          <w:caps w:val="0"/>
          <w:sz w:val="21"/>
          <w:szCs w:val="22"/>
        </w:rPr>
      </w:pPr>
      <w:r>
        <w:fldChar w:fldCharType="begin"/>
      </w:r>
      <w:r>
        <w:instrText xml:space="preserve"> HYPERLINK \l "_Toc423550177" </w:instrText>
      </w:r>
      <w:r>
        <w:fldChar w:fldCharType="separate"/>
      </w:r>
      <w:r>
        <w:rPr>
          <w:rStyle w:val="31"/>
          <w:rFonts w:ascii="黑体" w:eastAsia="黑体"/>
        </w:rPr>
        <w:t xml:space="preserve">10 </w:t>
      </w:r>
      <w:r>
        <w:rPr>
          <w:rStyle w:val="31"/>
          <w:rFonts w:hint="eastAsia" w:ascii="黑体" w:eastAsia="黑体"/>
        </w:rPr>
        <w:t>监造、包装、运输、安装及质量保证</w:t>
      </w:r>
      <w:r>
        <w:tab/>
      </w:r>
      <w:r>
        <w:fldChar w:fldCharType="begin"/>
      </w:r>
      <w:r>
        <w:instrText xml:space="preserve"> PAGEREF _Toc423550177 \h </w:instrText>
      </w:r>
      <w:r>
        <w:fldChar w:fldCharType="separate"/>
      </w:r>
      <w:r>
        <w:t>12</w:t>
      </w:r>
      <w:r>
        <w:fldChar w:fldCharType="end"/>
      </w:r>
      <w:r>
        <w:fldChar w:fldCharType="end"/>
      </w:r>
    </w:p>
    <w:p>
      <w:pPr>
        <w:pStyle w:val="22"/>
        <w:rPr>
          <w:rFonts w:ascii="Calibri" w:hAnsi="Calibri"/>
          <w:szCs w:val="22"/>
        </w:rPr>
      </w:pPr>
      <w:r>
        <w:fldChar w:fldCharType="begin"/>
      </w:r>
      <w:r>
        <w:instrText xml:space="preserve"> HYPERLINK \l "_Toc423550178" </w:instrText>
      </w:r>
      <w:r>
        <w:fldChar w:fldCharType="separate"/>
      </w:r>
      <w:r>
        <w:rPr>
          <w:rStyle w:val="31"/>
          <w:rFonts w:ascii="黑体" w:eastAsia="黑体"/>
        </w:rPr>
        <w:t>10.1</w:t>
      </w:r>
      <w:r>
        <w:rPr>
          <w:rFonts w:ascii="Calibri" w:hAnsi="Calibri"/>
          <w:szCs w:val="22"/>
        </w:rPr>
        <w:tab/>
      </w:r>
      <w:r>
        <w:rPr>
          <w:rStyle w:val="31"/>
          <w:rFonts w:hint="eastAsia" w:ascii="黑体" w:eastAsia="黑体"/>
        </w:rPr>
        <w:t>监造</w:t>
      </w:r>
      <w:r>
        <w:tab/>
      </w:r>
      <w:r>
        <w:fldChar w:fldCharType="begin"/>
      </w:r>
      <w:r>
        <w:instrText xml:space="preserve"> PAGEREF _Toc423550178 \h </w:instrText>
      </w:r>
      <w:r>
        <w:fldChar w:fldCharType="separate"/>
      </w:r>
      <w:r>
        <w:t>12</w:t>
      </w:r>
      <w:r>
        <w:fldChar w:fldCharType="end"/>
      </w:r>
      <w:r>
        <w:fldChar w:fldCharType="end"/>
      </w:r>
    </w:p>
    <w:p>
      <w:pPr>
        <w:pStyle w:val="22"/>
        <w:rPr>
          <w:rFonts w:ascii="Calibri" w:hAnsi="Calibri"/>
          <w:szCs w:val="22"/>
        </w:rPr>
      </w:pPr>
      <w:r>
        <w:fldChar w:fldCharType="begin"/>
      </w:r>
      <w:r>
        <w:instrText xml:space="preserve"> HYPERLINK \l "_Toc423550179" </w:instrText>
      </w:r>
      <w:r>
        <w:fldChar w:fldCharType="separate"/>
      </w:r>
      <w:r>
        <w:rPr>
          <w:rStyle w:val="31"/>
          <w:rFonts w:ascii="黑体" w:eastAsia="黑体"/>
        </w:rPr>
        <w:t>10.2</w:t>
      </w:r>
      <w:r>
        <w:rPr>
          <w:rFonts w:ascii="Calibri" w:hAnsi="Calibri"/>
          <w:szCs w:val="22"/>
        </w:rPr>
        <w:tab/>
      </w:r>
      <w:r>
        <w:rPr>
          <w:rStyle w:val="31"/>
          <w:rFonts w:hint="eastAsia" w:ascii="黑体" w:eastAsia="黑体"/>
        </w:rPr>
        <w:t>包装</w:t>
      </w:r>
      <w:r>
        <w:tab/>
      </w:r>
      <w:r>
        <w:fldChar w:fldCharType="begin"/>
      </w:r>
      <w:r>
        <w:instrText xml:space="preserve"> PAGEREF _Toc423550179 \h </w:instrText>
      </w:r>
      <w:r>
        <w:fldChar w:fldCharType="separate"/>
      </w:r>
      <w:r>
        <w:t>13</w:t>
      </w:r>
      <w:r>
        <w:fldChar w:fldCharType="end"/>
      </w:r>
      <w:r>
        <w:fldChar w:fldCharType="end"/>
      </w:r>
    </w:p>
    <w:p>
      <w:pPr>
        <w:pStyle w:val="22"/>
        <w:rPr>
          <w:rFonts w:ascii="Calibri" w:hAnsi="Calibri"/>
          <w:szCs w:val="22"/>
        </w:rPr>
      </w:pPr>
      <w:r>
        <w:fldChar w:fldCharType="begin"/>
      </w:r>
      <w:r>
        <w:instrText xml:space="preserve"> HYPERLINK \l "_Toc423550180" </w:instrText>
      </w:r>
      <w:r>
        <w:fldChar w:fldCharType="separate"/>
      </w:r>
      <w:r>
        <w:rPr>
          <w:rStyle w:val="31"/>
          <w:rFonts w:ascii="黑体" w:eastAsia="黑体"/>
        </w:rPr>
        <w:t>10.3</w:t>
      </w:r>
      <w:r>
        <w:rPr>
          <w:rFonts w:ascii="Calibri" w:hAnsi="Calibri"/>
          <w:szCs w:val="22"/>
        </w:rPr>
        <w:tab/>
      </w:r>
      <w:r>
        <w:rPr>
          <w:rStyle w:val="31"/>
          <w:rFonts w:hint="eastAsia" w:ascii="黑体" w:eastAsia="黑体"/>
        </w:rPr>
        <w:t>运输</w:t>
      </w:r>
      <w:r>
        <w:tab/>
      </w:r>
      <w:r>
        <w:fldChar w:fldCharType="begin"/>
      </w:r>
      <w:r>
        <w:instrText xml:space="preserve"> PAGEREF _Toc423550180 \h </w:instrText>
      </w:r>
      <w:r>
        <w:fldChar w:fldCharType="separate"/>
      </w:r>
      <w:r>
        <w:t>14</w:t>
      </w:r>
      <w:r>
        <w:fldChar w:fldCharType="end"/>
      </w:r>
      <w:r>
        <w:fldChar w:fldCharType="end"/>
      </w:r>
    </w:p>
    <w:p>
      <w:pPr>
        <w:pStyle w:val="22"/>
        <w:rPr>
          <w:rFonts w:ascii="Calibri" w:hAnsi="Calibri"/>
          <w:szCs w:val="22"/>
        </w:rPr>
      </w:pPr>
      <w:r>
        <w:fldChar w:fldCharType="begin"/>
      </w:r>
      <w:r>
        <w:instrText xml:space="preserve"> HYPERLINK \l "_Toc423550181" </w:instrText>
      </w:r>
      <w:r>
        <w:fldChar w:fldCharType="separate"/>
      </w:r>
      <w:r>
        <w:rPr>
          <w:rStyle w:val="31"/>
          <w:rFonts w:ascii="黑体" w:eastAsia="黑体"/>
        </w:rPr>
        <w:t>10.4</w:t>
      </w:r>
      <w:r>
        <w:rPr>
          <w:rFonts w:ascii="Calibri" w:hAnsi="Calibri"/>
          <w:szCs w:val="22"/>
        </w:rPr>
        <w:tab/>
      </w:r>
      <w:r>
        <w:rPr>
          <w:rStyle w:val="31"/>
          <w:rFonts w:hint="eastAsia" w:ascii="黑体" w:eastAsia="黑体"/>
        </w:rPr>
        <w:t>质量保证</w:t>
      </w:r>
      <w:r>
        <w:tab/>
      </w:r>
      <w:r>
        <w:fldChar w:fldCharType="begin"/>
      </w:r>
      <w:r>
        <w:instrText xml:space="preserve"> PAGEREF _Toc423550181 \h </w:instrText>
      </w:r>
      <w:r>
        <w:fldChar w:fldCharType="separate"/>
      </w:r>
      <w:r>
        <w:t>14</w:t>
      </w:r>
      <w:r>
        <w:fldChar w:fldCharType="end"/>
      </w:r>
      <w:r>
        <w:fldChar w:fldCharType="end"/>
      </w:r>
    </w:p>
    <w:p>
      <w:pPr>
        <w:adjustRightInd w:val="0"/>
        <w:snapToGrid w:val="0"/>
        <w:rPr>
          <w:rFonts w:ascii="宋体" w:hAnsi="宋体"/>
          <w:szCs w:val="21"/>
        </w:rPr>
        <w:sectPr>
          <w:footerReference r:id="rId9" w:type="default"/>
          <w:pgSz w:w="11906" w:h="16838"/>
          <w:pgMar w:top="1440" w:right="1800" w:bottom="1440" w:left="1800" w:header="851" w:footer="992" w:gutter="0"/>
          <w:pgNumType w:fmt="upperRoman" w:start="1"/>
          <w:cols w:space="425" w:num="1"/>
          <w:docGrid w:type="lines" w:linePitch="312" w:charSpace="0"/>
        </w:sectPr>
      </w:pPr>
      <w:r>
        <w:fldChar w:fldCharType="end"/>
      </w:r>
    </w:p>
    <w:p>
      <w:pPr>
        <w:pStyle w:val="2"/>
        <w:adjustRightInd w:val="0"/>
        <w:rPr>
          <w:rFonts w:ascii="黑体" w:eastAsia="黑体"/>
          <w:b w:val="0"/>
        </w:rPr>
      </w:pPr>
      <w:bookmarkStart w:id="1" w:name="_Toc229476473"/>
      <w:bookmarkEnd w:id="1"/>
      <w:bookmarkStart w:id="2" w:name="_Toc229476588"/>
      <w:bookmarkEnd w:id="2"/>
      <w:bookmarkStart w:id="3" w:name="_Toc229476378"/>
      <w:bookmarkEnd w:id="3"/>
      <w:bookmarkStart w:id="4" w:name="_Toc229476507"/>
      <w:bookmarkEnd w:id="4"/>
      <w:bookmarkStart w:id="5" w:name="_Toc112756677"/>
      <w:r>
        <w:rPr>
          <w:rFonts w:hint="eastAsia" w:ascii="黑体" w:eastAsia="黑体"/>
          <w:b w:val="0"/>
        </w:rPr>
        <w:t xml:space="preserve"> </w:t>
      </w:r>
      <w:bookmarkEnd w:id="5"/>
      <w:bookmarkStart w:id="6" w:name="_Toc423550157"/>
      <w:r>
        <w:rPr>
          <w:rFonts w:hint="eastAsia" w:ascii="黑体" w:eastAsia="黑体"/>
          <w:b w:val="0"/>
        </w:rPr>
        <w:t>总则</w:t>
      </w:r>
      <w:bookmarkEnd w:id="6"/>
    </w:p>
    <w:p>
      <w:pPr>
        <w:pStyle w:val="45"/>
        <w:adjustRightInd w:val="0"/>
        <w:snapToGrid w:val="0"/>
        <w:spacing w:line="360" w:lineRule="auto"/>
        <w:ind w:firstLine="0" w:firstLineChars="0"/>
        <w:rPr>
          <w:rFonts w:eastAsia="宋体" w:cs="Times New Roman"/>
          <w:szCs w:val="21"/>
        </w:rPr>
      </w:pPr>
      <w:bookmarkStart w:id="7" w:name="_Toc112756678"/>
      <w:r>
        <w:rPr>
          <w:rFonts w:eastAsia="宋体" w:cs="Times New Roman"/>
          <w:szCs w:val="21"/>
        </w:rPr>
        <w:t xml:space="preserve">1.1  </w:t>
      </w:r>
      <w:r>
        <w:rPr>
          <w:rFonts w:hint="eastAsia" w:eastAsia="宋体" w:cs="Times New Roman"/>
          <w:szCs w:val="21"/>
        </w:rPr>
        <w:t>本招标技术文件适用于</w:t>
      </w:r>
      <w:r>
        <w:rPr>
          <w:rFonts w:hint="eastAsia" w:ascii="宋体" w:hAnsi="宋体" w:eastAsia="宋体"/>
        </w:rPr>
        <w:t>广西电网公司</w:t>
      </w:r>
      <w:r>
        <w:rPr>
          <w:rFonts w:hint="eastAsia" w:ascii="宋体" w:hAnsi="宋体" w:eastAsia="宋体"/>
          <w:lang w:eastAsia="zh-CN"/>
        </w:rPr>
        <w:t>钦州供电局</w:t>
      </w:r>
      <w:r>
        <w:rPr>
          <w:rFonts w:hint="eastAsia" w:eastAsia="宋体" w:cs="Times New Roman"/>
          <w:szCs w:val="21"/>
        </w:rPr>
        <w:t>采购的10kV 干式电压互感器，</w:t>
      </w:r>
      <w:r>
        <w:rPr>
          <w:rFonts w:eastAsia="宋体" w:cs="Times New Roman"/>
          <w:szCs w:val="21"/>
        </w:rPr>
        <w:t xml:space="preserve"> </w:t>
      </w:r>
      <w:r>
        <w:rPr>
          <w:rFonts w:hint="eastAsia" w:eastAsia="宋体" w:cs="Times New Roman"/>
          <w:szCs w:val="21"/>
        </w:rPr>
        <w:t>它提出了该设备本体及附属设备的功能设计、结构、性能、安装和试验等方面的技术要求。</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 xml:space="preserve">1.2  </w:t>
      </w:r>
      <w:r>
        <w:rPr>
          <w:rFonts w:hint="eastAsia" w:eastAsia="宋体" w:cs="Times New Roman"/>
          <w:szCs w:val="21"/>
        </w:rPr>
        <w:t>本设备招标技术文件提出的是最低限度的技术要求。凡本招标技术文件中未规定，但在相关设备的行业标准、国家标准或</w:t>
      </w:r>
      <w:r>
        <w:rPr>
          <w:rFonts w:eastAsia="宋体" w:cs="Times New Roman"/>
          <w:szCs w:val="21"/>
        </w:rPr>
        <w:t>IEC</w:t>
      </w:r>
      <w:r>
        <w:rPr>
          <w:rFonts w:hint="eastAsia" w:eastAsia="宋体" w:cs="Times New Roman"/>
          <w:szCs w:val="21"/>
        </w:rPr>
        <w:t>标准中有规定的规范条文，投标方应按相应标准的条文进行设备设计、制造、试验和安装。对国家有关安全、环保等强制性标准，必须满足其要求</w:t>
      </w:r>
      <w:r>
        <w:rPr>
          <w:rFonts w:eastAsia="宋体" w:cs="Times New Roman"/>
          <w:szCs w:val="21"/>
        </w:rPr>
        <w:t>(如压力容器、高电压设备等)</w:t>
      </w:r>
      <w:r>
        <w:rPr>
          <w:rFonts w:hint="eastAsia" w:eastAsia="宋体" w:cs="Times New Roman"/>
          <w:szCs w:val="21"/>
        </w:rPr>
        <w:t>。</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 xml:space="preserve">1.3  </w:t>
      </w:r>
      <w:r>
        <w:rPr>
          <w:rFonts w:hint="eastAsia" w:eastAsia="宋体" w:cs="Times New Roman"/>
          <w:szCs w:val="21"/>
        </w:rPr>
        <w:t>如果投标方没有以书面形式对本招标技术文件的条文提出异议，</w:t>
      </w:r>
      <w:r>
        <w:rPr>
          <w:rFonts w:eastAsia="宋体" w:cs="Times New Roman"/>
          <w:szCs w:val="21"/>
        </w:rPr>
        <w:t xml:space="preserve"> </w:t>
      </w:r>
      <w:r>
        <w:rPr>
          <w:rFonts w:hint="eastAsia" w:eastAsia="宋体" w:cs="Times New Roman"/>
          <w:szCs w:val="21"/>
        </w:rPr>
        <w:t>则意味着投标方提供的设备完全符合本招标技术文件的要求。如有异议，</w:t>
      </w:r>
      <w:r>
        <w:rPr>
          <w:rFonts w:eastAsia="宋体" w:cs="Times New Roman"/>
          <w:szCs w:val="21"/>
        </w:rPr>
        <w:t xml:space="preserve"> </w:t>
      </w:r>
      <w:r>
        <w:rPr>
          <w:rFonts w:hint="eastAsia" w:eastAsia="宋体" w:cs="Times New Roman"/>
          <w:szCs w:val="21"/>
        </w:rPr>
        <w:t>不管是多么微小，</w:t>
      </w:r>
      <w:r>
        <w:rPr>
          <w:rFonts w:eastAsia="宋体" w:cs="Times New Roman"/>
          <w:szCs w:val="21"/>
        </w:rPr>
        <w:t xml:space="preserve"> </w:t>
      </w:r>
      <w:r>
        <w:rPr>
          <w:rFonts w:hint="eastAsia" w:eastAsia="宋体" w:cs="Times New Roman"/>
          <w:szCs w:val="21"/>
        </w:rPr>
        <w:t>都应在报价书中以“对招标技术文件的意见和同招标技术文件的差异”为标题的专门章节中加以详细描述。</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 xml:space="preserve">1.4  </w:t>
      </w:r>
      <w:r>
        <w:rPr>
          <w:rFonts w:hint="eastAsia" w:eastAsia="宋体" w:cs="Times New Roman"/>
          <w:szCs w:val="21"/>
        </w:rPr>
        <w:t>本招标技术文件所使用的标准如遇与投标方所执行的标准不一致时，</w:t>
      </w:r>
      <w:r>
        <w:rPr>
          <w:rFonts w:eastAsia="宋体" w:cs="Times New Roman"/>
          <w:szCs w:val="21"/>
        </w:rPr>
        <w:t xml:space="preserve"> </w:t>
      </w:r>
      <w:r>
        <w:rPr>
          <w:rFonts w:hint="eastAsia" w:eastAsia="宋体" w:cs="Times New Roman"/>
          <w:szCs w:val="21"/>
        </w:rPr>
        <w:t>按较高标准执行。</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 xml:space="preserve">1.5  </w:t>
      </w:r>
      <w:r>
        <w:rPr>
          <w:rFonts w:hint="eastAsia" w:eastAsia="宋体" w:cs="Times New Roman"/>
          <w:szCs w:val="21"/>
        </w:rPr>
        <w:t>本招标技术文件经招、投标双方确认后作为订货合同的技术附件，与合同正文具有同等的法律效力。</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 xml:space="preserve">1.6  </w:t>
      </w:r>
      <w:r>
        <w:rPr>
          <w:rFonts w:hint="eastAsia" w:eastAsia="宋体" w:cs="Times New Roman"/>
          <w:szCs w:val="21"/>
        </w:rPr>
        <w:t>本招标技术文件未尽事宜，由招、投标双方协商确定。</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1.10  标注“★”的条款为关键条款，作为评标时打分的重点参考。</w:t>
      </w:r>
    </w:p>
    <w:p>
      <w:pPr>
        <w:pStyle w:val="2"/>
        <w:adjustRightInd w:val="0"/>
        <w:spacing w:before="0" w:beforeLines="0"/>
        <w:rPr>
          <w:rFonts w:ascii="黑体" w:hAnsi="宋体" w:eastAsia="黑体"/>
          <w:b w:val="0"/>
        </w:rPr>
      </w:pPr>
      <w:bookmarkStart w:id="8" w:name="_Toc423550158"/>
      <w:r>
        <w:rPr>
          <w:rFonts w:hint="eastAsia" w:ascii="黑体" w:hAnsi="宋体" w:eastAsia="黑体"/>
          <w:b w:val="0"/>
        </w:rPr>
        <w:t>工作范围</w:t>
      </w:r>
      <w:bookmarkEnd w:id="8"/>
    </w:p>
    <w:p>
      <w:pPr>
        <w:adjustRightInd w:val="0"/>
        <w:snapToGrid w:val="0"/>
        <w:spacing w:line="360" w:lineRule="auto"/>
        <w:outlineLvl w:val="1"/>
        <w:rPr>
          <w:rFonts w:ascii="黑体" w:eastAsia="黑体"/>
        </w:rPr>
      </w:pPr>
      <w:bookmarkStart w:id="9" w:name="_Toc423550159"/>
      <w:bookmarkStart w:id="10" w:name="_Toc290652071"/>
      <w:r>
        <w:rPr>
          <w:rFonts w:hint="eastAsia" w:ascii="黑体" w:eastAsia="黑体"/>
        </w:rPr>
        <w:t>2</w:t>
      </w:r>
      <w:r>
        <w:rPr>
          <w:rFonts w:ascii="黑体" w:eastAsia="黑体"/>
        </w:rPr>
        <w:t>.1</w:t>
      </w:r>
      <w:r>
        <w:rPr>
          <w:rFonts w:hint="eastAsia" w:ascii="黑体" w:eastAsia="黑体"/>
        </w:rPr>
        <w:t xml:space="preserve"> 工程概况</w:t>
      </w:r>
      <w:bookmarkEnd w:id="9"/>
      <w:bookmarkEnd w:id="10"/>
    </w:p>
    <w:p>
      <w:pPr>
        <w:pStyle w:val="45"/>
        <w:adjustRightInd w:val="0"/>
        <w:snapToGrid w:val="0"/>
        <w:spacing w:line="360" w:lineRule="auto"/>
        <w:rPr>
          <w:rFonts w:eastAsia="宋体" w:cs="Times New Roman"/>
          <w:szCs w:val="21"/>
        </w:rPr>
      </w:pPr>
      <w:r>
        <w:rPr>
          <w:rFonts w:hint="eastAsia" w:eastAsia="宋体" w:cs="Times New Roman"/>
          <w:szCs w:val="21"/>
        </w:rPr>
        <w:t>本标书采购的设备适用的工程概况见表2.1：工程概况一览表。</w:t>
      </w:r>
    </w:p>
    <w:p>
      <w:pPr>
        <w:pStyle w:val="58"/>
        <w:ind w:firstLine="0" w:firstLineChars="0"/>
        <w:jc w:val="center"/>
        <w:rPr>
          <w:szCs w:val="21"/>
        </w:rPr>
      </w:pPr>
      <w:r>
        <w:rPr>
          <w:rFonts w:hint="eastAsia" w:hAnsi="宋体"/>
          <w:szCs w:val="21"/>
        </w:rPr>
        <w:t xml:space="preserve">表2.1 </w:t>
      </w:r>
      <w:r>
        <w:rPr>
          <w:rFonts w:hAnsi="宋体"/>
          <w:szCs w:val="21"/>
        </w:rPr>
        <w:t xml:space="preserve"> </w:t>
      </w:r>
      <w:r>
        <w:rPr>
          <w:rFonts w:hint="eastAsia" w:hAnsi="宋体"/>
          <w:szCs w:val="21"/>
        </w:rPr>
        <w:t>工程概况一览表 （项目单位填写）</w:t>
      </w:r>
    </w:p>
    <w:tbl>
      <w:tblPr>
        <w:tblStyle w:val="25"/>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6"/>
        <w:gridCol w:w="2631"/>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26" w:type="dxa"/>
            <w:vAlign w:val="center"/>
          </w:tcPr>
          <w:p>
            <w:pPr>
              <w:jc w:val="center"/>
            </w:pPr>
            <w:r>
              <w:rPr>
                <w:rFonts w:hint="eastAsia"/>
              </w:rPr>
              <w:t>序号</w:t>
            </w:r>
          </w:p>
        </w:tc>
        <w:tc>
          <w:tcPr>
            <w:tcW w:w="2631" w:type="dxa"/>
            <w:vAlign w:val="center"/>
          </w:tcPr>
          <w:p>
            <w:pPr>
              <w:jc w:val="center"/>
            </w:pPr>
            <w:r>
              <w:rPr>
                <w:rFonts w:hint="eastAsia"/>
              </w:rPr>
              <w:t>名 称</w:t>
            </w:r>
          </w:p>
        </w:tc>
        <w:tc>
          <w:tcPr>
            <w:tcW w:w="5111" w:type="dxa"/>
            <w:vAlign w:val="center"/>
          </w:tcPr>
          <w:p>
            <w:pPr>
              <w:jc w:val="center"/>
            </w:pPr>
            <w:r>
              <w:rPr>
                <w:rFonts w:hint="eastAsia"/>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626" w:type="dxa"/>
            <w:vAlign w:val="center"/>
          </w:tcPr>
          <w:p>
            <w:pPr>
              <w:jc w:val="center"/>
            </w:pPr>
            <w:r>
              <w:rPr>
                <w:rFonts w:hint="eastAsia"/>
              </w:rPr>
              <w:t>1</w:t>
            </w:r>
          </w:p>
        </w:tc>
        <w:tc>
          <w:tcPr>
            <w:tcW w:w="2631" w:type="dxa"/>
            <w:vAlign w:val="center"/>
          </w:tcPr>
          <w:p>
            <w:r>
              <w:rPr>
                <w:rFonts w:hint="eastAsia"/>
              </w:rPr>
              <w:t>工程名称</w:t>
            </w:r>
          </w:p>
        </w:tc>
        <w:tc>
          <w:tcPr>
            <w:tcW w:w="5111" w:type="dxa"/>
            <w:vAlign w:val="center"/>
          </w:tcPr>
          <w:p>
            <w:pPr>
              <w:rPr>
                <w:rFonts w:hint="eastAsia" w:eastAsia="宋体"/>
                <w:lang w:eastAsia="zh-CN"/>
              </w:rPr>
            </w:pPr>
            <w:r>
              <w:rPr>
                <w:rFonts w:hint="eastAsia"/>
                <w:color w:val="auto"/>
                <w:sz w:val="18"/>
                <w:szCs w:val="18"/>
                <w:lang w:eastAsia="zh-CN" w:bidi="ar"/>
              </w:rPr>
              <w:t>2024年35kV泉水变电站10kV1号母线PT更换技改项目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626" w:type="dxa"/>
            <w:vAlign w:val="center"/>
          </w:tcPr>
          <w:p>
            <w:pPr>
              <w:jc w:val="center"/>
            </w:pPr>
            <w:r>
              <w:rPr>
                <w:rFonts w:hint="eastAsia"/>
              </w:rPr>
              <w:t>2</w:t>
            </w:r>
          </w:p>
        </w:tc>
        <w:tc>
          <w:tcPr>
            <w:tcW w:w="2631" w:type="dxa"/>
            <w:vAlign w:val="center"/>
          </w:tcPr>
          <w:p>
            <w:r>
              <w:rPr>
                <w:rFonts w:hint="eastAsia"/>
              </w:rPr>
              <w:t>工程建设单位</w:t>
            </w:r>
          </w:p>
        </w:tc>
        <w:tc>
          <w:tcPr>
            <w:tcW w:w="5111" w:type="dxa"/>
            <w:vAlign w:val="center"/>
          </w:tcPr>
          <w:p>
            <w:pPr>
              <w:rPr>
                <w:rFonts w:hint="eastAsia" w:eastAsia="宋体"/>
                <w:lang w:eastAsia="zh-CN"/>
              </w:rPr>
            </w:pPr>
            <w:r>
              <w:rPr>
                <w:rFonts w:hint="eastAsia"/>
              </w:rPr>
              <w:t>广西电网有限公司钦州供电局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626" w:type="dxa"/>
            <w:vAlign w:val="center"/>
          </w:tcPr>
          <w:p>
            <w:pPr>
              <w:jc w:val="center"/>
            </w:pPr>
            <w:r>
              <w:rPr>
                <w:rFonts w:hint="eastAsia"/>
              </w:rPr>
              <w:t>3</w:t>
            </w:r>
          </w:p>
        </w:tc>
        <w:tc>
          <w:tcPr>
            <w:tcW w:w="2631" w:type="dxa"/>
            <w:vAlign w:val="center"/>
          </w:tcPr>
          <w:p>
            <w:r>
              <w:rPr>
                <w:rFonts w:hint="eastAsia"/>
              </w:rPr>
              <w:t>工程地址</w:t>
            </w:r>
          </w:p>
        </w:tc>
        <w:tc>
          <w:tcPr>
            <w:tcW w:w="5111" w:type="dxa"/>
            <w:vAlign w:val="center"/>
          </w:tcPr>
          <w:p>
            <w:pPr>
              <w:rPr>
                <w:rFonts w:hint="eastAsia" w:eastAsia="宋体"/>
                <w:lang w:eastAsia="zh-CN"/>
              </w:rPr>
            </w:pPr>
            <w:r>
              <w:rPr>
                <w:rFonts w:hint="eastAsia"/>
                <w:color w:val="auto"/>
                <w:sz w:val="18"/>
                <w:szCs w:val="18"/>
                <w:lang w:bidi="ar"/>
              </w:rPr>
              <w:t>广西钦州市</w:t>
            </w:r>
            <w:r>
              <w:rPr>
                <w:rFonts w:hint="eastAsia"/>
                <w:color w:val="auto"/>
                <w:sz w:val="18"/>
                <w:szCs w:val="18"/>
                <w:lang w:eastAsia="zh-CN" w:bidi="ar"/>
              </w:rPr>
              <w:t>泉水</w:t>
            </w:r>
            <w:r>
              <w:rPr>
                <w:rFonts w:hint="eastAsia"/>
                <w:color w:val="auto"/>
                <w:sz w:val="18"/>
                <w:szCs w:val="18"/>
                <w:lang w:bidi="ar"/>
              </w:rPr>
              <w:t>镇</w:t>
            </w:r>
            <w:r>
              <w:rPr>
                <w:rFonts w:hint="eastAsia"/>
                <w:color w:val="auto"/>
                <w:sz w:val="18"/>
                <w:szCs w:val="18"/>
                <w:lang w:val="en-US" w:eastAsia="zh-CN" w:bidi="ar"/>
              </w:rPr>
              <w:t>35kV泉水变电站</w:t>
            </w:r>
          </w:p>
        </w:tc>
      </w:tr>
    </w:tbl>
    <w:p>
      <w:pPr>
        <w:pStyle w:val="45"/>
        <w:adjustRightInd w:val="0"/>
        <w:snapToGrid w:val="0"/>
        <w:spacing w:line="360" w:lineRule="auto"/>
        <w:ind w:firstLine="0" w:firstLineChars="0"/>
        <w:rPr>
          <w:rFonts w:eastAsia="宋体" w:cs="Times New Roman"/>
          <w:szCs w:val="21"/>
        </w:rPr>
      </w:pPr>
      <w:bookmarkStart w:id="11" w:name="_Toc290652072"/>
    </w:p>
    <w:p>
      <w:pPr>
        <w:adjustRightInd w:val="0"/>
        <w:snapToGrid w:val="0"/>
        <w:spacing w:line="360" w:lineRule="auto"/>
        <w:outlineLvl w:val="1"/>
        <w:rPr>
          <w:rFonts w:ascii="黑体" w:eastAsia="黑体"/>
        </w:rPr>
      </w:pPr>
      <w:bookmarkStart w:id="12" w:name="_Toc423550160"/>
      <w:r>
        <w:rPr>
          <w:rFonts w:ascii="黑体" w:eastAsia="黑体"/>
        </w:rPr>
        <w:t>2.</w:t>
      </w:r>
      <w:r>
        <w:rPr>
          <w:rFonts w:hint="eastAsia" w:ascii="黑体" w:eastAsia="黑体"/>
        </w:rPr>
        <w:t>2</w:t>
      </w:r>
      <w:r>
        <w:rPr>
          <w:rFonts w:ascii="黑体" w:eastAsia="黑体"/>
        </w:rPr>
        <w:t xml:space="preserve">  范围和界限</w:t>
      </w:r>
      <w:bookmarkEnd w:id="11"/>
      <w:bookmarkEnd w:id="12"/>
    </w:p>
    <w:p>
      <w:pPr>
        <w:pStyle w:val="45"/>
        <w:adjustRightInd w:val="0"/>
        <w:snapToGrid w:val="0"/>
        <w:spacing w:line="360" w:lineRule="auto"/>
        <w:ind w:firstLine="0" w:firstLineChars="0"/>
        <w:rPr>
          <w:rFonts w:eastAsia="宋体" w:cs="Times New Roman"/>
          <w:szCs w:val="21"/>
        </w:rPr>
      </w:pPr>
      <w:r>
        <w:rPr>
          <w:rFonts w:eastAsia="宋体" w:cs="Times New Roman"/>
          <w:szCs w:val="21"/>
        </w:rPr>
        <w:t>(1) 本标书适应于</w:t>
      </w:r>
      <w:r>
        <w:rPr>
          <w:rFonts w:hint="eastAsia" w:eastAsia="宋体" w:cs="Times New Roman"/>
          <w:szCs w:val="21"/>
        </w:rPr>
        <w:t>所供10kV 干式电压互感器</w:t>
      </w:r>
      <w:r>
        <w:rPr>
          <w:rFonts w:eastAsia="宋体" w:cs="Times New Roman"/>
          <w:szCs w:val="21"/>
        </w:rPr>
        <w:t>及其附属设备的设计</w:t>
      </w:r>
      <w:r>
        <w:rPr>
          <w:rFonts w:hint="eastAsia" w:eastAsia="宋体" w:cs="Times New Roman"/>
          <w:szCs w:val="21"/>
        </w:rPr>
        <w:t>、</w:t>
      </w:r>
      <w:r>
        <w:rPr>
          <w:rFonts w:eastAsia="宋体" w:cs="Times New Roman"/>
          <w:szCs w:val="21"/>
        </w:rPr>
        <w:t>制造</w:t>
      </w:r>
      <w:r>
        <w:rPr>
          <w:rFonts w:hint="eastAsia" w:eastAsia="宋体" w:cs="Times New Roman"/>
          <w:szCs w:val="21"/>
        </w:rPr>
        <w:t>、</w:t>
      </w:r>
      <w:r>
        <w:rPr>
          <w:rFonts w:eastAsia="宋体" w:cs="Times New Roman"/>
          <w:szCs w:val="21"/>
        </w:rPr>
        <w:t>装配</w:t>
      </w:r>
      <w:r>
        <w:rPr>
          <w:rFonts w:hint="eastAsia" w:eastAsia="宋体" w:cs="Times New Roman"/>
          <w:szCs w:val="21"/>
        </w:rPr>
        <w:t>、</w:t>
      </w:r>
      <w:r>
        <w:rPr>
          <w:rFonts w:eastAsia="宋体" w:cs="Times New Roman"/>
          <w:szCs w:val="21"/>
        </w:rPr>
        <w:t>工厂试验</w:t>
      </w:r>
      <w:r>
        <w:rPr>
          <w:rFonts w:hint="eastAsia" w:eastAsia="宋体" w:cs="Times New Roman"/>
          <w:szCs w:val="21"/>
        </w:rPr>
        <w:t>、</w:t>
      </w:r>
      <w:r>
        <w:rPr>
          <w:rFonts w:eastAsia="宋体" w:cs="Times New Roman"/>
          <w:szCs w:val="21"/>
        </w:rPr>
        <w:t>交付</w:t>
      </w:r>
      <w:r>
        <w:rPr>
          <w:rFonts w:hint="eastAsia" w:eastAsia="宋体" w:cs="Times New Roman"/>
          <w:szCs w:val="21"/>
        </w:rPr>
        <w:t>、</w:t>
      </w:r>
      <w:r>
        <w:rPr>
          <w:rFonts w:eastAsia="宋体" w:cs="Times New Roman"/>
          <w:szCs w:val="21"/>
        </w:rPr>
        <w:t>现场安装和试验的指导、监督以及试运行工作。</w:t>
      </w:r>
    </w:p>
    <w:p>
      <w:pPr>
        <w:pStyle w:val="45"/>
        <w:adjustRightInd w:val="0"/>
        <w:snapToGrid w:val="0"/>
        <w:spacing w:line="360" w:lineRule="auto"/>
        <w:ind w:firstLine="0" w:firstLineChars="0"/>
        <w:rPr>
          <w:rFonts w:eastAsia="宋体" w:cs="Times New Roman"/>
          <w:szCs w:val="21"/>
        </w:rPr>
      </w:pPr>
      <w:r>
        <w:rPr>
          <w:rFonts w:eastAsia="宋体" w:cs="Times New Roman"/>
          <w:szCs w:val="21"/>
        </w:rPr>
        <w:t>(</w:t>
      </w:r>
      <w:r>
        <w:rPr>
          <w:rFonts w:hint="eastAsia" w:eastAsia="宋体" w:cs="Times New Roman"/>
          <w:szCs w:val="21"/>
        </w:rPr>
        <w:t>2</w:t>
      </w:r>
      <w:r>
        <w:rPr>
          <w:rFonts w:eastAsia="宋体" w:cs="Times New Roman"/>
          <w:szCs w:val="21"/>
        </w:rPr>
        <w:t>)  现场安装和试验在投标方的技术指导和监督下由招标方完成。</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(3）</w:t>
      </w:r>
      <w:r>
        <w:rPr>
          <w:rFonts w:eastAsia="宋体" w:cs="Times New Roman"/>
          <w:szCs w:val="21"/>
        </w:rPr>
        <w:t>本标书未说明</w:t>
      </w:r>
      <w:r>
        <w:rPr>
          <w:rFonts w:hint="eastAsia" w:eastAsia="宋体" w:cs="Times New Roman"/>
          <w:szCs w:val="21"/>
        </w:rPr>
        <w:t>，</w:t>
      </w:r>
      <w:r>
        <w:rPr>
          <w:rFonts w:eastAsia="宋体" w:cs="Times New Roman"/>
          <w:szCs w:val="21"/>
        </w:rPr>
        <w:t>但又与设计、制造、装配、试验、运输、包装、保管、安装和运行维护有关的技术要求</w:t>
      </w:r>
      <w:r>
        <w:rPr>
          <w:rFonts w:hint="eastAsia" w:eastAsia="宋体" w:cs="Times New Roman"/>
          <w:szCs w:val="21"/>
        </w:rPr>
        <w:t>，</w:t>
      </w:r>
      <w:r>
        <w:rPr>
          <w:rFonts w:eastAsia="宋体" w:cs="Times New Roman"/>
          <w:szCs w:val="21"/>
        </w:rPr>
        <w:t>按条款3所规定的有关标准执行。</w:t>
      </w:r>
    </w:p>
    <w:p>
      <w:pPr>
        <w:adjustRightInd w:val="0"/>
        <w:snapToGrid w:val="0"/>
        <w:spacing w:line="360" w:lineRule="auto"/>
        <w:outlineLvl w:val="1"/>
        <w:rPr>
          <w:rFonts w:ascii="黑体" w:eastAsia="黑体"/>
        </w:rPr>
      </w:pPr>
      <w:bookmarkStart w:id="13" w:name="_Toc290652073"/>
      <w:bookmarkStart w:id="14" w:name="_Toc423550161"/>
      <w:r>
        <w:rPr>
          <w:rFonts w:ascii="黑体" w:eastAsia="黑体"/>
        </w:rPr>
        <w:t>2.</w:t>
      </w:r>
      <w:r>
        <w:rPr>
          <w:rFonts w:hint="eastAsia" w:ascii="黑体" w:eastAsia="黑体"/>
        </w:rPr>
        <w:t>3</w:t>
      </w:r>
      <w:r>
        <w:rPr>
          <w:rFonts w:ascii="黑体" w:eastAsia="黑体"/>
        </w:rPr>
        <w:t xml:space="preserve">  服务范围</w:t>
      </w:r>
      <w:bookmarkEnd w:id="13"/>
      <w:bookmarkEnd w:id="14"/>
    </w:p>
    <w:p>
      <w:pPr>
        <w:pStyle w:val="45"/>
        <w:adjustRightInd w:val="0"/>
        <w:snapToGrid w:val="0"/>
        <w:spacing w:line="360" w:lineRule="auto"/>
        <w:ind w:firstLine="0" w:firstLineChars="0"/>
        <w:rPr>
          <w:rFonts w:eastAsia="宋体" w:cs="Times New Roman"/>
          <w:szCs w:val="21"/>
        </w:rPr>
      </w:pPr>
      <w:r>
        <w:rPr>
          <w:rFonts w:eastAsia="宋体" w:cs="Times New Roman"/>
          <w:szCs w:val="21"/>
        </w:rPr>
        <w:t>(1)  投标方应按本标书的要求提供</w:t>
      </w:r>
      <w:r>
        <w:rPr>
          <w:rFonts w:hint="eastAsia" w:eastAsia="宋体" w:cs="Times New Roman"/>
          <w:szCs w:val="21"/>
        </w:rPr>
        <w:t>一台</w:t>
      </w:r>
      <w:r>
        <w:rPr>
          <w:rFonts w:eastAsia="宋体" w:cs="Times New Roman"/>
          <w:szCs w:val="21"/>
        </w:rPr>
        <w:t>全新的、合格的</w:t>
      </w:r>
      <w:r>
        <w:rPr>
          <w:rFonts w:hint="eastAsia" w:eastAsia="宋体" w:cs="Times New Roman"/>
          <w:szCs w:val="21"/>
        </w:rPr>
        <w:t>10kV 干式电压互感器</w:t>
      </w:r>
      <w:r>
        <w:rPr>
          <w:rFonts w:eastAsia="宋体" w:cs="Times New Roman"/>
          <w:szCs w:val="21"/>
        </w:rPr>
        <w:t>及其附属设备、备品备件、专用工具和仪器。</w:t>
      </w:r>
    </w:p>
    <w:p>
      <w:pPr>
        <w:pStyle w:val="45"/>
        <w:adjustRightInd w:val="0"/>
        <w:snapToGrid w:val="0"/>
        <w:spacing w:line="360" w:lineRule="auto"/>
        <w:rPr>
          <w:rFonts w:eastAsia="宋体" w:cs="Times New Roman"/>
          <w:szCs w:val="21"/>
        </w:rPr>
      </w:pPr>
      <w:r>
        <w:rPr>
          <w:rFonts w:eastAsia="宋体" w:cs="Times New Roman"/>
          <w:szCs w:val="21"/>
        </w:rPr>
        <w:t>投标方所提供的组件或附件如需向第三方外购时</w:t>
      </w:r>
      <w:r>
        <w:rPr>
          <w:rFonts w:hint="eastAsia" w:eastAsia="宋体" w:cs="Times New Roman"/>
          <w:szCs w:val="21"/>
        </w:rPr>
        <w:t>，投标方</w:t>
      </w:r>
      <w:r>
        <w:rPr>
          <w:rFonts w:eastAsia="宋体" w:cs="Times New Roman"/>
          <w:szCs w:val="21"/>
        </w:rPr>
        <w:t>应对质量向招标方负责</w:t>
      </w:r>
      <w:r>
        <w:rPr>
          <w:rFonts w:hint="eastAsia" w:eastAsia="宋体" w:cs="Times New Roman"/>
          <w:szCs w:val="21"/>
        </w:rPr>
        <w:t>，</w:t>
      </w:r>
      <w:r>
        <w:rPr>
          <w:rFonts w:eastAsia="宋体" w:cs="Times New Roman"/>
          <w:szCs w:val="21"/>
        </w:rPr>
        <w:t>并提供相应出厂和验收证明。</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（2）供货范围</w:t>
      </w:r>
      <w:bookmarkStart w:id="15" w:name="_Toc283142589"/>
      <w:bookmarkStart w:id="16" w:name="_Toc282433715"/>
      <w:bookmarkStart w:id="17" w:name="_Toc283011667"/>
      <w:r>
        <w:rPr>
          <w:rFonts w:hint="eastAsia" w:eastAsia="宋体" w:cs="Times New Roman"/>
          <w:szCs w:val="21"/>
        </w:rPr>
        <w:t>一览表</w:t>
      </w:r>
      <w:bookmarkEnd w:id="15"/>
      <w:bookmarkEnd w:id="16"/>
      <w:bookmarkEnd w:id="17"/>
      <w:r>
        <w:rPr>
          <w:rFonts w:hint="eastAsia"/>
          <w:color w:val="auto"/>
          <w:szCs w:val="21"/>
        </w:rPr>
        <w:t>（</w:t>
      </w:r>
      <w:r>
        <w:rPr>
          <w:rFonts w:hint="eastAsia"/>
          <w:color w:val="auto"/>
          <w:szCs w:val="21"/>
          <w:lang w:eastAsia="zh-CN"/>
        </w:rPr>
        <w:t>钦州</w:t>
      </w:r>
      <w:r>
        <w:rPr>
          <w:rFonts w:hint="eastAsia"/>
          <w:color w:val="auto"/>
          <w:szCs w:val="21"/>
        </w:rPr>
        <w:t>供电局）</w:t>
      </w:r>
    </w:p>
    <w:p>
      <w:pPr>
        <w:pStyle w:val="45"/>
        <w:adjustRightInd w:val="0"/>
        <w:snapToGrid w:val="0"/>
        <w:spacing w:line="360" w:lineRule="auto"/>
        <w:rPr>
          <w:rFonts w:eastAsia="宋体" w:cs="Times New Roman"/>
          <w:szCs w:val="21"/>
        </w:rPr>
      </w:pPr>
      <w:r>
        <w:rPr>
          <w:rFonts w:eastAsia="宋体" w:cs="Times New Roman"/>
          <w:szCs w:val="21"/>
        </w:rPr>
        <w:t>投标方</w:t>
      </w:r>
      <w:r>
        <w:rPr>
          <w:rFonts w:hint="eastAsia" w:eastAsia="宋体" w:cs="Times New Roman"/>
          <w:szCs w:val="21"/>
        </w:rPr>
        <w:t>提供的10kV 干式电压互感器的具体规格、数量见表2.2：供货范围及设备技术规格一览表。投标方应如实填写“投标方保证”栏。</w:t>
      </w:r>
    </w:p>
    <w:p>
      <w:pPr>
        <w:spacing w:line="360" w:lineRule="auto"/>
        <w:jc w:val="center"/>
        <w:rPr>
          <w:rFonts w:hint="eastAsia" w:ascii="宋体" w:hAnsi="宋体"/>
        </w:rPr>
      </w:pPr>
      <w:r>
        <w:rPr>
          <w:rFonts w:hint="eastAsia" w:hAnsi="宋体"/>
          <w:szCs w:val="21"/>
        </w:rPr>
        <w:t xml:space="preserve">表2.2 </w:t>
      </w:r>
      <w:r>
        <w:rPr>
          <w:rFonts w:hint="eastAsia" w:ascii="宋体" w:hAnsi="宋体"/>
        </w:rPr>
        <w:t>供货范围及设备技术规格一览表</w:t>
      </w:r>
    </w:p>
    <w:p>
      <w:pPr>
        <w:spacing w:line="360" w:lineRule="auto"/>
        <w:jc w:val="center"/>
        <w:rPr>
          <w:rFonts w:hint="eastAsia" w:ascii="宋体" w:hAnsi="宋体" w:eastAsia="宋体"/>
          <w:b/>
          <w:sz w:val="18"/>
          <w:szCs w:val="18"/>
          <w:lang w:eastAsia="zh-CN"/>
        </w:rPr>
      </w:pPr>
      <w:r>
        <w:rPr>
          <w:rFonts w:hint="eastAsia" w:ascii="宋体" w:hAnsi="宋体"/>
          <w:b/>
        </w:rPr>
        <w:t>项目：</w:t>
      </w:r>
      <w:r>
        <w:rPr>
          <w:rFonts w:hint="eastAsia" w:ascii="宋体" w:hAnsi="宋体"/>
          <w:b/>
          <w:lang w:eastAsia="zh-CN"/>
        </w:rPr>
        <w:t>2024年35kV泉水变电站10kV1号母线PT更换技改项目</w:t>
      </w:r>
    </w:p>
    <w:tbl>
      <w:tblPr>
        <w:tblStyle w:val="25"/>
        <w:tblW w:w="8804" w:type="dxa"/>
        <w:tblInd w:w="93" w:type="dxa"/>
        <w:tblLayout w:type="fixed"/>
        <w:tblCellMar>
          <w:top w:w="0" w:type="dxa"/>
          <w:left w:w="108" w:type="dxa"/>
          <w:bottom w:w="0" w:type="dxa"/>
          <w:right w:w="108" w:type="dxa"/>
        </w:tblCellMar>
      </w:tblPr>
      <w:tblGrid>
        <w:gridCol w:w="645"/>
        <w:gridCol w:w="1233"/>
        <w:gridCol w:w="2880"/>
        <w:gridCol w:w="720"/>
        <w:gridCol w:w="774"/>
        <w:gridCol w:w="850"/>
        <w:gridCol w:w="851"/>
        <w:gridCol w:w="851"/>
      </w:tblGrid>
      <w:tr>
        <w:tblPrEx>
          <w:tblCellMar>
            <w:top w:w="0" w:type="dxa"/>
            <w:left w:w="108" w:type="dxa"/>
            <w:bottom w:w="0" w:type="dxa"/>
            <w:right w:w="108" w:type="dxa"/>
          </w:tblCellMar>
        </w:tblPrEx>
        <w:trPr>
          <w:trHeight w:val="285" w:hRule="atLeast"/>
        </w:trPr>
        <w:tc>
          <w:tcPr>
            <w:tcW w:w="645" w:type="dxa"/>
            <w:vMerge w:val="restart"/>
            <w:tcBorders>
              <w:top w:val="single" w:color="auto" w:sz="4" w:space="0"/>
              <w:left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序号</w:t>
            </w:r>
          </w:p>
        </w:tc>
        <w:tc>
          <w:tcPr>
            <w:tcW w:w="123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bookmarkStart w:id="18" w:name="RANGE!D4"/>
            <w:r>
              <w:rPr>
                <w:rFonts w:hint="eastAsia" w:ascii="宋体" w:hAnsi="宋体" w:cs="宋体"/>
                <w:kern w:val="0"/>
                <w:szCs w:val="21"/>
              </w:rPr>
              <w:t>设备名称</w:t>
            </w:r>
            <w:bookmarkEnd w:id="18"/>
          </w:p>
        </w:tc>
        <w:tc>
          <w:tcPr>
            <w:tcW w:w="4374"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rPr>
              <w:t>买方要求</w:t>
            </w:r>
          </w:p>
        </w:tc>
        <w:tc>
          <w:tcPr>
            <w:tcW w:w="2552"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rPr>
              <w:t>卖方保证</w:t>
            </w:r>
          </w:p>
        </w:tc>
      </w:tr>
      <w:tr>
        <w:tblPrEx>
          <w:tblCellMar>
            <w:top w:w="0" w:type="dxa"/>
            <w:left w:w="108" w:type="dxa"/>
            <w:bottom w:w="0" w:type="dxa"/>
            <w:right w:w="108" w:type="dxa"/>
          </w:tblCellMar>
        </w:tblPrEx>
        <w:trPr>
          <w:trHeight w:val="510" w:hRule="atLeast"/>
        </w:trPr>
        <w:tc>
          <w:tcPr>
            <w:tcW w:w="645" w:type="dxa"/>
            <w:vMerge w:val="continue"/>
            <w:tcBorders>
              <w:left w:val="single" w:color="auto" w:sz="4" w:space="0"/>
              <w:bottom w:val="single" w:color="auto" w:sz="4" w:space="0"/>
              <w:right w:val="single" w:color="auto" w:sz="4" w:space="0"/>
            </w:tcBorders>
          </w:tcPr>
          <w:p>
            <w:pPr>
              <w:widowControl/>
              <w:jc w:val="left"/>
              <w:rPr>
                <w:rFonts w:ascii="宋体" w:hAnsi="宋体" w:cs="宋体"/>
                <w:kern w:val="0"/>
                <w:szCs w:val="21"/>
              </w:rPr>
            </w:pPr>
          </w:p>
        </w:tc>
        <w:tc>
          <w:tcPr>
            <w:tcW w:w="123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880" w:type="dxa"/>
            <w:tcBorders>
              <w:top w:val="nil"/>
              <w:left w:val="nil"/>
              <w:bottom w:val="single" w:color="auto" w:sz="4" w:space="0"/>
              <w:right w:val="single" w:color="auto" w:sz="4" w:space="0"/>
            </w:tcBorders>
            <w:shd w:val="clear" w:color="auto" w:fill="auto"/>
            <w:vAlign w:val="center"/>
          </w:tcPr>
          <w:p>
            <w:pPr>
              <w:jc w:val="center"/>
              <w:rPr>
                <w:rFonts w:ascii="宋体" w:hAnsi="宋体"/>
              </w:rPr>
            </w:pPr>
            <w:r>
              <w:rPr>
                <w:rFonts w:hint="eastAsia" w:ascii="宋体" w:hAnsi="宋体"/>
              </w:rPr>
              <w:t>型式、规格</w:t>
            </w:r>
          </w:p>
          <w:p>
            <w:pPr>
              <w:widowControl/>
              <w:jc w:val="center"/>
              <w:rPr>
                <w:rFonts w:ascii="宋体" w:hAnsi="宋体" w:cs="宋体"/>
                <w:kern w:val="0"/>
                <w:szCs w:val="21"/>
              </w:rPr>
            </w:pP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单位</w:t>
            </w:r>
          </w:p>
        </w:tc>
        <w:tc>
          <w:tcPr>
            <w:tcW w:w="77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数量</w:t>
            </w:r>
          </w:p>
        </w:tc>
        <w:tc>
          <w:tcPr>
            <w:tcW w:w="850" w:type="dxa"/>
            <w:tcBorders>
              <w:top w:val="nil"/>
              <w:left w:val="nil"/>
              <w:bottom w:val="single" w:color="auto" w:sz="4" w:space="0"/>
              <w:right w:val="single" w:color="auto" w:sz="4" w:space="0"/>
            </w:tcBorders>
            <w:shd w:val="clear" w:color="auto" w:fill="auto"/>
            <w:vAlign w:val="center"/>
          </w:tcPr>
          <w:p>
            <w:pPr>
              <w:jc w:val="center"/>
              <w:rPr>
                <w:rFonts w:ascii="宋体" w:hAnsi="宋体"/>
              </w:rPr>
            </w:pPr>
            <w:r>
              <w:rPr>
                <w:rFonts w:hint="eastAsia" w:ascii="宋体" w:hAnsi="宋体"/>
              </w:rPr>
              <w:t>型式</w:t>
            </w:r>
          </w:p>
          <w:p>
            <w:pPr>
              <w:jc w:val="center"/>
              <w:rPr>
                <w:rFonts w:ascii="宋体" w:hAnsi="宋体" w:cs="宋体"/>
                <w:kern w:val="0"/>
                <w:szCs w:val="21"/>
              </w:rPr>
            </w:pPr>
            <w:r>
              <w:rPr>
                <w:rFonts w:hint="eastAsia" w:ascii="宋体" w:hAnsi="宋体"/>
              </w:rPr>
              <w:t>规格</w:t>
            </w:r>
          </w:p>
        </w:tc>
        <w:tc>
          <w:tcPr>
            <w:tcW w:w="85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单位</w:t>
            </w:r>
          </w:p>
        </w:tc>
        <w:tc>
          <w:tcPr>
            <w:tcW w:w="85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数量</w:t>
            </w:r>
          </w:p>
        </w:tc>
      </w:tr>
      <w:tr>
        <w:tblPrEx>
          <w:tblCellMar>
            <w:top w:w="0" w:type="dxa"/>
            <w:left w:w="108" w:type="dxa"/>
            <w:bottom w:w="0" w:type="dxa"/>
            <w:right w:w="108" w:type="dxa"/>
          </w:tblCellMar>
        </w:tblPrEx>
        <w:trPr>
          <w:trHeight w:val="510" w:hRule="atLeast"/>
        </w:trPr>
        <w:tc>
          <w:tcPr>
            <w:tcW w:w="64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1</w:t>
            </w:r>
          </w:p>
        </w:tc>
        <w:tc>
          <w:tcPr>
            <w:tcW w:w="1233"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0"/>
                <w:szCs w:val="20"/>
              </w:rPr>
            </w:pPr>
            <w:r>
              <w:rPr>
                <w:rFonts w:hint="eastAsia"/>
                <w:sz w:val="20"/>
                <w:szCs w:val="20"/>
              </w:rPr>
              <w:t>10kV干式电压互感器</w:t>
            </w:r>
          </w:p>
        </w:tc>
        <w:tc>
          <w:tcPr>
            <w:tcW w:w="2880" w:type="dxa"/>
            <w:tcBorders>
              <w:top w:val="nil"/>
              <w:left w:val="nil"/>
              <w:bottom w:val="single" w:color="auto" w:sz="4" w:space="0"/>
              <w:right w:val="single" w:color="auto" w:sz="4" w:space="0"/>
            </w:tcBorders>
            <w:shd w:val="clear" w:color="auto" w:fill="auto"/>
            <w:vAlign w:val="center"/>
          </w:tcPr>
          <w:p>
            <w:pPr>
              <w:jc w:val="center"/>
              <w:rPr>
                <w:rFonts w:ascii="Verdana" w:hAnsi="Verdana" w:cs="宋体"/>
                <w:sz w:val="18"/>
                <w:szCs w:val="18"/>
              </w:rPr>
            </w:pPr>
            <w:r>
              <w:rPr>
                <w:rFonts w:hint="eastAsia" w:ascii="Verdana" w:hAnsi="Verdana"/>
                <w:sz w:val="18"/>
                <w:szCs w:val="18"/>
                <w:lang w:val="en-US" w:eastAsia="zh-CN"/>
              </w:rPr>
              <w:t>户外，3</w:t>
            </w:r>
            <w:r>
              <w:rPr>
                <w:rFonts w:hint="eastAsia" w:ascii="Verdana" w:hAnsi="Verdana"/>
                <w:sz w:val="18"/>
                <w:szCs w:val="18"/>
              </w:rPr>
              <w:t>绕组，额定电压比：(10/√3 )/</w:t>
            </w:r>
            <w:r>
              <w:rPr>
                <w:rFonts w:hint="eastAsia" w:ascii="Verdana" w:hAnsi="Verdana"/>
                <w:sz w:val="18"/>
                <w:szCs w:val="18"/>
                <w:lang w:val="en-US" w:eastAsia="zh-CN"/>
              </w:rPr>
              <w:t>0.1</w:t>
            </w:r>
            <w:r>
              <w:rPr>
                <w:rFonts w:hint="eastAsia" w:ascii="Verdana" w:hAnsi="Verdana"/>
                <w:sz w:val="18"/>
                <w:szCs w:val="18"/>
              </w:rPr>
              <w:t>/√3 )/(</w:t>
            </w:r>
            <w:r>
              <w:rPr>
                <w:rFonts w:hint="eastAsia" w:ascii="Verdana" w:hAnsi="Verdana"/>
                <w:sz w:val="18"/>
                <w:szCs w:val="18"/>
                <w:lang w:val="en-US" w:eastAsia="zh-CN"/>
              </w:rPr>
              <w:t>0.1</w:t>
            </w:r>
            <w:r>
              <w:rPr>
                <w:rFonts w:hint="eastAsia" w:ascii="Verdana" w:hAnsi="Verdana"/>
                <w:sz w:val="18"/>
                <w:szCs w:val="18"/>
              </w:rPr>
              <w:t>/√3 )/(</w:t>
            </w:r>
            <w:r>
              <w:rPr>
                <w:rFonts w:hint="eastAsia" w:ascii="Verdana" w:hAnsi="Verdana"/>
                <w:sz w:val="18"/>
                <w:szCs w:val="18"/>
                <w:lang w:val="en-US" w:eastAsia="zh-CN"/>
              </w:rPr>
              <w:t>0.1</w:t>
            </w:r>
            <w:r>
              <w:rPr>
                <w:rFonts w:hint="eastAsia" w:ascii="Verdana" w:hAnsi="Verdana"/>
                <w:sz w:val="18"/>
                <w:szCs w:val="18"/>
              </w:rPr>
              <w:t>/3)kV,准确级：0.2、0.5、</w:t>
            </w:r>
            <w:r>
              <w:rPr>
                <w:rFonts w:hint="eastAsia" w:ascii="Verdana" w:hAnsi="Verdana"/>
                <w:sz w:val="18"/>
                <w:szCs w:val="18"/>
                <w:lang w:val="en-US" w:eastAsia="zh-CN"/>
              </w:rPr>
              <w:t>3</w:t>
            </w:r>
            <w:r>
              <w:rPr>
                <w:rFonts w:hint="eastAsia" w:ascii="Verdana" w:hAnsi="Verdana"/>
                <w:sz w:val="18"/>
                <w:szCs w:val="18"/>
              </w:rPr>
              <w:t>P。</w:t>
            </w:r>
          </w:p>
        </w:tc>
        <w:tc>
          <w:tcPr>
            <w:tcW w:w="720" w:type="dxa"/>
            <w:tcBorders>
              <w:top w:val="nil"/>
              <w:left w:val="nil"/>
              <w:bottom w:val="single" w:color="auto" w:sz="4" w:space="0"/>
              <w:right w:val="single" w:color="auto" w:sz="4" w:space="0"/>
            </w:tcBorders>
            <w:shd w:val="clear" w:color="auto" w:fill="auto"/>
            <w:vAlign w:val="center"/>
          </w:tcPr>
          <w:p>
            <w:pPr>
              <w:jc w:val="center"/>
              <w:rPr>
                <w:rFonts w:ascii="宋体" w:hAnsi="宋体" w:cs="宋体"/>
                <w:szCs w:val="21"/>
              </w:rPr>
            </w:pPr>
            <w:r>
              <w:rPr>
                <w:rFonts w:hint="eastAsia"/>
                <w:szCs w:val="21"/>
              </w:rPr>
              <w:t>台</w:t>
            </w:r>
          </w:p>
        </w:tc>
        <w:tc>
          <w:tcPr>
            <w:tcW w:w="774"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_GB2312" w:eastAsia="仿宋_GB2312"/>
                <w:kern w:val="0"/>
                <w:szCs w:val="21"/>
                <w:lang w:eastAsia="zh-CN"/>
              </w:rPr>
            </w:pPr>
            <w:r>
              <w:rPr>
                <w:rFonts w:hint="eastAsia" w:ascii="仿宋_GB2312" w:eastAsia="仿宋_GB2312"/>
                <w:kern w:val="0"/>
                <w:szCs w:val="21"/>
                <w:lang w:val="en-US" w:eastAsia="zh-CN"/>
              </w:rPr>
              <w:t>3</w:t>
            </w:r>
          </w:p>
        </w:tc>
        <w:tc>
          <w:tcPr>
            <w:tcW w:w="850" w:type="dxa"/>
            <w:tcBorders>
              <w:top w:val="nil"/>
              <w:left w:val="nil"/>
              <w:bottom w:val="single" w:color="auto" w:sz="4" w:space="0"/>
              <w:right w:val="single" w:color="auto" w:sz="4" w:space="0"/>
            </w:tcBorders>
            <w:shd w:val="clear" w:color="auto" w:fill="auto"/>
            <w:vAlign w:val="center"/>
          </w:tcPr>
          <w:p>
            <w:pPr>
              <w:widowControl/>
              <w:jc w:val="center"/>
              <w:rPr>
                <w:rFonts w:ascii="仿宋_GB2312" w:eastAsia="仿宋_GB2312"/>
                <w:kern w:val="0"/>
                <w:szCs w:val="21"/>
              </w:rPr>
            </w:pPr>
          </w:p>
        </w:tc>
        <w:tc>
          <w:tcPr>
            <w:tcW w:w="851" w:type="dxa"/>
            <w:tcBorders>
              <w:top w:val="nil"/>
              <w:left w:val="nil"/>
              <w:bottom w:val="single" w:color="auto" w:sz="4" w:space="0"/>
              <w:right w:val="single" w:color="auto" w:sz="4" w:space="0"/>
            </w:tcBorders>
            <w:shd w:val="clear" w:color="auto" w:fill="auto"/>
            <w:vAlign w:val="center"/>
          </w:tcPr>
          <w:p>
            <w:pPr>
              <w:widowControl/>
              <w:jc w:val="center"/>
              <w:rPr>
                <w:rFonts w:ascii="仿宋_GB2312" w:eastAsia="仿宋_GB2312"/>
                <w:kern w:val="0"/>
                <w:szCs w:val="21"/>
              </w:rPr>
            </w:pPr>
          </w:p>
        </w:tc>
        <w:tc>
          <w:tcPr>
            <w:tcW w:w="851" w:type="dxa"/>
            <w:tcBorders>
              <w:top w:val="nil"/>
              <w:left w:val="nil"/>
              <w:bottom w:val="single" w:color="auto" w:sz="4" w:space="0"/>
              <w:right w:val="single" w:color="auto" w:sz="4" w:space="0"/>
            </w:tcBorders>
            <w:shd w:val="clear" w:color="auto" w:fill="auto"/>
            <w:vAlign w:val="center"/>
          </w:tcPr>
          <w:p>
            <w:pPr>
              <w:widowControl/>
              <w:jc w:val="center"/>
              <w:rPr>
                <w:rFonts w:ascii="仿宋_GB2312" w:eastAsia="仿宋_GB2312"/>
                <w:kern w:val="0"/>
                <w:szCs w:val="21"/>
              </w:rPr>
            </w:pPr>
          </w:p>
        </w:tc>
      </w:tr>
      <w:tr>
        <w:tblPrEx>
          <w:tblCellMar>
            <w:top w:w="0" w:type="dxa"/>
            <w:left w:w="108" w:type="dxa"/>
            <w:bottom w:w="0" w:type="dxa"/>
            <w:right w:w="108" w:type="dxa"/>
          </w:tblCellMar>
        </w:tblPrEx>
        <w:trPr>
          <w:trHeight w:val="510" w:hRule="atLeast"/>
        </w:trPr>
        <w:tc>
          <w:tcPr>
            <w:tcW w:w="8804" w:type="dxa"/>
            <w:gridSpan w:val="8"/>
            <w:tcBorders>
              <w:top w:val="nil"/>
              <w:left w:val="single" w:color="auto" w:sz="4" w:space="0"/>
              <w:bottom w:val="single" w:color="auto" w:sz="4" w:space="0"/>
              <w:right w:val="single" w:color="auto" w:sz="4" w:space="0"/>
            </w:tcBorders>
            <w:vAlign w:val="center"/>
          </w:tcPr>
          <w:p>
            <w:pPr>
              <w:widowControl/>
              <w:jc w:val="left"/>
              <w:rPr>
                <w:rFonts w:hint="default" w:ascii="仿宋_GB2312" w:eastAsia="宋体"/>
                <w:kern w:val="0"/>
                <w:szCs w:val="21"/>
                <w:lang w:val="en-US" w:eastAsia="zh-CN"/>
              </w:rPr>
            </w:pPr>
            <w:r>
              <w:rPr>
                <w:rFonts w:hint="default" w:ascii="仿宋_GB2312" w:eastAsia="宋体"/>
                <w:kern w:val="0"/>
                <w:szCs w:val="21"/>
                <w:lang w:val="en-US" w:eastAsia="zh-CN"/>
              </w:rPr>
              <w:t>送货地址：</w:t>
            </w:r>
            <w:r>
              <w:rPr>
                <w:rFonts w:hint="eastAsia"/>
                <w:color w:val="auto"/>
                <w:sz w:val="18"/>
                <w:szCs w:val="18"/>
                <w:lang w:bidi="ar"/>
              </w:rPr>
              <w:t>广西钦州市</w:t>
            </w:r>
            <w:r>
              <w:rPr>
                <w:rFonts w:hint="eastAsia"/>
                <w:color w:val="auto"/>
                <w:sz w:val="18"/>
                <w:szCs w:val="18"/>
                <w:lang w:eastAsia="zh-CN" w:bidi="ar"/>
              </w:rPr>
              <w:t>泉水</w:t>
            </w:r>
            <w:r>
              <w:rPr>
                <w:rFonts w:hint="eastAsia"/>
                <w:color w:val="auto"/>
                <w:sz w:val="18"/>
                <w:szCs w:val="18"/>
                <w:lang w:bidi="ar"/>
              </w:rPr>
              <w:t>镇</w:t>
            </w:r>
            <w:r>
              <w:rPr>
                <w:rFonts w:hint="eastAsia"/>
                <w:color w:val="auto"/>
                <w:sz w:val="18"/>
                <w:szCs w:val="18"/>
                <w:lang w:val="en-US" w:eastAsia="zh-CN" w:bidi="ar"/>
              </w:rPr>
              <w:t>35kV泉水变电站</w:t>
            </w:r>
          </w:p>
        </w:tc>
      </w:tr>
    </w:tbl>
    <w:p>
      <w:pPr>
        <w:pStyle w:val="45"/>
        <w:adjustRightInd w:val="0"/>
        <w:snapToGrid w:val="0"/>
        <w:spacing w:line="360" w:lineRule="auto"/>
        <w:ind w:firstLine="0" w:firstLineChars="0"/>
        <w:rPr>
          <w:rFonts w:eastAsia="宋体" w:cs="Times New Roman"/>
          <w:szCs w:val="21"/>
        </w:rPr>
      </w:pP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(3) 工厂试验由投标方在生产厂家内完成, 但应有招标方代表参加, 参加工厂验收的人数及天数等规定详见标书商务部分。</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(4) 现场安装和试验在投标方的技术指导下由招标方完成, 投标方协助招标方按标准检查安装质量, 处理调试投运过程中出现的问题，并提供备品、备件，做好销售服务工作。投标方应选派有经验的技术人员，对安装和运行人员免费培训。安装督导的工作范围及人数和天数等规定详见标书商务部分。</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(5) 投标方应协助招标方解决设备运行中出现的问题。</w:t>
      </w:r>
    </w:p>
    <w:p>
      <w:pPr>
        <w:pStyle w:val="45"/>
        <w:adjustRightInd w:val="0"/>
        <w:snapToGrid w:val="0"/>
        <w:spacing w:line="360" w:lineRule="auto"/>
        <w:ind w:firstLine="0" w:firstLineChars="0"/>
        <w:rPr>
          <w:rFonts w:eastAsia="宋体" w:cs="Times New Roman"/>
          <w:szCs w:val="21"/>
        </w:rPr>
      </w:pPr>
      <w:r>
        <w:rPr>
          <w:rFonts w:hint="eastAsia" w:eastAsia="宋体" w:cs="Times New Roman"/>
          <w:szCs w:val="21"/>
        </w:rPr>
        <w:t>(6) 设计联络会议的地点及招标方参加人员的人数和天数等规定详见标书商务部分。</w:t>
      </w:r>
    </w:p>
    <w:p>
      <w:pPr>
        <w:widowControl/>
        <w:spacing w:line="360" w:lineRule="auto"/>
        <w:jc w:val="left"/>
        <w:rPr>
          <w:szCs w:val="21"/>
        </w:rPr>
      </w:pPr>
      <w:r>
        <w:rPr>
          <w:rFonts w:hint="eastAsia"/>
          <w:szCs w:val="21"/>
        </w:rPr>
        <w:t>(7) 设备安装、调试和性能试验合格后方可投运。设备投运并稳定运行后，投标方和招标方（业主）双方应根据相关法律、法规和公司管理制度签署合同设备的验收证明书。该证明书共两份，双方各执一份。</w:t>
      </w:r>
    </w:p>
    <w:p>
      <w:pPr>
        <w:widowControl/>
        <w:spacing w:line="360" w:lineRule="auto"/>
        <w:jc w:val="left"/>
        <w:rPr>
          <w:szCs w:val="21"/>
        </w:rPr>
      </w:pPr>
      <w:r>
        <w:rPr>
          <w:rFonts w:hint="eastAsia"/>
        </w:rPr>
        <w:t>(8) 如果安装、调试、性能试验、试运行及质保期内技术指标一项或多项不能满足合同技术部分要求，买卖双方共同分析原因，分清责任，如属制造方面的原因，或涉及索赔部分，按商务部分有关条款执行。</w:t>
      </w:r>
    </w:p>
    <w:bookmarkEnd w:id="7"/>
    <w:p>
      <w:pPr>
        <w:pStyle w:val="2"/>
        <w:adjustRightInd w:val="0"/>
        <w:spacing w:before="0" w:beforeLines="0"/>
        <w:rPr>
          <w:rFonts w:ascii="黑体" w:hAnsi="宋体" w:eastAsia="黑体"/>
          <w:b w:val="0"/>
        </w:rPr>
      </w:pPr>
      <w:bookmarkStart w:id="19" w:name="_Toc423550162"/>
      <w:r>
        <w:rPr>
          <w:rFonts w:hint="eastAsia"/>
        </w:rPr>
        <w:t>应遵循的主要标准</w:t>
      </w:r>
      <w:bookmarkEnd w:id="19"/>
    </w:p>
    <w:p>
      <w:pPr>
        <w:pStyle w:val="45"/>
        <w:adjustRightInd w:val="0"/>
        <w:snapToGrid w:val="0"/>
        <w:spacing w:line="360" w:lineRule="auto"/>
        <w:rPr>
          <w:rFonts w:eastAsia="宋体" w:cs="Times New Roman"/>
          <w:szCs w:val="21"/>
        </w:rPr>
      </w:pPr>
      <w:r>
        <w:rPr>
          <w:rFonts w:eastAsia="宋体" w:cs="Times New Roman"/>
          <w:szCs w:val="21"/>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并从招标方处获得书面的认可才能使用。提交供审查的标准应为中文或英文版本。</w:t>
      </w:r>
      <w:r>
        <w:rPr>
          <w:rFonts w:hint="eastAsia" w:eastAsia="宋体" w:cs="Times New Roman"/>
          <w:szCs w:val="21"/>
        </w:rPr>
        <w:t>主要引用标准如下：</w:t>
      </w:r>
    </w:p>
    <w:p>
      <w:pPr>
        <w:pStyle w:val="45"/>
        <w:tabs>
          <w:tab w:val="left" w:pos="2160"/>
        </w:tabs>
        <w:adjustRightInd w:val="0"/>
        <w:snapToGrid w:val="0"/>
        <w:spacing w:line="360" w:lineRule="auto"/>
        <w:rPr>
          <w:rFonts w:eastAsia="宋体"/>
        </w:rPr>
      </w:pPr>
      <w:bookmarkStart w:id="20" w:name="OLE_LINK1"/>
      <w:bookmarkStart w:id="21" w:name="_Toc279769035"/>
      <w:r>
        <w:rPr>
          <w:rFonts w:eastAsia="宋体"/>
        </w:rPr>
        <w:t>IEC60044</w:t>
      </w:r>
      <w:r>
        <w:rPr>
          <w:rFonts w:hint="eastAsia" w:eastAsia="宋体"/>
        </w:rPr>
        <w:t>.</w:t>
      </w:r>
      <w:r>
        <w:rPr>
          <w:rFonts w:eastAsia="宋体"/>
        </w:rPr>
        <w:t>2</w:t>
      </w:r>
      <w:r>
        <w:rPr>
          <w:rFonts w:hint="eastAsia" w:eastAsia="宋体"/>
        </w:rPr>
        <w:t xml:space="preserve"> </w:t>
      </w:r>
      <w:r>
        <w:rPr>
          <w:rFonts w:hint="eastAsia" w:eastAsia="宋体"/>
        </w:rPr>
        <w:tab/>
      </w:r>
      <w:r>
        <w:rPr>
          <w:rFonts w:hAnsi="宋体" w:eastAsia="宋体"/>
        </w:rPr>
        <w:t>互感器</w:t>
      </w:r>
      <w:r>
        <w:rPr>
          <w:rFonts w:eastAsia="宋体"/>
        </w:rPr>
        <w:t xml:space="preserve"> </w:t>
      </w:r>
      <w:r>
        <w:rPr>
          <w:rFonts w:hAnsi="宋体" w:eastAsia="宋体"/>
        </w:rPr>
        <w:t>第</w:t>
      </w:r>
      <w:r>
        <w:rPr>
          <w:rFonts w:eastAsia="宋体"/>
        </w:rPr>
        <w:t>1</w:t>
      </w:r>
      <w:r>
        <w:rPr>
          <w:rFonts w:hAnsi="宋体" w:eastAsia="宋体"/>
        </w:rPr>
        <w:t>部分：电</w:t>
      </w:r>
      <w:r>
        <w:rPr>
          <w:rFonts w:hint="eastAsia" w:hAnsi="宋体" w:eastAsia="宋体"/>
        </w:rPr>
        <w:t>压</w:t>
      </w:r>
      <w:r>
        <w:rPr>
          <w:rFonts w:hAnsi="宋体" w:eastAsia="宋体"/>
        </w:rPr>
        <w:t>互感器</w:t>
      </w:r>
    </w:p>
    <w:p>
      <w:pPr>
        <w:pStyle w:val="45"/>
        <w:tabs>
          <w:tab w:val="left" w:pos="2160"/>
        </w:tabs>
        <w:adjustRightInd w:val="0"/>
        <w:snapToGrid w:val="0"/>
        <w:spacing w:line="360" w:lineRule="auto"/>
        <w:rPr>
          <w:rFonts w:eastAsia="宋体"/>
        </w:rPr>
      </w:pPr>
      <w:r>
        <w:rPr>
          <w:rFonts w:eastAsia="宋体"/>
        </w:rPr>
        <w:t>GB</w:t>
      </w:r>
      <w:r>
        <w:rPr>
          <w:rFonts w:hint="eastAsia" w:eastAsia="宋体"/>
        </w:rPr>
        <w:t xml:space="preserve">1207 </w:t>
      </w:r>
      <w:r>
        <w:rPr>
          <w:rFonts w:hint="eastAsia" w:eastAsia="宋体"/>
        </w:rPr>
        <w:tab/>
      </w:r>
      <w:r>
        <w:rPr>
          <w:rFonts w:hAnsi="宋体" w:eastAsia="宋体"/>
        </w:rPr>
        <w:t>电磁式电压互感器</w:t>
      </w:r>
    </w:p>
    <w:p>
      <w:pPr>
        <w:pStyle w:val="45"/>
        <w:tabs>
          <w:tab w:val="left" w:pos="2160"/>
        </w:tabs>
        <w:adjustRightInd w:val="0"/>
        <w:snapToGrid w:val="0"/>
        <w:spacing w:line="360" w:lineRule="auto"/>
        <w:rPr>
          <w:rFonts w:eastAsia="宋体"/>
        </w:rPr>
      </w:pPr>
      <w:r>
        <w:rPr>
          <w:rFonts w:eastAsia="宋体"/>
        </w:rPr>
        <w:t>GB156</w:t>
      </w:r>
      <w:r>
        <w:rPr>
          <w:rFonts w:hint="eastAsia" w:eastAsia="宋体"/>
        </w:rPr>
        <w:t xml:space="preserve"> </w:t>
      </w:r>
      <w:r>
        <w:rPr>
          <w:rFonts w:hint="eastAsia" w:eastAsia="宋体"/>
        </w:rPr>
        <w:tab/>
      </w:r>
      <w:r>
        <w:rPr>
          <w:rFonts w:hAnsi="宋体" w:eastAsia="宋体"/>
        </w:rPr>
        <w:t>标准电压</w:t>
      </w:r>
    </w:p>
    <w:p>
      <w:pPr>
        <w:pStyle w:val="45"/>
        <w:tabs>
          <w:tab w:val="left" w:pos="2160"/>
        </w:tabs>
        <w:adjustRightInd w:val="0"/>
        <w:snapToGrid w:val="0"/>
        <w:spacing w:line="360" w:lineRule="auto"/>
        <w:rPr>
          <w:rFonts w:eastAsia="宋体"/>
        </w:rPr>
      </w:pPr>
      <w:r>
        <w:rPr>
          <w:rFonts w:hint="eastAsia" w:eastAsia="宋体"/>
        </w:rPr>
        <w:t xml:space="preserve">GB2900.15 </w:t>
      </w:r>
      <w:r>
        <w:rPr>
          <w:rFonts w:hint="eastAsia" w:eastAsia="宋体"/>
        </w:rPr>
        <w:tab/>
      </w:r>
      <w:r>
        <w:rPr>
          <w:rFonts w:hint="eastAsia" w:hAnsi="宋体" w:eastAsia="宋体"/>
        </w:rPr>
        <w:t>电工术语</w:t>
      </w:r>
      <w:r>
        <w:rPr>
          <w:rFonts w:hint="eastAsia" w:eastAsia="宋体"/>
        </w:rPr>
        <w:t xml:space="preserve"> </w:t>
      </w:r>
      <w:r>
        <w:rPr>
          <w:rFonts w:hint="eastAsia" w:hAnsi="宋体" w:eastAsia="宋体"/>
        </w:rPr>
        <w:t>变压器、互感器、调压器和电抗器</w:t>
      </w:r>
    </w:p>
    <w:p>
      <w:pPr>
        <w:pStyle w:val="45"/>
        <w:tabs>
          <w:tab w:val="left" w:pos="2160"/>
        </w:tabs>
        <w:adjustRightInd w:val="0"/>
        <w:snapToGrid w:val="0"/>
        <w:spacing w:line="360" w:lineRule="auto"/>
        <w:rPr>
          <w:rFonts w:eastAsia="宋体"/>
        </w:rPr>
      </w:pPr>
      <w:r>
        <w:rPr>
          <w:rFonts w:eastAsia="宋体"/>
        </w:rPr>
        <w:t>GB311.1</w:t>
      </w:r>
      <w:r>
        <w:rPr>
          <w:rFonts w:hint="eastAsia" w:eastAsia="宋体"/>
        </w:rPr>
        <w:t xml:space="preserve"> </w:t>
      </w:r>
      <w:r>
        <w:rPr>
          <w:rFonts w:hint="eastAsia" w:eastAsia="宋体"/>
        </w:rPr>
        <w:tab/>
      </w:r>
      <w:r>
        <w:rPr>
          <w:rFonts w:hAnsi="宋体" w:eastAsia="宋体"/>
        </w:rPr>
        <w:t>高压输变电设备的绝缘配合</w:t>
      </w:r>
    </w:p>
    <w:p>
      <w:pPr>
        <w:pStyle w:val="45"/>
        <w:tabs>
          <w:tab w:val="left" w:pos="2160"/>
        </w:tabs>
        <w:adjustRightInd w:val="0"/>
        <w:snapToGrid w:val="0"/>
        <w:spacing w:line="360" w:lineRule="auto"/>
        <w:rPr>
          <w:rFonts w:eastAsia="宋体"/>
        </w:rPr>
      </w:pPr>
      <w:r>
        <w:rPr>
          <w:rFonts w:hint="eastAsia" w:eastAsia="宋体"/>
        </w:rPr>
        <w:t xml:space="preserve">GB311.2 </w:t>
      </w:r>
      <w:r>
        <w:rPr>
          <w:rFonts w:hint="eastAsia" w:eastAsia="宋体"/>
        </w:rPr>
        <w:tab/>
      </w:r>
      <w:r>
        <w:rPr>
          <w:rFonts w:hint="eastAsia" w:hAnsi="宋体" w:eastAsia="宋体"/>
        </w:rPr>
        <w:t>绝缘配合</w:t>
      </w:r>
      <w:r>
        <w:rPr>
          <w:rFonts w:hint="eastAsia" w:eastAsia="宋体"/>
        </w:rPr>
        <w:t xml:space="preserve"> </w:t>
      </w:r>
      <w:r>
        <w:rPr>
          <w:rFonts w:hint="eastAsia" w:hAnsi="宋体" w:eastAsia="宋体"/>
        </w:rPr>
        <w:t>第</w:t>
      </w:r>
      <w:r>
        <w:rPr>
          <w:rFonts w:hint="eastAsia" w:eastAsia="宋体"/>
        </w:rPr>
        <w:t>2</w:t>
      </w:r>
      <w:r>
        <w:rPr>
          <w:rFonts w:hint="eastAsia" w:hAnsi="宋体" w:eastAsia="宋体"/>
        </w:rPr>
        <w:t>部分：高压输变电设备的绝缘配合使用导则</w:t>
      </w:r>
    </w:p>
    <w:p>
      <w:pPr>
        <w:pStyle w:val="45"/>
        <w:tabs>
          <w:tab w:val="left" w:pos="2160"/>
        </w:tabs>
        <w:adjustRightInd w:val="0"/>
        <w:snapToGrid w:val="0"/>
        <w:spacing w:line="360" w:lineRule="auto"/>
        <w:rPr>
          <w:rFonts w:eastAsia="宋体"/>
        </w:rPr>
      </w:pPr>
      <w:r>
        <w:rPr>
          <w:rFonts w:hint="eastAsia" w:eastAsia="宋体"/>
        </w:rPr>
        <w:t xml:space="preserve">GB4109 </w:t>
      </w:r>
      <w:r>
        <w:rPr>
          <w:rFonts w:hint="eastAsia" w:eastAsia="宋体"/>
        </w:rPr>
        <w:tab/>
      </w:r>
      <w:r>
        <w:rPr>
          <w:rFonts w:hint="eastAsia" w:hAnsi="宋体" w:eastAsia="宋体"/>
        </w:rPr>
        <w:t>高压套管技术条件</w:t>
      </w:r>
    </w:p>
    <w:p>
      <w:pPr>
        <w:pStyle w:val="45"/>
        <w:tabs>
          <w:tab w:val="left" w:pos="2160"/>
        </w:tabs>
        <w:adjustRightInd w:val="0"/>
        <w:snapToGrid w:val="0"/>
        <w:spacing w:line="360" w:lineRule="auto"/>
        <w:rPr>
          <w:rFonts w:eastAsia="宋体"/>
        </w:rPr>
      </w:pPr>
      <w:r>
        <w:rPr>
          <w:rFonts w:eastAsia="宋体"/>
        </w:rPr>
        <w:t>GB50150</w:t>
      </w:r>
      <w:r>
        <w:rPr>
          <w:rFonts w:hint="eastAsia" w:eastAsia="宋体"/>
        </w:rPr>
        <w:t xml:space="preserve"> </w:t>
      </w:r>
      <w:r>
        <w:rPr>
          <w:rFonts w:hint="eastAsia" w:eastAsia="宋体"/>
        </w:rPr>
        <w:tab/>
      </w:r>
      <w:r>
        <w:rPr>
          <w:rFonts w:hAnsi="宋体" w:eastAsia="宋体"/>
        </w:rPr>
        <w:t>电气装置安装工程电气设备交接试验标准</w:t>
      </w:r>
    </w:p>
    <w:p>
      <w:pPr>
        <w:pStyle w:val="45"/>
        <w:tabs>
          <w:tab w:val="left" w:pos="2160"/>
        </w:tabs>
        <w:adjustRightInd w:val="0"/>
        <w:snapToGrid w:val="0"/>
        <w:spacing w:line="360" w:lineRule="auto"/>
        <w:rPr>
          <w:rFonts w:eastAsia="宋体"/>
        </w:rPr>
      </w:pPr>
      <w:r>
        <w:rPr>
          <w:rFonts w:hint="eastAsia" w:eastAsia="宋体"/>
        </w:rPr>
        <w:t xml:space="preserve">GB/T1231 </w:t>
      </w:r>
      <w:r>
        <w:rPr>
          <w:rFonts w:hint="eastAsia" w:eastAsia="宋体"/>
        </w:rPr>
        <w:tab/>
      </w:r>
      <w:r>
        <w:rPr>
          <w:rFonts w:hint="eastAsia" w:hAnsi="宋体" w:eastAsia="宋体"/>
        </w:rPr>
        <w:t>钢结构用高强度大六角头螺栓、大六角螺母、垫圈技术条件</w:t>
      </w:r>
    </w:p>
    <w:p>
      <w:pPr>
        <w:pStyle w:val="45"/>
        <w:tabs>
          <w:tab w:val="left" w:pos="2160"/>
        </w:tabs>
        <w:adjustRightInd w:val="0"/>
        <w:snapToGrid w:val="0"/>
        <w:spacing w:line="360" w:lineRule="auto"/>
        <w:rPr>
          <w:rFonts w:eastAsia="宋体"/>
        </w:rPr>
      </w:pPr>
      <w:r>
        <w:rPr>
          <w:rFonts w:eastAsia="宋体"/>
        </w:rPr>
        <w:t>GB/T16434</w:t>
      </w:r>
      <w:r>
        <w:rPr>
          <w:rFonts w:hint="eastAsia" w:eastAsia="宋体"/>
        </w:rPr>
        <w:t xml:space="preserve"> </w:t>
      </w:r>
      <w:r>
        <w:rPr>
          <w:rFonts w:hint="eastAsia" w:eastAsia="宋体"/>
        </w:rPr>
        <w:tab/>
      </w:r>
      <w:r>
        <w:rPr>
          <w:rFonts w:hAnsi="宋体" w:eastAsia="宋体"/>
        </w:rPr>
        <w:t>高压架空线路和发电厂、变电所环境污区分级及外绝缘选择标准</w:t>
      </w:r>
    </w:p>
    <w:p>
      <w:pPr>
        <w:pStyle w:val="45"/>
        <w:tabs>
          <w:tab w:val="left" w:pos="2160"/>
        </w:tabs>
        <w:adjustRightInd w:val="0"/>
        <w:snapToGrid w:val="0"/>
        <w:spacing w:line="360" w:lineRule="auto"/>
        <w:rPr>
          <w:rFonts w:eastAsia="宋体"/>
        </w:rPr>
      </w:pPr>
      <w:r>
        <w:rPr>
          <w:rFonts w:hint="eastAsia" w:eastAsia="宋体"/>
        </w:rPr>
        <w:t xml:space="preserve">GB/T16927.1 </w:t>
      </w:r>
      <w:r>
        <w:rPr>
          <w:rFonts w:hint="eastAsia" w:eastAsia="宋体"/>
        </w:rPr>
        <w:tab/>
      </w:r>
      <w:r>
        <w:rPr>
          <w:rFonts w:hint="eastAsia" w:hAnsi="宋体" w:eastAsia="宋体"/>
        </w:rPr>
        <w:t>高压试验技术第一部分一般试验要求</w:t>
      </w:r>
    </w:p>
    <w:p>
      <w:pPr>
        <w:pStyle w:val="45"/>
        <w:tabs>
          <w:tab w:val="left" w:pos="2160"/>
        </w:tabs>
        <w:adjustRightInd w:val="0"/>
        <w:snapToGrid w:val="0"/>
        <w:spacing w:line="360" w:lineRule="auto"/>
        <w:rPr>
          <w:rFonts w:eastAsia="宋体"/>
        </w:rPr>
      </w:pPr>
      <w:r>
        <w:rPr>
          <w:rFonts w:hint="eastAsia" w:eastAsia="宋体"/>
        </w:rPr>
        <w:t xml:space="preserve">GB/T16927.2 </w:t>
      </w:r>
      <w:r>
        <w:rPr>
          <w:rFonts w:hint="eastAsia" w:eastAsia="宋体"/>
        </w:rPr>
        <w:tab/>
      </w:r>
      <w:r>
        <w:rPr>
          <w:rFonts w:hint="eastAsia" w:hAnsi="宋体" w:eastAsia="宋体"/>
        </w:rPr>
        <w:t>高压试验技术第二部分测量系统</w:t>
      </w:r>
    </w:p>
    <w:p>
      <w:pPr>
        <w:pStyle w:val="45"/>
        <w:tabs>
          <w:tab w:val="left" w:pos="2160"/>
        </w:tabs>
        <w:adjustRightInd w:val="0"/>
        <w:snapToGrid w:val="0"/>
        <w:spacing w:line="360" w:lineRule="auto"/>
        <w:rPr>
          <w:rFonts w:eastAsia="宋体"/>
        </w:rPr>
      </w:pPr>
      <w:r>
        <w:rPr>
          <w:rFonts w:hint="eastAsia" w:eastAsia="宋体"/>
        </w:rPr>
        <w:t xml:space="preserve">GB/T17742 </w:t>
      </w:r>
      <w:r>
        <w:rPr>
          <w:rFonts w:hint="eastAsia" w:eastAsia="宋体"/>
        </w:rPr>
        <w:tab/>
      </w:r>
      <w:r>
        <w:rPr>
          <w:rFonts w:hint="eastAsia" w:hAnsi="宋体" w:eastAsia="宋体"/>
        </w:rPr>
        <w:t>中国地震烈度表</w:t>
      </w:r>
    </w:p>
    <w:p>
      <w:pPr>
        <w:pStyle w:val="45"/>
        <w:tabs>
          <w:tab w:val="left" w:pos="2160"/>
        </w:tabs>
        <w:adjustRightInd w:val="0"/>
        <w:snapToGrid w:val="0"/>
        <w:spacing w:line="360" w:lineRule="auto"/>
        <w:rPr>
          <w:rFonts w:eastAsia="宋体"/>
        </w:rPr>
      </w:pPr>
      <w:r>
        <w:rPr>
          <w:rFonts w:eastAsia="宋体"/>
        </w:rPr>
        <w:t>GB/T8905</w:t>
      </w:r>
      <w:r>
        <w:rPr>
          <w:rFonts w:hint="eastAsia" w:eastAsia="宋体"/>
        </w:rPr>
        <w:t xml:space="preserve"> </w:t>
      </w:r>
      <w:r>
        <w:rPr>
          <w:rFonts w:eastAsia="宋体"/>
        </w:rPr>
        <w:tab/>
      </w:r>
      <w:r>
        <w:rPr>
          <w:rFonts w:eastAsia="宋体"/>
        </w:rPr>
        <w:t>六氟化硫电气设备中气体管理和检验导则</w:t>
      </w:r>
    </w:p>
    <w:p>
      <w:pPr>
        <w:pStyle w:val="45"/>
        <w:tabs>
          <w:tab w:val="left" w:pos="2160"/>
        </w:tabs>
        <w:adjustRightInd w:val="0"/>
        <w:snapToGrid w:val="0"/>
        <w:spacing w:line="360" w:lineRule="auto"/>
        <w:rPr>
          <w:rFonts w:eastAsia="宋体"/>
        </w:rPr>
      </w:pPr>
      <w:r>
        <w:rPr>
          <w:rFonts w:eastAsia="宋体"/>
        </w:rPr>
        <w:t>GB/T4109</w:t>
      </w:r>
      <w:r>
        <w:rPr>
          <w:rFonts w:hint="eastAsia" w:eastAsia="宋体"/>
        </w:rPr>
        <w:t xml:space="preserve"> </w:t>
      </w:r>
      <w:r>
        <w:rPr>
          <w:rFonts w:hint="eastAsia" w:eastAsia="宋体"/>
        </w:rPr>
        <w:tab/>
      </w:r>
      <w:r>
        <w:rPr>
          <w:rFonts w:hint="eastAsia" w:hAnsi="宋体" w:eastAsia="宋体"/>
        </w:rPr>
        <w:t>交流电压高于</w:t>
      </w:r>
      <w:r>
        <w:rPr>
          <w:rFonts w:hint="eastAsia" w:eastAsia="宋体"/>
        </w:rPr>
        <w:t>1000V</w:t>
      </w:r>
      <w:r>
        <w:rPr>
          <w:rFonts w:hint="eastAsia" w:hAnsi="宋体" w:eastAsia="宋体"/>
        </w:rPr>
        <w:t>绝缘套管</w:t>
      </w:r>
    </w:p>
    <w:p>
      <w:pPr>
        <w:pStyle w:val="45"/>
        <w:tabs>
          <w:tab w:val="left" w:pos="2160"/>
        </w:tabs>
        <w:adjustRightInd w:val="0"/>
        <w:snapToGrid w:val="0"/>
        <w:spacing w:line="360" w:lineRule="auto"/>
        <w:rPr>
          <w:rFonts w:eastAsia="宋体"/>
        </w:rPr>
      </w:pPr>
      <w:r>
        <w:rPr>
          <w:rFonts w:eastAsia="宋体"/>
        </w:rPr>
        <w:t>GB</w:t>
      </w:r>
      <w:r>
        <w:rPr>
          <w:rFonts w:hint="eastAsia" w:eastAsia="宋体"/>
        </w:rPr>
        <w:t>/T</w:t>
      </w:r>
      <w:r>
        <w:rPr>
          <w:rFonts w:eastAsia="宋体"/>
        </w:rPr>
        <w:t>5273</w:t>
      </w:r>
      <w:r>
        <w:rPr>
          <w:rFonts w:hint="eastAsia" w:eastAsia="宋体"/>
        </w:rPr>
        <w:t xml:space="preserve"> </w:t>
      </w:r>
      <w:r>
        <w:rPr>
          <w:rFonts w:hint="eastAsia" w:eastAsia="宋体"/>
        </w:rPr>
        <w:tab/>
      </w:r>
      <w:r>
        <w:rPr>
          <w:rFonts w:hAnsi="宋体" w:eastAsia="宋体"/>
        </w:rPr>
        <w:t>变压器、高压电器和套管的接线端子</w:t>
      </w:r>
    </w:p>
    <w:p>
      <w:pPr>
        <w:pStyle w:val="45"/>
        <w:tabs>
          <w:tab w:val="left" w:pos="2160"/>
        </w:tabs>
        <w:adjustRightInd w:val="0"/>
        <w:snapToGrid w:val="0"/>
        <w:spacing w:line="360" w:lineRule="auto"/>
        <w:rPr>
          <w:rFonts w:eastAsia="宋体"/>
        </w:rPr>
      </w:pPr>
      <w:r>
        <w:rPr>
          <w:rFonts w:hint="eastAsia" w:eastAsia="宋体"/>
        </w:rPr>
        <w:t xml:space="preserve">DL/T586 </w:t>
      </w:r>
      <w:r>
        <w:rPr>
          <w:rFonts w:hint="eastAsia" w:eastAsia="宋体"/>
        </w:rPr>
        <w:tab/>
      </w:r>
      <w:r>
        <w:rPr>
          <w:rFonts w:hint="eastAsia" w:hAnsi="宋体" w:eastAsia="宋体"/>
        </w:rPr>
        <w:t>电力设备监造技术导则</w:t>
      </w:r>
      <w:r>
        <w:rPr>
          <w:rFonts w:hint="eastAsia" w:eastAsia="宋体"/>
        </w:rPr>
        <w:t xml:space="preserve"> </w:t>
      </w:r>
    </w:p>
    <w:p>
      <w:pPr>
        <w:pStyle w:val="45"/>
        <w:tabs>
          <w:tab w:val="left" w:pos="2160"/>
        </w:tabs>
        <w:adjustRightInd w:val="0"/>
        <w:snapToGrid w:val="0"/>
        <w:spacing w:line="360" w:lineRule="auto"/>
        <w:rPr>
          <w:rFonts w:eastAsia="宋体"/>
        </w:rPr>
      </w:pPr>
      <w:r>
        <w:rPr>
          <w:rFonts w:eastAsia="宋体"/>
        </w:rPr>
        <w:t>DL/T620</w:t>
      </w:r>
      <w:r>
        <w:rPr>
          <w:rFonts w:hint="eastAsia" w:eastAsia="宋体"/>
        </w:rPr>
        <w:t xml:space="preserve"> </w:t>
      </w:r>
      <w:r>
        <w:rPr>
          <w:rFonts w:hint="eastAsia" w:eastAsia="宋体"/>
        </w:rPr>
        <w:tab/>
      </w:r>
      <w:r>
        <w:rPr>
          <w:rFonts w:hAnsi="宋体" w:eastAsia="宋体"/>
        </w:rPr>
        <w:t>交流电气装置的过电压保护和绝缘配合</w:t>
      </w:r>
    </w:p>
    <w:bookmarkEnd w:id="20"/>
    <w:p>
      <w:pPr>
        <w:pStyle w:val="45"/>
        <w:tabs>
          <w:tab w:val="left" w:pos="2160"/>
        </w:tabs>
        <w:adjustRightInd w:val="0"/>
        <w:snapToGrid w:val="0"/>
        <w:spacing w:line="360" w:lineRule="auto"/>
        <w:rPr>
          <w:rFonts w:eastAsia="宋体"/>
        </w:rPr>
      </w:pPr>
      <w:r>
        <w:rPr>
          <w:rFonts w:eastAsia="宋体"/>
        </w:rPr>
        <w:t>DL/T72</w:t>
      </w:r>
      <w:r>
        <w:rPr>
          <w:rFonts w:hint="eastAsia" w:eastAsia="宋体"/>
        </w:rPr>
        <w:t xml:space="preserve">6 </w:t>
      </w:r>
      <w:r>
        <w:rPr>
          <w:rFonts w:hint="eastAsia" w:eastAsia="宋体"/>
        </w:rPr>
        <w:tab/>
      </w:r>
      <w:r>
        <w:rPr>
          <w:rFonts w:hAnsi="宋体" w:eastAsia="宋体"/>
        </w:rPr>
        <w:t>电力用电</w:t>
      </w:r>
      <w:r>
        <w:rPr>
          <w:rFonts w:hint="eastAsia" w:hAnsi="宋体" w:eastAsia="宋体"/>
        </w:rPr>
        <w:t>压</w:t>
      </w:r>
      <w:r>
        <w:rPr>
          <w:rFonts w:hAnsi="宋体" w:eastAsia="宋体"/>
        </w:rPr>
        <w:t>互感器订货技术条件</w:t>
      </w:r>
    </w:p>
    <w:p>
      <w:pPr>
        <w:pStyle w:val="45"/>
        <w:tabs>
          <w:tab w:val="left" w:pos="2160"/>
        </w:tabs>
        <w:adjustRightInd w:val="0"/>
        <w:snapToGrid w:val="0"/>
        <w:spacing w:line="360" w:lineRule="auto"/>
        <w:rPr>
          <w:rFonts w:eastAsia="宋体"/>
        </w:rPr>
      </w:pPr>
      <w:r>
        <w:rPr>
          <w:rFonts w:eastAsia="宋体"/>
        </w:rPr>
        <w:t>DL/T864</w:t>
      </w:r>
      <w:r>
        <w:rPr>
          <w:rFonts w:hint="eastAsia" w:eastAsia="宋体"/>
        </w:rPr>
        <w:t xml:space="preserve"> </w:t>
      </w:r>
      <w:r>
        <w:rPr>
          <w:rFonts w:hint="eastAsia" w:eastAsia="宋体"/>
        </w:rPr>
        <w:tab/>
      </w:r>
      <w:r>
        <w:rPr>
          <w:rFonts w:hAnsi="宋体" w:eastAsia="宋体"/>
        </w:rPr>
        <w:t>标称电压高于</w:t>
      </w:r>
      <w:r>
        <w:rPr>
          <w:rFonts w:eastAsia="宋体"/>
        </w:rPr>
        <w:t>1000V</w:t>
      </w:r>
      <w:r>
        <w:rPr>
          <w:rFonts w:hAnsi="宋体" w:eastAsia="宋体"/>
        </w:rPr>
        <w:t>的交流架空线路用复合绝缘子使用导则</w:t>
      </w:r>
    </w:p>
    <w:p>
      <w:pPr>
        <w:pStyle w:val="45"/>
        <w:tabs>
          <w:tab w:val="left" w:pos="2160"/>
        </w:tabs>
        <w:adjustRightInd w:val="0"/>
        <w:snapToGrid w:val="0"/>
        <w:spacing w:line="360" w:lineRule="auto"/>
        <w:rPr>
          <w:rFonts w:hAnsi="宋体" w:eastAsia="宋体"/>
        </w:rPr>
      </w:pPr>
      <w:r>
        <w:rPr>
          <w:rFonts w:eastAsia="宋体"/>
        </w:rPr>
        <w:t>DL/T866</w:t>
      </w:r>
      <w:r>
        <w:rPr>
          <w:rFonts w:hint="eastAsia" w:eastAsia="宋体"/>
        </w:rPr>
        <w:t xml:space="preserve"> </w:t>
      </w:r>
      <w:r>
        <w:rPr>
          <w:rFonts w:hint="eastAsia" w:eastAsia="宋体"/>
        </w:rPr>
        <w:tab/>
      </w:r>
      <w:r>
        <w:rPr>
          <w:rFonts w:hAnsi="宋体" w:eastAsia="宋体"/>
        </w:rPr>
        <w:t>电流互感器和电压互感器选择及计算导则</w:t>
      </w:r>
    </w:p>
    <w:p>
      <w:pPr>
        <w:pStyle w:val="45"/>
        <w:tabs>
          <w:tab w:val="left" w:pos="2160"/>
        </w:tabs>
        <w:adjustRightInd w:val="0"/>
        <w:snapToGrid w:val="0"/>
        <w:spacing w:line="360" w:lineRule="auto"/>
        <w:rPr>
          <w:rFonts w:eastAsia="宋体"/>
        </w:rPr>
      </w:pPr>
      <w:r>
        <w:rPr>
          <w:rFonts w:hint="eastAsia" w:eastAsia="宋体"/>
        </w:rPr>
        <w:t>J</w:t>
      </w:r>
      <w:r>
        <w:rPr>
          <w:rFonts w:eastAsia="宋体"/>
        </w:rPr>
        <w:t>B/T535</w:t>
      </w:r>
      <w:r>
        <w:rPr>
          <w:rFonts w:hint="eastAsia" w:eastAsia="宋体"/>
        </w:rPr>
        <w:t xml:space="preserve">7 </w:t>
      </w:r>
      <w:r>
        <w:rPr>
          <w:rFonts w:hint="eastAsia" w:eastAsia="宋体"/>
        </w:rPr>
        <w:tab/>
      </w:r>
      <w:r>
        <w:rPr>
          <w:rFonts w:eastAsia="宋体"/>
        </w:rPr>
        <w:t>电流互感器试验导则</w:t>
      </w:r>
    </w:p>
    <w:p>
      <w:pPr>
        <w:pStyle w:val="2"/>
        <w:adjustRightInd w:val="0"/>
        <w:spacing w:before="0" w:beforeLines="0"/>
        <w:rPr>
          <w:rFonts w:ascii="黑体" w:hAnsi="宋体" w:eastAsia="黑体"/>
          <w:b w:val="0"/>
        </w:rPr>
      </w:pPr>
      <w:bookmarkStart w:id="22" w:name="_Toc423550163"/>
      <w:r>
        <w:rPr>
          <w:rFonts w:hint="eastAsia" w:ascii="黑体" w:hAnsi="宋体" w:eastAsia="黑体"/>
          <w:b w:val="0"/>
        </w:rPr>
        <w:t>使用条件</w:t>
      </w:r>
      <w:bookmarkEnd w:id="21"/>
      <w:bookmarkEnd w:id="22"/>
    </w:p>
    <w:p>
      <w:pPr>
        <w:adjustRightInd w:val="0"/>
        <w:snapToGrid w:val="0"/>
        <w:spacing w:line="360" w:lineRule="auto"/>
        <w:outlineLvl w:val="1"/>
        <w:rPr>
          <w:rFonts w:ascii="黑体" w:eastAsia="黑体"/>
        </w:rPr>
      </w:pPr>
      <w:bookmarkStart w:id="23" w:name="_Toc423550164"/>
      <w:bookmarkStart w:id="24" w:name="_Toc279769036"/>
      <w:r>
        <w:rPr>
          <w:rFonts w:hint="eastAsia" w:ascii="黑体" w:eastAsia="黑体"/>
        </w:rPr>
        <w:t>4.1 正常使用条件</w:t>
      </w:r>
      <w:bookmarkEnd w:id="23"/>
      <w:bookmarkEnd w:id="24"/>
    </w:p>
    <w:p>
      <w:pPr>
        <w:pStyle w:val="45"/>
        <w:tabs>
          <w:tab w:val="left" w:pos="2160"/>
        </w:tabs>
        <w:adjustRightInd w:val="0"/>
        <w:snapToGrid w:val="0"/>
        <w:spacing w:line="360" w:lineRule="auto"/>
        <w:rPr>
          <w:rFonts w:eastAsia="宋体"/>
        </w:rPr>
      </w:pPr>
      <w:r>
        <w:rPr>
          <w:rFonts w:hint="eastAsia" w:eastAsia="宋体"/>
        </w:rPr>
        <w:t>1）海拔：</w:t>
      </w:r>
      <w:r>
        <w:rPr>
          <w:rFonts w:eastAsia="宋体"/>
        </w:rPr>
        <w:t>≤1000m</w:t>
      </w:r>
      <w:r>
        <w:rPr>
          <w:rFonts w:hint="eastAsia" w:eastAsia="宋体"/>
        </w:rPr>
        <w:t xml:space="preserve">； </w:t>
      </w:r>
    </w:p>
    <w:p>
      <w:pPr>
        <w:pStyle w:val="45"/>
        <w:tabs>
          <w:tab w:val="left" w:pos="2160"/>
        </w:tabs>
        <w:adjustRightInd w:val="0"/>
        <w:snapToGrid w:val="0"/>
        <w:spacing w:line="360" w:lineRule="auto"/>
        <w:rPr>
          <w:rFonts w:eastAsia="宋体"/>
        </w:rPr>
      </w:pPr>
      <w:r>
        <w:rPr>
          <w:rFonts w:hint="eastAsia" w:eastAsia="宋体"/>
        </w:rPr>
        <w:t>2）环境温度</w:t>
      </w:r>
    </w:p>
    <w:p>
      <w:pPr>
        <w:pStyle w:val="45"/>
        <w:tabs>
          <w:tab w:val="left" w:pos="2160"/>
        </w:tabs>
        <w:adjustRightInd w:val="0"/>
        <w:snapToGrid w:val="0"/>
        <w:spacing w:line="360" w:lineRule="auto"/>
        <w:rPr>
          <w:rFonts w:eastAsia="宋体"/>
        </w:rPr>
      </w:pPr>
      <w:r>
        <w:rPr>
          <w:rFonts w:eastAsia="宋体"/>
        </w:rPr>
        <w:t>最高温度</w:t>
      </w:r>
      <w:r>
        <w:rPr>
          <w:rFonts w:hint="eastAsia" w:eastAsia="宋体"/>
        </w:rPr>
        <w:t>： +</w:t>
      </w:r>
      <w:r>
        <w:rPr>
          <w:rFonts w:eastAsia="宋体"/>
        </w:rPr>
        <w:t>4</w:t>
      </w:r>
      <w:r>
        <w:rPr>
          <w:rFonts w:hint="eastAsia" w:eastAsia="宋体"/>
        </w:rPr>
        <w:t>0</w:t>
      </w:r>
      <w:r>
        <w:rPr>
          <w:rFonts w:eastAsia="宋体"/>
        </w:rPr>
        <w:t>℃</w:t>
      </w:r>
      <w:r>
        <w:rPr>
          <w:rFonts w:hint="eastAsia" w:eastAsia="宋体"/>
        </w:rPr>
        <w:t>；</w:t>
      </w:r>
    </w:p>
    <w:p>
      <w:pPr>
        <w:pStyle w:val="45"/>
        <w:tabs>
          <w:tab w:val="left" w:pos="2160"/>
        </w:tabs>
        <w:adjustRightInd w:val="0"/>
        <w:snapToGrid w:val="0"/>
        <w:spacing w:line="360" w:lineRule="auto"/>
        <w:rPr>
          <w:rFonts w:eastAsia="宋体"/>
        </w:rPr>
      </w:pPr>
      <w:r>
        <w:rPr>
          <w:rFonts w:eastAsia="宋体"/>
        </w:rPr>
        <w:t>最</w:t>
      </w:r>
      <w:r>
        <w:rPr>
          <w:rFonts w:hint="eastAsia" w:eastAsia="宋体"/>
        </w:rPr>
        <w:t>热月平均</w:t>
      </w:r>
      <w:r>
        <w:rPr>
          <w:rFonts w:eastAsia="宋体"/>
        </w:rPr>
        <w:t>温度</w:t>
      </w:r>
      <w:r>
        <w:rPr>
          <w:rFonts w:hint="eastAsia" w:eastAsia="宋体"/>
        </w:rPr>
        <w:t>： +30</w:t>
      </w:r>
      <w:r>
        <w:rPr>
          <w:rFonts w:eastAsia="宋体"/>
        </w:rPr>
        <w:t>℃；</w:t>
      </w:r>
    </w:p>
    <w:p>
      <w:pPr>
        <w:pStyle w:val="45"/>
        <w:tabs>
          <w:tab w:val="left" w:pos="2160"/>
        </w:tabs>
        <w:adjustRightInd w:val="0"/>
        <w:snapToGrid w:val="0"/>
        <w:spacing w:line="360" w:lineRule="auto"/>
        <w:rPr>
          <w:rFonts w:eastAsia="宋体"/>
        </w:rPr>
      </w:pPr>
      <w:r>
        <w:rPr>
          <w:rFonts w:eastAsia="宋体"/>
        </w:rPr>
        <w:t>最高</w:t>
      </w:r>
      <w:r>
        <w:rPr>
          <w:rFonts w:hint="eastAsia" w:eastAsia="宋体"/>
        </w:rPr>
        <w:t>年</w:t>
      </w:r>
      <w:r>
        <w:rPr>
          <w:rFonts w:eastAsia="宋体"/>
        </w:rPr>
        <w:t>平均温度：</w:t>
      </w:r>
      <w:r>
        <w:rPr>
          <w:rFonts w:hint="eastAsia" w:eastAsia="宋体"/>
        </w:rPr>
        <w:t xml:space="preserve"> +20</w:t>
      </w:r>
      <w:r>
        <w:rPr>
          <w:rFonts w:eastAsia="宋体"/>
        </w:rPr>
        <w:t>℃；</w:t>
      </w:r>
    </w:p>
    <w:p>
      <w:pPr>
        <w:pStyle w:val="45"/>
        <w:tabs>
          <w:tab w:val="left" w:pos="2160"/>
        </w:tabs>
        <w:adjustRightInd w:val="0"/>
        <w:snapToGrid w:val="0"/>
        <w:spacing w:line="360" w:lineRule="auto"/>
        <w:rPr>
          <w:rFonts w:eastAsia="宋体"/>
        </w:rPr>
      </w:pPr>
      <w:r>
        <w:rPr>
          <w:rFonts w:eastAsia="宋体"/>
        </w:rPr>
        <w:t>最</w:t>
      </w:r>
      <w:r>
        <w:rPr>
          <w:rFonts w:hint="eastAsia" w:eastAsia="宋体"/>
        </w:rPr>
        <w:t>低气温： -25</w:t>
      </w:r>
      <w:r>
        <w:rPr>
          <w:rFonts w:eastAsia="宋体"/>
        </w:rPr>
        <w:t>℃；</w:t>
      </w:r>
      <w:r>
        <w:rPr>
          <w:rFonts w:hint="eastAsia" w:eastAsia="宋体"/>
        </w:rPr>
        <w:t>（户外）</w:t>
      </w:r>
    </w:p>
    <w:p>
      <w:pPr>
        <w:pStyle w:val="45"/>
        <w:tabs>
          <w:tab w:val="left" w:pos="2160"/>
        </w:tabs>
        <w:adjustRightInd w:val="0"/>
        <w:snapToGrid w:val="0"/>
        <w:spacing w:line="360" w:lineRule="auto"/>
        <w:rPr>
          <w:rFonts w:eastAsia="宋体"/>
        </w:rPr>
      </w:pPr>
      <w:r>
        <w:rPr>
          <w:rFonts w:hint="eastAsia" w:eastAsia="宋体"/>
        </w:rPr>
        <w:t>3）太阳辐射强度：</w:t>
      </w:r>
      <w:r>
        <w:rPr>
          <w:rFonts w:eastAsia="宋体"/>
        </w:rPr>
        <w:t>0.1W/cm</w:t>
      </w:r>
      <w:r>
        <w:rPr>
          <w:rFonts w:eastAsia="宋体"/>
          <w:szCs w:val="21"/>
          <w:vertAlign w:val="superscript"/>
        </w:rPr>
        <w:t>2</w:t>
      </w:r>
      <w:r>
        <w:rPr>
          <w:rFonts w:eastAsia="宋体"/>
        </w:rPr>
        <w:t xml:space="preserve"> </w:t>
      </w:r>
      <w:r>
        <w:rPr>
          <w:rFonts w:hint="eastAsia" w:eastAsia="宋体"/>
        </w:rPr>
        <w:t xml:space="preserve"> </w:t>
      </w:r>
    </w:p>
    <w:p>
      <w:pPr>
        <w:pStyle w:val="45"/>
        <w:tabs>
          <w:tab w:val="left" w:pos="2160"/>
        </w:tabs>
        <w:adjustRightInd w:val="0"/>
        <w:snapToGrid w:val="0"/>
        <w:spacing w:line="360" w:lineRule="auto"/>
        <w:rPr>
          <w:rFonts w:eastAsia="宋体"/>
        </w:rPr>
      </w:pPr>
      <w:r>
        <w:rPr>
          <w:rFonts w:hint="eastAsia" w:eastAsia="宋体"/>
        </w:rPr>
        <w:t>4）</w:t>
      </w:r>
      <w:r>
        <w:rPr>
          <w:rFonts w:eastAsia="宋体"/>
        </w:rPr>
        <w:t>耐地震能力</w:t>
      </w:r>
      <w:r>
        <w:rPr>
          <w:rFonts w:hint="eastAsia" w:eastAsia="宋体"/>
        </w:rPr>
        <w:t xml:space="preserve"> </w:t>
      </w:r>
    </w:p>
    <w:p>
      <w:pPr>
        <w:pStyle w:val="45"/>
        <w:tabs>
          <w:tab w:val="left" w:pos="2160"/>
        </w:tabs>
        <w:adjustRightInd w:val="0"/>
        <w:snapToGrid w:val="0"/>
        <w:spacing w:line="360" w:lineRule="auto"/>
        <w:rPr>
          <w:rFonts w:eastAsia="宋体"/>
        </w:rPr>
      </w:pPr>
      <w:r>
        <w:rPr>
          <w:rFonts w:eastAsia="宋体"/>
        </w:rPr>
        <w:t>地面水平加速度</w:t>
      </w:r>
      <w:r>
        <w:rPr>
          <w:rFonts w:hint="eastAsia" w:eastAsia="宋体"/>
        </w:rPr>
        <w:t>3m/s</w:t>
      </w:r>
      <w:r>
        <w:rPr>
          <w:rFonts w:hint="eastAsia" w:eastAsia="宋体"/>
          <w:vertAlign w:val="superscript"/>
        </w:rPr>
        <w:t>2</w:t>
      </w:r>
      <w:r>
        <w:rPr>
          <w:rFonts w:eastAsia="宋体"/>
        </w:rPr>
        <w:t>；</w:t>
      </w:r>
      <w:r>
        <w:rPr>
          <w:rFonts w:hint="eastAsia" w:eastAsia="宋体"/>
        </w:rPr>
        <w:t xml:space="preserve"> </w:t>
      </w:r>
    </w:p>
    <w:p>
      <w:pPr>
        <w:pStyle w:val="45"/>
        <w:tabs>
          <w:tab w:val="left" w:pos="2160"/>
        </w:tabs>
        <w:adjustRightInd w:val="0"/>
        <w:snapToGrid w:val="0"/>
        <w:spacing w:line="360" w:lineRule="auto"/>
        <w:rPr>
          <w:rFonts w:eastAsia="宋体"/>
        </w:rPr>
      </w:pPr>
      <w:r>
        <w:rPr>
          <w:rFonts w:eastAsia="宋体"/>
        </w:rPr>
        <w:t>地面垂直加速度</w:t>
      </w:r>
      <w:r>
        <w:rPr>
          <w:rFonts w:hint="eastAsia" w:eastAsia="宋体"/>
        </w:rPr>
        <w:t>1.5m/s</w:t>
      </w:r>
      <w:r>
        <w:rPr>
          <w:rFonts w:hint="eastAsia" w:eastAsia="宋体"/>
          <w:vertAlign w:val="superscript"/>
        </w:rPr>
        <w:t>2</w:t>
      </w:r>
      <w:r>
        <w:rPr>
          <w:rFonts w:eastAsia="宋体"/>
        </w:rPr>
        <w:t>。</w:t>
      </w:r>
    </w:p>
    <w:p>
      <w:pPr>
        <w:pStyle w:val="45"/>
        <w:tabs>
          <w:tab w:val="left" w:pos="2160"/>
        </w:tabs>
        <w:adjustRightInd w:val="0"/>
        <w:snapToGrid w:val="0"/>
        <w:spacing w:line="360" w:lineRule="auto"/>
        <w:rPr>
          <w:rFonts w:eastAsia="宋体"/>
        </w:rPr>
      </w:pPr>
      <w:r>
        <w:rPr>
          <w:rFonts w:hint="eastAsia" w:eastAsia="宋体"/>
        </w:rPr>
        <w:t>5）湿度</w:t>
      </w:r>
    </w:p>
    <w:p>
      <w:pPr>
        <w:pStyle w:val="45"/>
        <w:tabs>
          <w:tab w:val="left" w:pos="2160"/>
        </w:tabs>
        <w:adjustRightInd w:val="0"/>
        <w:snapToGrid w:val="0"/>
        <w:spacing w:line="360" w:lineRule="auto"/>
        <w:rPr>
          <w:rFonts w:eastAsia="宋体"/>
        </w:rPr>
      </w:pPr>
      <w:r>
        <w:rPr>
          <w:rFonts w:hint="eastAsia" w:eastAsia="宋体"/>
        </w:rPr>
        <w:t>日相对湿度平均值95%</w:t>
      </w:r>
    </w:p>
    <w:p>
      <w:pPr>
        <w:pStyle w:val="45"/>
        <w:tabs>
          <w:tab w:val="left" w:pos="2160"/>
        </w:tabs>
        <w:adjustRightInd w:val="0"/>
        <w:snapToGrid w:val="0"/>
        <w:spacing w:line="360" w:lineRule="auto"/>
        <w:rPr>
          <w:rFonts w:eastAsia="宋体"/>
        </w:rPr>
      </w:pPr>
      <w:r>
        <w:rPr>
          <w:rFonts w:hint="eastAsia" w:eastAsia="宋体"/>
        </w:rPr>
        <w:t>月相对湿度平均值90%</w:t>
      </w:r>
    </w:p>
    <w:p>
      <w:pPr>
        <w:pStyle w:val="45"/>
        <w:tabs>
          <w:tab w:val="left" w:pos="2160"/>
        </w:tabs>
        <w:adjustRightInd w:val="0"/>
        <w:snapToGrid w:val="0"/>
        <w:spacing w:line="360" w:lineRule="auto"/>
        <w:rPr>
          <w:rFonts w:eastAsia="宋体"/>
        </w:rPr>
      </w:pPr>
      <w:r>
        <w:rPr>
          <w:rFonts w:hint="eastAsia" w:eastAsia="宋体"/>
        </w:rPr>
        <w:t>6）污秽等级</w:t>
      </w:r>
    </w:p>
    <w:p>
      <w:pPr>
        <w:pStyle w:val="45"/>
        <w:tabs>
          <w:tab w:val="left" w:pos="2160"/>
        </w:tabs>
        <w:adjustRightInd w:val="0"/>
        <w:snapToGrid w:val="0"/>
        <w:spacing w:line="360" w:lineRule="auto"/>
        <w:rPr>
          <w:rFonts w:eastAsia="宋体"/>
        </w:rPr>
      </w:pPr>
      <w:r>
        <w:rPr>
          <w:rFonts w:hint="eastAsia" w:eastAsia="宋体"/>
        </w:rPr>
        <w:t>对于III级以下</w:t>
      </w:r>
      <w:r>
        <w:rPr>
          <w:rFonts w:eastAsia="宋体"/>
        </w:rPr>
        <w:t>污</w:t>
      </w:r>
      <w:r>
        <w:rPr>
          <w:rFonts w:hint="eastAsia" w:eastAsia="宋体"/>
        </w:rPr>
        <w:t>秽等级的地区统一按III级防污选取设备的爬电比距。对于III级及以上</w:t>
      </w:r>
      <w:r>
        <w:rPr>
          <w:rFonts w:eastAsia="宋体"/>
        </w:rPr>
        <w:t>污</w:t>
      </w:r>
      <w:r>
        <w:rPr>
          <w:rFonts w:hint="eastAsia" w:eastAsia="宋体"/>
        </w:rPr>
        <w:t>秽等级的地区统一按IV级防污选取设备的爬电比距。</w:t>
      </w:r>
    </w:p>
    <w:p>
      <w:pPr>
        <w:pStyle w:val="45"/>
        <w:tabs>
          <w:tab w:val="left" w:pos="2160"/>
        </w:tabs>
        <w:adjustRightInd w:val="0"/>
        <w:snapToGrid w:val="0"/>
        <w:spacing w:line="360" w:lineRule="auto"/>
        <w:rPr>
          <w:rFonts w:eastAsia="宋体"/>
        </w:rPr>
      </w:pPr>
      <w:r>
        <w:rPr>
          <w:rFonts w:hint="eastAsia" w:eastAsia="宋体"/>
        </w:rPr>
        <w:t>7）风速</w:t>
      </w:r>
    </w:p>
    <w:p>
      <w:pPr>
        <w:pStyle w:val="45"/>
        <w:tabs>
          <w:tab w:val="left" w:pos="2160"/>
        </w:tabs>
        <w:adjustRightInd w:val="0"/>
        <w:snapToGrid w:val="0"/>
        <w:spacing w:line="360" w:lineRule="auto"/>
        <w:rPr>
          <w:rFonts w:eastAsia="宋体"/>
        </w:rPr>
      </w:pPr>
      <w:r>
        <w:rPr>
          <w:rFonts w:hint="eastAsia" w:eastAsia="宋体"/>
        </w:rPr>
        <w:t>35m/s（离地面高10m处，持续10min的100年平均最大风速）。</w:t>
      </w:r>
    </w:p>
    <w:p>
      <w:pPr>
        <w:pStyle w:val="45"/>
        <w:tabs>
          <w:tab w:val="left" w:pos="2160"/>
        </w:tabs>
        <w:adjustRightInd w:val="0"/>
        <w:snapToGrid w:val="0"/>
        <w:spacing w:line="360" w:lineRule="auto"/>
        <w:rPr>
          <w:rFonts w:eastAsia="宋体"/>
        </w:rPr>
      </w:pPr>
      <w:r>
        <w:rPr>
          <w:rFonts w:hint="eastAsia" w:eastAsia="宋体"/>
        </w:rPr>
        <w:t>8）覆冰厚度： 20mm</w:t>
      </w:r>
    </w:p>
    <w:p>
      <w:pPr>
        <w:pStyle w:val="45"/>
        <w:tabs>
          <w:tab w:val="left" w:pos="2160"/>
        </w:tabs>
        <w:adjustRightInd w:val="0"/>
        <w:snapToGrid w:val="0"/>
        <w:spacing w:line="360" w:lineRule="auto"/>
        <w:rPr>
          <w:rFonts w:eastAsia="宋体"/>
        </w:rPr>
      </w:pPr>
      <w:r>
        <w:rPr>
          <w:rFonts w:hint="eastAsia" w:eastAsia="宋体"/>
        </w:rPr>
        <w:t>9）安装环境：户外</w:t>
      </w:r>
    </w:p>
    <w:p>
      <w:pPr>
        <w:pStyle w:val="2"/>
        <w:adjustRightInd w:val="0"/>
        <w:rPr>
          <w:rFonts w:ascii="黑体" w:hAnsi="宋体" w:eastAsia="黑体"/>
          <w:b w:val="0"/>
        </w:rPr>
      </w:pPr>
      <w:bookmarkStart w:id="25" w:name="_Toc276492375"/>
      <w:bookmarkStart w:id="26" w:name="_Toc276490903"/>
      <w:bookmarkStart w:id="27" w:name="_Toc423550165"/>
      <w:r>
        <w:rPr>
          <w:rFonts w:hint="eastAsia" w:ascii="黑体" w:hAnsi="宋体" w:eastAsia="黑体"/>
          <w:b w:val="0"/>
        </w:rPr>
        <w:t>技术</w:t>
      </w:r>
      <w:bookmarkEnd w:id="25"/>
      <w:bookmarkEnd w:id="26"/>
      <w:r>
        <w:rPr>
          <w:rFonts w:hint="eastAsia" w:ascii="黑体" w:hAnsi="宋体" w:eastAsia="黑体"/>
          <w:b w:val="0"/>
        </w:rPr>
        <w:t>要求</w:t>
      </w:r>
      <w:bookmarkEnd w:id="27"/>
    </w:p>
    <w:p>
      <w:pPr>
        <w:pStyle w:val="99"/>
      </w:pPr>
      <w:bookmarkStart w:id="28" w:name="_Toc276492376"/>
      <w:r>
        <w:rPr>
          <w:rFonts w:hint="eastAsia"/>
        </w:rPr>
        <w:t xml:space="preserve">    10kV 干式电压互感器应优先采用设计制造经验成熟、结构简单、经受过运行考验的互感器</w:t>
      </w:r>
      <w:r>
        <w:rPr>
          <w:rFonts w:hint="eastAsia" w:ascii="宋体" w:hAnsi="宋体"/>
        </w:rPr>
        <w:t>应喷涂硅橡胶复合外套</w:t>
      </w:r>
      <w:r>
        <w:rPr>
          <w:rFonts w:hint="eastAsia"/>
        </w:rPr>
        <w:t>。对互感器的密封性能和抗震强度应提出要求，防止运输和运行中渗漏。在保证电压互感器安全可靠的前提下，降低噪声和损耗以及节省投资也是互感器选用中应注意的重要问题。</w:t>
      </w:r>
    </w:p>
    <w:p>
      <w:pPr>
        <w:spacing w:line="360" w:lineRule="auto"/>
        <w:outlineLvl w:val="1"/>
        <w:rPr>
          <w:rFonts w:ascii="黑体" w:hAnsi="宋体" w:eastAsia="黑体"/>
        </w:rPr>
      </w:pPr>
      <w:bookmarkStart w:id="29" w:name="_Toc423550166"/>
      <w:r>
        <w:rPr>
          <w:rFonts w:hint="eastAsia" w:ascii="黑体" w:hAnsi="宋体" w:eastAsia="黑体"/>
        </w:rPr>
        <w:t>5.1 基本参数</w:t>
      </w:r>
      <w:bookmarkEnd w:id="28"/>
      <w:bookmarkEnd w:id="29"/>
    </w:p>
    <w:bookmarkEnd w:id="0"/>
    <w:p>
      <w:pPr>
        <w:pStyle w:val="45"/>
        <w:tabs>
          <w:tab w:val="left" w:pos="2160"/>
        </w:tabs>
        <w:adjustRightInd w:val="0"/>
        <w:snapToGrid w:val="0"/>
        <w:spacing w:line="360" w:lineRule="auto"/>
        <w:rPr>
          <w:rFonts w:eastAsia="宋体"/>
        </w:rPr>
      </w:pPr>
      <w:bookmarkStart w:id="30" w:name="_Toc276490904"/>
      <w:bookmarkStart w:id="31" w:name="_Toc276492383"/>
      <w:r>
        <w:rPr>
          <w:rFonts w:hint="eastAsia" w:eastAsia="宋体"/>
        </w:rPr>
        <w:t>1）</w:t>
      </w:r>
      <w:r>
        <w:rPr>
          <w:rFonts w:hint="eastAsia" w:ascii="宋体" w:hAnsi="宋体"/>
        </w:rPr>
        <w:t>★</w:t>
      </w:r>
      <w:r>
        <w:rPr>
          <w:rFonts w:hint="eastAsia" w:eastAsia="宋体"/>
        </w:rPr>
        <w:t>额定一次电压U</w:t>
      </w:r>
      <w:r>
        <w:rPr>
          <w:rFonts w:hint="eastAsia" w:eastAsia="宋体"/>
          <w:vertAlign w:val="subscript"/>
        </w:rPr>
        <w:t>1N</w:t>
      </w:r>
      <w:r>
        <w:rPr>
          <w:rFonts w:hint="eastAsia" w:eastAsia="宋体"/>
        </w:rPr>
        <w:t>：10</w:t>
      </w:r>
      <w:r>
        <w:rPr>
          <w:rFonts w:eastAsia="宋体"/>
        </w:rPr>
        <w:t>kV</w:t>
      </w:r>
    </w:p>
    <w:p>
      <w:pPr>
        <w:pStyle w:val="45"/>
        <w:tabs>
          <w:tab w:val="left" w:pos="2160"/>
        </w:tabs>
        <w:adjustRightInd w:val="0"/>
        <w:snapToGrid w:val="0"/>
        <w:spacing w:line="360" w:lineRule="auto"/>
        <w:rPr>
          <w:rFonts w:eastAsia="宋体"/>
        </w:rPr>
      </w:pPr>
      <w:r>
        <w:rPr>
          <w:rFonts w:hint="eastAsia" w:eastAsia="宋体"/>
        </w:rPr>
        <w:t>2）</w:t>
      </w:r>
      <w:r>
        <w:rPr>
          <w:rFonts w:hint="eastAsia" w:ascii="宋体" w:hAnsi="宋体"/>
        </w:rPr>
        <w:t>★</w:t>
      </w:r>
      <w:r>
        <w:rPr>
          <w:rFonts w:hint="eastAsia" w:eastAsia="宋体"/>
        </w:rPr>
        <w:t>设备最高电压U</w:t>
      </w:r>
      <w:r>
        <w:rPr>
          <w:rFonts w:hint="eastAsia" w:eastAsia="宋体"/>
          <w:vertAlign w:val="subscript"/>
        </w:rPr>
        <w:t>m</w:t>
      </w:r>
      <w:r>
        <w:rPr>
          <w:rFonts w:hint="eastAsia" w:eastAsia="宋体"/>
        </w:rPr>
        <w:t>：12kV</w:t>
      </w:r>
    </w:p>
    <w:p>
      <w:pPr>
        <w:pStyle w:val="45"/>
        <w:tabs>
          <w:tab w:val="left" w:pos="2160"/>
        </w:tabs>
        <w:adjustRightInd w:val="0"/>
        <w:snapToGrid w:val="0"/>
        <w:spacing w:line="360" w:lineRule="auto"/>
        <w:rPr>
          <w:rFonts w:eastAsia="宋体"/>
        </w:rPr>
      </w:pPr>
      <w:r>
        <w:rPr>
          <w:rFonts w:hint="eastAsia" w:eastAsia="宋体"/>
        </w:rPr>
        <w:t>3）</w:t>
      </w:r>
      <w:r>
        <w:rPr>
          <w:rFonts w:hint="eastAsia" w:ascii="宋体" w:hAnsi="宋体"/>
        </w:rPr>
        <w:t>★</w:t>
      </w:r>
      <w:r>
        <w:rPr>
          <w:rFonts w:hint="eastAsia" w:eastAsia="宋体"/>
        </w:rPr>
        <w:t>额定二次电压U</w:t>
      </w:r>
      <w:r>
        <w:rPr>
          <w:rFonts w:hint="eastAsia" w:eastAsia="宋体"/>
          <w:vertAlign w:val="subscript"/>
        </w:rPr>
        <w:t>2N</w:t>
      </w:r>
      <w:r>
        <w:rPr>
          <w:rFonts w:hint="eastAsia" w:eastAsia="宋体"/>
        </w:rPr>
        <w:t>：</w:t>
      </w:r>
      <w:r>
        <w:rPr>
          <w:rFonts w:hint="eastAsia" w:ascii="Verdana" w:hAnsi="Verdana"/>
          <w:sz w:val="18"/>
          <w:szCs w:val="18"/>
        </w:rPr>
        <w:t xml:space="preserve"> 0.1/√3 kV 、0.1/√3 kV 、0.1/3kV</w:t>
      </w:r>
    </w:p>
    <w:p>
      <w:pPr>
        <w:pStyle w:val="45"/>
        <w:tabs>
          <w:tab w:val="left" w:pos="2160"/>
        </w:tabs>
        <w:adjustRightInd w:val="0"/>
        <w:snapToGrid w:val="0"/>
        <w:spacing w:line="360" w:lineRule="auto"/>
        <w:rPr>
          <w:rFonts w:hint="eastAsia" w:eastAsia="宋体"/>
          <w:lang w:eastAsia="zh-CN"/>
        </w:rPr>
      </w:pPr>
      <w:r>
        <w:rPr>
          <w:rFonts w:hint="eastAsia" w:eastAsia="宋体"/>
        </w:rPr>
        <w:t>4）绝缘介质：</w:t>
      </w:r>
      <w:r>
        <w:rPr>
          <w:rFonts w:hint="eastAsia" w:eastAsia="宋体"/>
          <w:lang w:eastAsia="zh-CN"/>
        </w:rPr>
        <w:t>浇注绝缘式</w:t>
      </w:r>
    </w:p>
    <w:p>
      <w:pPr>
        <w:pStyle w:val="45"/>
        <w:tabs>
          <w:tab w:val="left" w:pos="2160"/>
        </w:tabs>
        <w:adjustRightInd w:val="0"/>
        <w:snapToGrid w:val="0"/>
        <w:spacing w:line="360" w:lineRule="auto"/>
        <w:rPr>
          <w:rFonts w:eastAsia="宋体"/>
        </w:rPr>
      </w:pPr>
      <w:r>
        <w:rPr>
          <w:rFonts w:hint="eastAsia" w:eastAsia="宋体"/>
        </w:rPr>
        <w:t>5）外绝缘型式：瓷质或硅橡胶</w:t>
      </w:r>
    </w:p>
    <w:p>
      <w:pPr>
        <w:pStyle w:val="45"/>
        <w:tabs>
          <w:tab w:val="left" w:pos="2160"/>
        </w:tabs>
        <w:adjustRightInd w:val="0"/>
        <w:snapToGrid w:val="0"/>
        <w:spacing w:line="360" w:lineRule="auto"/>
        <w:rPr>
          <w:rFonts w:eastAsia="宋体"/>
        </w:rPr>
      </w:pPr>
      <w:r>
        <w:rPr>
          <w:rFonts w:hint="eastAsia" w:eastAsia="宋体"/>
        </w:rPr>
        <w:t xml:space="preserve">6）设备类型：三相、户外式电压互感器、电磁式（呈容性） </w:t>
      </w:r>
    </w:p>
    <w:p>
      <w:pPr>
        <w:pStyle w:val="51"/>
        <w:numPr>
          <w:ilvl w:val="0"/>
          <w:numId w:val="0"/>
        </w:numPr>
        <w:adjustRightInd w:val="0"/>
        <w:spacing w:before="156" w:beforeLines="50"/>
        <w:rPr>
          <w:rFonts w:ascii="Times New Roman" w:hAnsi="Times New Roman" w:eastAsia="黑体"/>
        </w:rPr>
      </w:pPr>
      <w:bookmarkStart w:id="32" w:name="_Toc276492378"/>
      <w:bookmarkStart w:id="33" w:name="_Toc276492377"/>
      <w:r>
        <w:rPr>
          <w:rFonts w:hint="eastAsia" w:ascii="Times New Roman" w:hAnsi="Times New Roman" w:eastAsia="黑体"/>
        </w:rPr>
        <w:t xml:space="preserve">5.1.1 </w:t>
      </w:r>
      <w:r>
        <w:rPr>
          <w:rFonts w:hint="eastAsia"/>
        </w:rPr>
        <w:t>★</w:t>
      </w:r>
      <w:r>
        <w:rPr>
          <w:rFonts w:hint="eastAsia" w:ascii="Times New Roman" w:hAnsi="Times New Roman" w:eastAsia="黑体"/>
        </w:rPr>
        <w:t>电压</w:t>
      </w:r>
      <w:bookmarkEnd w:id="32"/>
    </w:p>
    <w:p>
      <w:pPr>
        <w:adjustRightInd w:val="0"/>
        <w:snapToGrid w:val="0"/>
        <w:spacing w:line="360" w:lineRule="auto"/>
        <w:jc w:val="center"/>
        <w:rPr>
          <w:rFonts w:hAnsi="宋体"/>
          <w:sz w:val="18"/>
          <w:szCs w:val="18"/>
        </w:rPr>
      </w:pPr>
      <w:r>
        <w:rPr>
          <w:rFonts w:hint="eastAsia" w:hAnsi="宋体"/>
          <w:sz w:val="18"/>
          <w:szCs w:val="18"/>
        </w:rPr>
        <w:t>表5.1 电压要求</w:t>
      </w:r>
    </w:p>
    <w:tbl>
      <w:tblPr>
        <w:tblStyle w:val="25"/>
        <w:tblW w:w="828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60"/>
        <w:gridCol w:w="2343"/>
        <w:gridCol w:w="317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60" w:type="dxa"/>
            <w:vAlign w:val="center"/>
          </w:tcPr>
          <w:p>
            <w:pPr>
              <w:adjustRightInd w:val="0"/>
              <w:snapToGrid w:val="0"/>
              <w:spacing w:line="360" w:lineRule="auto"/>
              <w:jc w:val="center"/>
              <w:rPr>
                <w:sz w:val="18"/>
                <w:szCs w:val="18"/>
              </w:rPr>
            </w:pPr>
            <w:r>
              <w:rPr>
                <w:rFonts w:hint="eastAsia"/>
                <w:sz w:val="18"/>
                <w:szCs w:val="18"/>
              </w:rPr>
              <w:t>额定一次电压U</w:t>
            </w:r>
            <w:r>
              <w:rPr>
                <w:rFonts w:hint="eastAsia"/>
                <w:sz w:val="18"/>
                <w:szCs w:val="18"/>
                <w:vertAlign w:val="subscript"/>
              </w:rPr>
              <w:t>1N</w:t>
            </w:r>
          </w:p>
        </w:tc>
        <w:tc>
          <w:tcPr>
            <w:tcW w:w="2343" w:type="dxa"/>
            <w:vAlign w:val="center"/>
          </w:tcPr>
          <w:p>
            <w:pPr>
              <w:adjustRightInd w:val="0"/>
              <w:snapToGrid w:val="0"/>
              <w:spacing w:line="360" w:lineRule="auto"/>
              <w:jc w:val="center"/>
              <w:rPr>
                <w:sz w:val="18"/>
                <w:szCs w:val="18"/>
              </w:rPr>
            </w:pPr>
            <w:r>
              <w:rPr>
                <w:rFonts w:hint="eastAsia"/>
                <w:sz w:val="18"/>
                <w:szCs w:val="18"/>
              </w:rPr>
              <w:t>最高运行电压</w:t>
            </w:r>
          </w:p>
        </w:tc>
        <w:tc>
          <w:tcPr>
            <w:tcW w:w="3177" w:type="dxa"/>
            <w:vAlign w:val="center"/>
          </w:tcPr>
          <w:p>
            <w:pPr>
              <w:adjustRightInd w:val="0"/>
              <w:snapToGrid w:val="0"/>
              <w:spacing w:line="360" w:lineRule="auto"/>
              <w:jc w:val="center"/>
              <w:rPr>
                <w:sz w:val="18"/>
                <w:szCs w:val="18"/>
              </w:rPr>
            </w:pPr>
            <w:r>
              <w:rPr>
                <w:rFonts w:hint="eastAsia"/>
                <w:sz w:val="18"/>
                <w:szCs w:val="18"/>
              </w:rPr>
              <w:t>额定二次电压U</w:t>
            </w:r>
            <w:r>
              <w:rPr>
                <w:rFonts w:hint="eastAsia"/>
                <w:sz w:val="18"/>
                <w:szCs w:val="18"/>
                <w:vertAlign w:val="subscript"/>
              </w:rPr>
              <w:t>2N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760" w:type="dxa"/>
            <w:vAlign w:val="center"/>
          </w:tcPr>
          <w:p>
            <w:pPr>
              <w:adjustRightInd w:val="0"/>
              <w:snapToGrid w:val="0"/>
              <w:spacing w:line="360" w:lineRule="auto"/>
              <w:jc w:val="center"/>
              <w:rPr>
                <w:sz w:val="18"/>
                <w:szCs w:val="18"/>
              </w:rPr>
            </w:pPr>
            <w:r>
              <w:rPr>
                <w:rFonts w:hint="eastAsia"/>
                <w:sz w:val="18"/>
                <w:szCs w:val="18"/>
              </w:rPr>
              <w:t>10kV</w:t>
            </w:r>
          </w:p>
        </w:tc>
        <w:tc>
          <w:tcPr>
            <w:tcW w:w="2343" w:type="dxa"/>
            <w:vAlign w:val="center"/>
          </w:tcPr>
          <w:p>
            <w:pPr>
              <w:adjustRightInd w:val="0"/>
              <w:snapToGrid w:val="0"/>
              <w:spacing w:line="360" w:lineRule="auto"/>
              <w:jc w:val="center"/>
              <w:rPr>
                <w:sz w:val="18"/>
                <w:szCs w:val="18"/>
              </w:rPr>
            </w:pPr>
            <w:r>
              <w:rPr>
                <w:rFonts w:hint="eastAsia"/>
                <w:sz w:val="18"/>
                <w:szCs w:val="18"/>
              </w:rPr>
              <w:t>12kV</w:t>
            </w:r>
          </w:p>
        </w:tc>
        <w:tc>
          <w:tcPr>
            <w:tcW w:w="3177" w:type="dxa"/>
            <w:vAlign w:val="center"/>
          </w:tcPr>
          <w:p>
            <w:pPr>
              <w:adjustRightInd w:val="0"/>
              <w:snapToGrid w:val="0"/>
              <w:spacing w:line="360" w:lineRule="auto"/>
              <w:jc w:val="center"/>
              <w:rPr>
                <w:sz w:val="18"/>
                <w:szCs w:val="18"/>
              </w:rPr>
            </w:pPr>
            <w:r>
              <w:rPr>
                <w:rFonts w:hint="eastAsia"/>
                <w:sz w:val="18"/>
                <w:szCs w:val="18"/>
              </w:rPr>
              <w:t>0.1/√3 kV 、0.1/√3 kV 、0.1/3kV</w:t>
            </w:r>
          </w:p>
        </w:tc>
      </w:tr>
    </w:tbl>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 xml:space="preserve">5.1.2 </w:t>
      </w:r>
      <w:r>
        <w:rPr>
          <w:rFonts w:hint="eastAsia"/>
        </w:rPr>
        <w:t>★</w:t>
      </w:r>
      <w:r>
        <w:rPr>
          <w:rFonts w:hint="eastAsia" w:ascii="Times New Roman" w:hAnsi="Times New Roman" w:eastAsia="黑体"/>
        </w:rPr>
        <w:t>绝缘水平</w:t>
      </w:r>
      <w:bookmarkEnd w:id="33"/>
    </w:p>
    <w:p>
      <w:pPr>
        <w:pStyle w:val="45"/>
        <w:tabs>
          <w:tab w:val="left" w:pos="2160"/>
        </w:tabs>
        <w:adjustRightInd w:val="0"/>
        <w:snapToGrid w:val="0"/>
        <w:spacing w:line="360" w:lineRule="auto"/>
        <w:rPr>
          <w:rFonts w:eastAsia="宋体"/>
        </w:rPr>
      </w:pPr>
      <w:r>
        <w:rPr>
          <w:rFonts w:hint="eastAsia" w:eastAsia="宋体"/>
        </w:rPr>
        <w:t>1）</w:t>
      </w:r>
      <w:r>
        <w:rPr>
          <w:rFonts w:eastAsia="宋体"/>
        </w:rPr>
        <w:t>电压互感器的高压端子绝缘水平和耐受电压</w:t>
      </w:r>
      <w:r>
        <w:rPr>
          <w:rFonts w:hint="eastAsia" w:eastAsia="宋体"/>
        </w:rPr>
        <w:t>值</w:t>
      </w:r>
      <w:r>
        <w:rPr>
          <w:rFonts w:eastAsia="宋体"/>
        </w:rPr>
        <w:t>按</w:t>
      </w:r>
      <w:r>
        <w:rPr>
          <w:rFonts w:hint="eastAsia" w:eastAsia="宋体"/>
        </w:rPr>
        <w:t>下表</w:t>
      </w:r>
      <w:r>
        <w:rPr>
          <w:rFonts w:eastAsia="宋体"/>
        </w:rPr>
        <w:t>选取。</w:t>
      </w:r>
    </w:p>
    <w:p>
      <w:pPr>
        <w:adjustRightInd w:val="0"/>
        <w:snapToGrid w:val="0"/>
        <w:spacing w:line="360" w:lineRule="auto"/>
        <w:jc w:val="center"/>
        <w:rPr>
          <w:rFonts w:hAnsi="宋体"/>
          <w:sz w:val="18"/>
          <w:szCs w:val="18"/>
        </w:rPr>
      </w:pPr>
      <w:r>
        <w:rPr>
          <w:rFonts w:hint="eastAsia" w:hAnsi="宋体"/>
          <w:sz w:val="18"/>
          <w:szCs w:val="18"/>
        </w:rPr>
        <w:t>表5.2 绝缘水平要求</w:t>
      </w:r>
    </w:p>
    <w:tbl>
      <w:tblPr>
        <w:tblStyle w:val="25"/>
        <w:tblW w:w="828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656"/>
        <w:gridCol w:w="1656"/>
        <w:gridCol w:w="1656"/>
        <w:gridCol w:w="16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额定电压</w:t>
            </w:r>
          </w:p>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最高运行电压</w:t>
            </w:r>
          </w:p>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工频耐受电压</w:t>
            </w:r>
          </w:p>
          <w:p>
            <w:pPr>
              <w:pStyle w:val="58"/>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r>
              <w:rPr>
                <w:rFonts w:hint="eastAsia" w:ascii="Times New Roman" w:hAnsi="宋体"/>
                <w:sz w:val="18"/>
                <w:szCs w:val="18"/>
              </w:rPr>
              <w:t>）</w:t>
            </w:r>
          </w:p>
        </w:tc>
        <w:tc>
          <w:tcPr>
            <w:tcW w:w="1656" w:type="dxa"/>
            <w:vAlign w:val="center"/>
          </w:tcPr>
          <w:p>
            <w:pPr>
              <w:pStyle w:val="58"/>
              <w:widowControl w:val="0"/>
              <w:adjustRightInd w:val="0"/>
              <w:snapToGrid w:val="0"/>
              <w:spacing w:line="360" w:lineRule="auto"/>
              <w:ind w:firstLine="0" w:firstLineChars="0"/>
              <w:rPr>
                <w:rFonts w:hAnsi="宋体"/>
                <w:sz w:val="18"/>
                <w:szCs w:val="18"/>
              </w:rPr>
            </w:pPr>
            <w:r>
              <w:rPr>
                <w:rFonts w:hint="eastAsia" w:hAnsi="宋体"/>
                <w:sz w:val="18"/>
                <w:szCs w:val="18"/>
              </w:rPr>
              <w:t>额定雷电冲击耐受电压（峰值）</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hint="eastAsia" w:ascii="Times New Roman"/>
                <w:sz w:val="18"/>
                <w:szCs w:val="18"/>
              </w:rPr>
              <w:t>10</w:t>
            </w:r>
            <w:r>
              <w:rPr>
                <w:rFonts w:hint="eastAsia"/>
                <w:sz w:val="18"/>
                <w:szCs w:val="18"/>
              </w:rPr>
              <w:t xml:space="preserve"> kV</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hint="eastAsia" w:ascii="Times New Roman"/>
                <w:sz w:val="18"/>
                <w:szCs w:val="18"/>
              </w:rPr>
              <w:t>12</w:t>
            </w:r>
            <w:r>
              <w:rPr>
                <w:rFonts w:hint="eastAsia"/>
                <w:sz w:val="18"/>
                <w:szCs w:val="18"/>
              </w:rPr>
              <w:t xml:space="preserve"> kV</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hint="eastAsia" w:ascii="Times New Roman"/>
                <w:sz w:val="18"/>
                <w:szCs w:val="18"/>
              </w:rPr>
              <w:t>42</w:t>
            </w:r>
            <w:r>
              <w:rPr>
                <w:rFonts w:hint="eastAsia"/>
                <w:sz w:val="18"/>
                <w:szCs w:val="18"/>
              </w:rPr>
              <w:t xml:space="preserve"> kV</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r>
              <w:rPr>
                <w:rFonts w:hint="eastAsia" w:ascii="Times New Roman"/>
                <w:sz w:val="18"/>
                <w:szCs w:val="18"/>
              </w:rPr>
              <w:t>75</w:t>
            </w:r>
            <w:r>
              <w:rPr>
                <w:rFonts w:hint="eastAsia"/>
                <w:sz w:val="18"/>
                <w:szCs w:val="18"/>
              </w:rPr>
              <w:t xml:space="preserve"> kV</w:t>
            </w:r>
          </w:p>
        </w:tc>
        <w:tc>
          <w:tcPr>
            <w:tcW w:w="1656" w:type="dxa"/>
            <w:vAlign w:val="center"/>
          </w:tcPr>
          <w:p>
            <w:pPr>
              <w:pStyle w:val="58"/>
              <w:widowControl w:val="0"/>
              <w:adjustRightInd w:val="0"/>
              <w:snapToGrid w:val="0"/>
              <w:spacing w:line="360" w:lineRule="auto"/>
              <w:ind w:firstLine="0" w:firstLineChars="0"/>
              <w:jc w:val="center"/>
              <w:rPr>
                <w:rFonts w:ascii="Times New Roman"/>
                <w:sz w:val="18"/>
                <w:szCs w:val="18"/>
              </w:rPr>
            </w:pPr>
          </w:p>
        </w:tc>
      </w:tr>
    </w:tbl>
    <w:p>
      <w:pPr>
        <w:autoSpaceDE w:val="0"/>
        <w:autoSpaceDN w:val="0"/>
        <w:adjustRightInd w:val="0"/>
        <w:spacing w:line="360" w:lineRule="auto"/>
        <w:ind w:firstLine="360" w:firstLineChars="200"/>
        <w:jc w:val="left"/>
        <w:rPr>
          <w:rFonts w:cs="宋体"/>
          <w:kern w:val="0"/>
          <w:sz w:val="18"/>
          <w:szCs w:val="18"/>
        </w:rPr>
      </w:pPr>
      <w:r>
        <w:rPr>
          <w:rFonts w:hint="eastAsia"/>
          <w:kern w:val="0"/>
          <w:sz w:val="18"/>
          <w:szCs w:val="18"/>
        </w:rPr>
        <w:t>注：高海拔地区需进行修正。</w:t>
      </w:r>
    </w:p>
    <w:p>
      <w:pPr>
        <w:pStyle w:val="45"/>
        <w:tabs>
          <w:tab w:val="left" w:pos="2160"/>
        </w:tabs>
        <w:adjustRightInd w:val="0"/>
        <w:snapToGrid w:val="0"/>
        <w:spacing w:line="360" w:lineRule="auto"/>
        <w:rPr>
          <w:rFonts w:eastAsia="宋体"/>
        </w:rPr>
      </w:pPr>
      <w:r>
        <w:rPr>
          <w:rFonts w:hint="eastAsia" w:eastAsia="宋体"/>
        </w:rPr>
        <w:t>2）二次绕组及接地端子绝缘要求</w:t>
      </w:r>
    </w:p>
    <w:p>
      <w:pPr>
        <w:adjustRightInd w:val="0"/>
        <w:snapToGrid w:val="0"/>
        <w:spacing w:line="360" w:lineRule="auto"/>
        <w:ind w:firstLine="420" w:firstLineChars="200"/>
      </w:pPr>
      <w:r>
        <w:rPr>
          <w:rFonts w:hint="eastAsia" w:hAnsi="宋体"/>
        </w:rPr>
        <w:t>二次绕组绝缘的额定工频耐受电压为</w:t>
      </w:r>
      <w:r>
        <w:rPr>
          <w:rFonts w:hint="eastAsia"/>
        </w:rPr>
        <w:t>3kV</w:t>
      </w:r>
      <w:r>
        <w:rPr>
          <w:rFonts w:hAnsi="宋体"/>
        </w:rPr>
        <w:t>（方均根值）</w:t>
      </w:r>
      <w:r>
        <w:rPr>
          <w:rFonts w:hint="eastAsia" w:hAnsi="宋体"/>
        </w:rPr>
        <w:t>，当二次绕组分为两段或多段时，段间绝缘额定工频耐受电压应为</w:t>
      </w:r>
      <w:r>
        <w:rPr>
          <w:rFonts w:hint="eastAsia"/>
        </w:rPr>
        <w:t>3kV</w:t>
      </w:r>
      <w:r>
        <w:rPr>
          <w:rFonts w:hAnsi="宋体"/>
        </w:rPr>
        <w:t>（方均根值）</w:t>
      </w:r>
      <w:bookmarkStart w:id="34" w:name="_Toc276492379"/>
      <w:r>
        <w:rPr>
          <w:rFonts w:hint="eastAsia" w:hAnsi="宋体"/>
        </w:rPr>
        <w:t>，接地端子应能承受额定短时工频耐受电压应为</w:t>
      </w:r>
      <w:r>
        <w:rPr>
          <w:rFonts w:hint="eastAsia"/>
        </w:rPr>
        <w:t>5kV</w:t>
      </w:r>
      <w:r>
        <w:rPr>
          <w:rFonts w:hAnsi="宋体"/>
        </w:rPr>
        <w:t>（方均根值）</w:t>
      </w:r>
      <w:r>
        <w:rPr>
          <w:rFonts w:hint="eastAsia" w:hAnsi="宋体"/>
        </w:rPr>
        <w:t>。</w:t>
      </w:r>
    </w:p>
    <w:bookmarkEnd w:id="34"/>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5.1.3 过电压倍数及其容许持续时间</w:t>
      </w:r>
    </w:p>
    <w:p>
      <w:pPr>
        <w:pStyle w:val="69"/>
        <w:numPr>
          <w:ilvl w:val="0"/>
          <w:numId w:val="0"/>
        </w:numPr>
        <w:spacing w:line="360" w:lineRule="auto"/>
        <w:ind w:firstLine="525" w:firstLineChars="250"/>
        <w:jc w:val="both"/>
        <w:rPr>
          <w:rFonts w:ascii="宋体" w:hAnsi="宋体" w:eastAsia="宋体"/>
          <w:szCs w:val="21"/>
        </w:rPr>
      </w:pPr>
      <w:r>
        <w:rPr>
          <w:rFonts w:ascii="宋体" w:hAnsi="宋体" w:eastAsia="宋体"/>
          <w:szCs w:val="21"/>
        </w:rPr>
        <w:t>电压互感器过电压倍数及其容许持续时间要求</w:t>
      </w:r>
      <w:r>
        <w:rPr>
          <w:rFonts w:hint="eastAsia" w:ascii="宋体" w:hAnsi="宋体" w:eastAsia="宋体"/>
          <w:szCs w:val="21"/>
        </w:rPr>
        <w:t>如下表：</w:t>
      </w:r>
    </w:p>
    <w:p>
      <w:pPr>
        <w:adjustRightInd w:val="0"/>
        <w:snapToGrid w:val="0"/>
        <w:spacing w:line="360" w:lineRule="auto"/>
        <w:jc w:val="center"/>
        <w:rPr>
          <w:rFonts w:hAnsi="宋体"/>
          <w:sz w:val="18"/>
          <w:szCs w:val="18"/>
        </w:rPr>
      </w:pPr>
      <w:r>
        <w:rPr>
          <w:rFonts w:hint="eastAsia" w:hAnsi="宋体"/>
          <w:sz w:val="18"/>
          <w:szCs w:val="18"/>
        </w:rPr>
        <w:t>表5.4 过电压倍数及容许持续时间要求</w:t>
      </w:r>
    </w:p>
    <w:tbl>
      <w:tblPr>
        <w:tblStyle w:val="25"/>
        <w:tblW w:w="8280" w:type="dxa"/>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2070"/>
        <w:gridCol w:w="2070"/>
        <w:gridCol w:w="2070"/>
        <w:gridCol w:w="20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2070" w:type="dxa"/>
            <w:vAlign w:val="center"/>
          </w:tcPr>
          <w:p>
            <w:pPr>
              <w:spacing w:line="360" w:lineRule="auto"/>
              <w:jc w:val="center"/>
              <w:outlineLvl w:val="2"/>
              <w:rPr>
                <w:sz w:val="18"/>
                <w:szCs w:val="18"/>
              </w:rPr>
            </w:pPr>
            <w:r>
              <w:rPr>
                <w:rFonts w:hAnsi="宋体"/>
                <w:sz w:val="18"/>
                <w:szCs w:val="18"/>
              </w:rPr>
              <w:t>电压等级（</w:t>
            </w:r>
            <w:r>
              <w:rPr>
                <w:sz w:val="18"/>
                <w:szCs w:val="18"/>
              </w:rPr>
              <w:t>kV</w:t>
            </w:r>
            <w:r>
              <w:rPr>
                <w:rFonts w:hAnsi="宋体"/>
                <w:sz w:val="18"/>
                <w:szCs w:val="18"/>
              </w:rPr>
              <w:t>）</w:t>
            </w:r>
          </w:p>
        </w:tc>
        <w:tc>
          <w:tcPr>
            <w:tcW w:w="2070" w:type="dxa"/>
            <w:vAlign w:val="center"/>
          </w:tcPr>
          <w:p>
            <w:pPr>
              <w:spacing w:line="360" w:lineRule="auto"/>
              <w:ind w:firstLine="180" w:firstLineChars="100"/>
              <w:jc w:val="center"/>
              <w:outlineLvl w:val="2"/>
              <w:rPr>
                <w:sz w:val="18"/>
                <w:szCs w:val="18"/>
              </w:rPr>
            </w:pPr>
            <w:r>
              <w:rPr>
                <w:rFonts w:hAnsi="宋体"/>
                <w:sz w:val="18"/>
                <w:szCs w:val="18"/>
              </w:rPr>
              <w:t>额定运行电压</w:t>
            </w:r>
          </w:p>
        </w:tc>
        <w:tc>
          <w:tcPr>
            <w:tcW w:w="2070" w:type="dxa"/>
            <w:vAlign w:val="center"/>
          </w:tcPr>
          <w:p>
            <w:pPr>
              <w:spacing w:line="360" w:lineRule="auto"/>
              <w:jc w:val="center"/>
              <w:outlineLvl w:val="2"/>
              <w:rPr>
                <w:sz w:val="18"/>
                <w:szCs w:val="18"/>
              </w:rPr>
            </w:pPr>
            <w:r>
              <w:rPr>
                <w:rFonts w:hAnsi="宋体"/>
                <w:sz w:val="18"/>
                <w:szCs w:val="18"/>
              </w:rPr>
              <w:t>电压倍数</w:t>
            </w:r>
          </w:p>
        </w:tc>
        <w:tc>
          <w:tcPr>
            <w:tcW w:w="2070" w:type="dxa"/>
            <w:vAlign w:val="center"/>
          </w:tcPr>
          <w:p>
            <w:pPr>
              <w:spacing w:line="360" w:lineRule="auto"/>
              <w:jc w:val="center"/>
              <w:outlineLvl w:val="2"/>
              <w:rPr>
                <w:sz w:val="18"/>
                <w:szCs w:val="18"/>
              </w:rPr>
            </w:pPr>
            <w:r>
              <w:rPr>
                <w:rFonts w:hAnsi="宋体"/>
                <w:sz w:val="18"/>
                <w:szCs w:val="18"/>
              </w:rPr>
              <w:t>容许持续时间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Pr>
        <w:tc>
          <w:tcPr>
            <w:tcW w:w="2070" w:type="dxa"/>
            <w:vMerge w:val="restart"/>
            <w:vAlign w:val="center"/>
          </w:tcPr>
          <w:p>
            <w:pPr>
              <w:spacing w:line="360" w:lineRule="auto"/>
              <w:jc w:val="center"/>
              <w:outlineLvl w:val="2"/>
              <w:rPr>
                <w:sz w:val="18"/>
                <w:szCs w:val="18"/>
              </w:rPr>
            </w:pPr>
            <w:r>
              <w:rPr>
                <w:rFonts w:hint="eastAsia"/>
                <w:sz w:val="18"/>
                <w:szCs w:val="18"/>
              </w:rPr>
              <w:t>10</w:t>
            </w:r>
          </w:p>
        </w:tc>
        <w:tc>
          <w:tcPr>
            <w:tcW w:w="2070" w:type="dxa"/>
            <w:vAlign w:val="center"/>
          </w:tcPr>
          <w:p>
            <w:pPr>
              <w:spacing w:line="360" w:lineRule="auto"/>
              <w:jc w:val="center"/>
              <w:outlineLvl w:val="2"/>
              <w:rPr>
                <w:sz w:val="18"/>
                <w:szCs w:val="18"/>
              </w:rPr>
            </w:pPr>
            <w:r>
              <w:rPr>
                <w:sz w:val="18"/>
                <w:szCs w:val="18"/>
              </w:rPr>
              <w:t>U</w:t>
            </w:r>
            <w:r>
              <w:rPr>
                <w:sz w:val="18"/>
                <w:szCs w:val="18"/>
                <w:vertAlign w:val="subscript"/>
              </w:rPr>
              <w:t>m</w:t>
            </w:r>
            <w:r>
              <w:rPr>
                <w:sz w:val="18"/>
                <w:szCs w:val="18"/>
              </w:rPr>
              <w:t xml:space="preserve"> /</w:t>
            </w:r>
            <w:r>
              <w:rPr>
                <w:position w:val="-8"/>
                <w:sz w:val="18"/>
                <w:szCs w:val="18"/>
              </w:rPr>
              <w:object>
                <v:shape id="_x0000_i1025" o:spt="75" type="#_x0000_t75" style="height:14.5pt;width:18pt;" o:ole="t" fillcolor="#FFFFFF" filled="f" o:preferrelative="t" stroked="f" coordsize="21600,21600">
                  <v:path/>
                  <v:fill on="f" focussize="0,0"/>
                  <v:stroke on="f" joinstyle="miter"/>
                  <v:imagedata r:id="rId15" o:title=""/>
                  <o:lock v:ext="edit" aspectratio="t"/>
                  <w10:wrap type="none"/>
                  <w10:anchorlock/>
                </v:shape>
                <o:OLEObject Type="Embed" ProgID="Equation.3" ShapeID="_x0000_i1025" DrawAspect="Content" ObjectID="_1468075725" r:id="rId14">
                  <o:LockedField>false</o:LockedField>
                </o:OLEObject>
              </w:object>
            </w:r>
            <w:r>
              <w:rPr>
                <w:sz w:val="18"/>
                <w:szCs w:val="18"/>
              </w:rPr>
              <w:t>kV</w:t>
            </w:r>
          </w:p>
        </w:tc>
        <w:tc>
          <w:tcPr>
            <w:tcW w:w="2070" w:type="dxa"/>
            <w:vAlign w:val="center"/>
          </w:tcPr>
          <w:p>
            <w:pPr>
              <w:spacing w:line="360" w:lineRule="auto"/>
              <w:jc w:val="center"/>
              <w:outlineLvl w:val="2"/>
              <w:rPr>
                <w:sz w:val="18"/>
                <w:szCs w:val="18"/>
              </w:rPr>
            </w:pPr>
            <w:r>
              <w:rPr>
                <w:sz w:val="18"/>
                <w:szCs w:val="18"/>
              </w:rPr>
              <w:t>1.2</w:t>
            </w:r>
          </w:p>
        </w:tc>
        <w:tc>
          <w:tcPr>
            <w:tcW w:w="2070" w:type="dxa"/>
            <w:vAlign w:val="center"/>
          </w:tcPr>
          <w:p>
            <w:pPr>
              <w:spacing w:line="360" w:lineRule="auto"/>
              <w:jc w:val="center"/>
              <w:outlineLvl w:val="2"/>
              <w:rPr>
                <w:sz w:val="18"/>
                <w:szCs w:val="18"/>
              </w:rPr>
            </w:pPr>
            <w:r>
              <w:rPr>
                <w:rFonts w:hAnsi="宋体"/>
                <w:sz w:val="18"/>
                <w:szCs w:val="18"/>
              </w:rPr>
              <w:t>连续</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Pr>
        <w:tc>
          <w:tcPr>
            <w:tcW w:w="2070" w:type="dxa"/>
            <w:vMerge w:val="continue"/>
            <w:vAlign w:val="center"/>
          </w:tcPr>
          <w:p>
            <w:pPr>
              <w:spacing w:line="360" w:lineRule="auto"/>
              <w:jc w:val="center"/>
              <w:outlineLvl w:val="2"/>
              <w:rPr>
                <w:sz w:val="18"/>
                <w:szCs w:val="18"/>
              </w:rPr>
            </w:pPr>
          </w:p>
        </w:tc>
        <w:tc>
          <w:tcPr>
            <w:tcW w:w="2070" w:type="dxa"/>
            <w:vAlign w:val="center"/>
          </w:tcPr>
          <w:p>
            <w:pPr>
              <w:spacing w:line="360" w:lineRule="auto"/>
              <w:jc w:val="center"/>
              <w:outlineLvl w:val="2"/>
              <w:rPr>
                <w:sz w:val="18"/>
                <w:szCs w:val="18"/>
              </w:rPr>
            </w:pPr>
            <w:r>
              <w:rPr>
                <w:sz w:val="18"/>
                <w:szCs w:val="18"/>
              </w:rPr>
              <w:t>U</w:t>
            </w:r>
            <w:r>
              <w:rPr>
                <w:sz w:val="18"/>
                <w:szCs w:val="18"/>
                <w:vertAlign w:val="subscript"/>
              </w:rPr>
              <w:t>m</w:t>
            </w:r>
            <w:r>
              <w:rPr>
                <w:sz w:val="18"/>
                <w:szCs w:val="18"/>
              </w:rPr>
              <w:t xml:space="preserve"> /</w:t>
            </w:r>
            <w:r>
              <w:rPr>
                <w:position w:val="-8"/>
                <w:sz w:val="18"/>
                <w:szCs w:val="18"/>
              </w:rPr>
              <w:object>
                <v:shape id="_x0000_i1026" o:spt="75" type="#_x0000_t75" style="height:14.5pt;width:18pt;" o:ole="t" fillcolor="#FFFFFF" filled="f" o:preferrelative="t" stroked="f" coordsize="21600,21600">
                  <v:path/>
                  <v:fill on="f" focussize="0,0"/>
                  <v:stroke on="f" joinstyle="miter"/>
                  <v:imagedata r:id="rId15" o:title=""/>
                  <o:lock v:ext="edit" aspectratio="t"/>
                  <w10:wrap type="none"/>
                  <w10:anchorlock/>
                </v:shape>
                <o:OLEObject Type="Embed" ProgID="Equation.3" ShapeID="_x0000_i1026" DrawAspect="Content" ObjectID="_1468075726" r:id="rId16">
                  <o:LockedField>false</o:LockedField>
                </o:OLEObject>
              </w:object>
            </w:r>
            <w:r>
              <w:rPr>
                <w:sz w:val="18"/>
                <w:szCs w:val="18"/>
              </w:rPr>
              <w:t>kV</w:t>
            </w:r>
          </w:p>
        </w:tc>
        <w:tc>
          <w:tcPr>
            <w:tcW w:w="2070" w:type="dxa"/>
            <w:vAlign w:val="center"/>
          </w:tcPr>
          <w:p>
            <w:pPr>
              <w:spacing w:line="360" w:lineRule="auto"/>
              <w:jc w:val="center"/>
              <w:outlineLvl w:val="2"/>
              <w:rPr>
                <w:sz w:val="18"/>
                <w:szCs w:val="18"/>
              </w:rPr>
            </w:pPr>
            <w:r>
              <w:rPr>
                <w:sz w:val="18"/>
                <w:szCs w:val="18"/>
              </w:rPr>
              <w:t>1.</w:t>
            </w:r>
            <w:r>
              <w:rPr>
                <w:rFonts w:hint="eastAsia"/>
                <w:sz w:val="18"/>
                <w:szCs w:val="18"/>
              </w:rPr>
              <w:t>9</w:t>
            </w:r>
          </w:p>
        </w:tc>
        <w:tc>
          <w:tcPr>
            <w:tcW w:w="2070" w:type="dxa"/>
            <w:vAlign w:val="center"/>
          </w:tcPr>
          <w:p>
            <w:pPr>
              <w:spacing w:line="360" w:lineRule="auto"/>
              <w:jc w:val="center"/>
              <w:outlineLvl w:val="2"/>
              <w:rPr>
                <w:sz w:val="18"/>
                <w:szCs w:val="18"/>
              </w:rPr>
            </w:pPr>
            <w:r>
              <w:rPr>
                <w:rFonts w:hint="eastAsia"/>
                <w:sz w:val="18"/>
                <w:szCs w:val="18"/>
              </w:rPr>
              <w:t>8h</w:t>
            </w:r>
          </w:p>
        </w:tc>
      </w:tr>
    </w:tbl>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5.1.4 二次绕组额定输出容量及准确级</w:t>
      </w:r>
    </w:p>
    <w:p>
      <w:pPr>
        <w:spacing w:line="360" w:lineRule="auto"/>
        <w:ind w:firstLine="420" w:firstLineChars="200"/>
        <w:rPr>
          <w:rFonts w:ascii="宋体" w:hAnsi="宋体"/>
          <w:szCs w:val="21"/>
        </w:rPr>
      </w:pPr>
      <w:r>
        <w:rPr>
          <w:rFonts w:ascii="宋体" w:hAnsi="宋体"/>
          <w:szCs w:val="21"/>
        </w:rPr>
        <w:t>二次绕组额定输出容量及准确级如</w:t>
      </w:r>
      <w:r>
        <w:rPr>
          <w:rFonts w:hint="eastAsia" w:ascii="宋体" w:hAnsi="宋体"/>
          <w:szCs w:val="21"/>
        </w:rPr>
        <w:t>下表</w:t>
      </w:r>
      <w:r>
        <w:rPr>
          <w:rFonts w:ascii="宋体" w:hAnsi="宋体"/>
          <w:szCs w:val="21"/>
        </w:rPr>
        <w:t>所示，所有二次绕组同时承担额定负载时，都应满足准确度要求。</w:t>
      </w:r>
    </w:p>
    <w:p>
      <w:pPr>
        <w:adjustRightInd w:val="0"/>
        <w:snapToGrid w:val="0"/>
        <w:jc w:val="center"/>
        <w:rPr>
          <w:rFonts w:hAnsi="宋体"/>
          <w:sz w:val="18"/>
          <w:szCs w:val="18"/>
        </w:rPr>
      </w:pPr>
      <w:r>
        <w:rPr>
          <w:rFonts w:hint="eastAsia" w:hAnsi="宋体"/>
          <w:sz w:val="18"/>
          <w:szCs w:val="18"/>
        </w:rPr>
        <w:t>表5.5 二次绕组额定输出容量及准确级要求</w:t>
      </w:r>
    </w:p>
    <w:tbl>
      <w:tblPr>
        <w:tblStyle w:val="25"/>
        <w:tblpPr w:leftFromText="180" w:rightFromText="180" w:vertAnchor="text" w:horzAnchor="margin" w:tblpX="108" w:tblpY="233"/>
        <w:tblW w:w="829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1467"/>
        <w:gridCol w:w="1467"/>
        <w:gridCol w:w="1467"/>
        <w:gridCol w:w="24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467" w:type="dxa"/>
            <w:vAlign w:val="center"/>
          </w:tcPr>
          <w:p>
            <w:pPr>
              <w:spacing w:line="360" w:lineRule="auto"/>
              <w:jc w:val="center"/>
              <w:rPr>
                <w:sz w:val="18"/>
                <w:szCs w:val="18"/>
              </w:rPr>
            </w:pPr>
            <w:r>
              <w:rPr>
                <w:rFonts w:hAnsi="宋体"/>
                <w:sz w:val="18"/>
                <w:szCs w:val="18"/>
              </w:rPr>
              <w:t>电压等级</w:t>
            </w:r>
          </w:p>
          <w:p>
            <w:pPr>
              <w:spacing w:line="360" w:lineRule="auto"/>
              <w:jc w:val="center"/>
              <w:rPr>
                <w:sz w:val="18"/>
                <w:szCs w:val="18"/>
              </w:rPr>
            </w:pPr>
            <w:r>
              <w:rPr>
                <w:sz w:val="18"/>
                <w:szCs w:val="18"/>
              </w:rPr>
              <w:t>(kV)</w:t>
            </w:r>
          </w:p>
        </w:tc>
        <w:tc>
          <w:tcPr>
            <w:tcW w:w="1467" w:type="dxa"/>
            <w:vAlign w:val="center"/>
          </w:tcPr>
          <w:p>
            <w:pPr>
              <w:spacing w:line="360" w:lineRule="auto"/>
              <w:jc w:val="center"/>
              <w:rPr>
                <w:sz w:val="18"/>
                <w:szCs w:val="18"/>
              </w:rPr>
            </w:pPr>
            <w:r>
              <w:rPr>
                <w:rFonts w:hAnsi="宋体"/>
                <w:sz w:val="18"/>
                <w:szCs w:val="18"/>
              </w:rPr>
              <w:t>二次绕组编号</w:t>
            </w:r>
          </w:p>
        </w:tc>
        <w:tc>
          <w:tcPr>
            <w:tcW w:w="1467" w:type="dxa"/>
            <w:vAlign w:val="center"/>
          </w:tcPr>
          <w:p>
            <w:pPr>
              <w:spacing w:line="360" w:lineRule="auto"/>
              <w:jc w:val="center"/>
              <w:rPr>
                <w:sz w:val="18"/>
                <w:szCs w:val="18"/>
              </w:rPr>
            </w:pPr>
            <w:r>
              <w:rPr>
                <w:rFonts w:hAnsi="宋体"/>
                <w:sz w:val="18"/>
                <w:szCs w:val="18"/>
              </w:rPr>
              <w:t>二次额定电压</w:t>
            </w:r>
            <w:r>
              <w:rPr>
                <w:sz w:val="18"/>
                <w:szCs w:val="18"/>
              </w:rPr>
              <w:t>(V)</w:t>
            </w:r>
          </w:p>
        </w:tc>
        <w:tc>
          <w:tcPr>
            <w:tcW w:w="1467" w:type="dxa"/>
            <w:vAlign w:val="center"/>
          </w:tcPr>
          <w:p>
            <w:pPr>
              <w:spacing w:line="360" w:lineRule="auto"/>
              <w:jc w:val="center"/>
              <w:rPr>
                <w:sz w:val="18"/>
                <w:szCs w:val="18"/>
              </w:rPr>
            </w:pPr>
            <w:r>
              <w:rPr>
                <w:rFonts w:hAnsi="宋体"/>
                <w:sz w:val="18"/>
                <w:szCs w:val="18"/>
              </w:rPr>
              <w:t>额定容量</w:t>
            </w:r>
          </w:p>
          <w:p>
            <w:pPr>
              <w:spacing w:line="360" w:lineRule="auto"/>
              <w:jc w:val="center"/>
              <w:rPr>
                <w:sz w:val="18"/>
                <w:szCs w:val="18"/>
              </w:rPr>
            </w:pPr>
            <w:r>
              <w:rPr>
                <w:sz w:val="18"/>
                <w:szCs w:val="18"/>
              </w:rPr>
              <w:t>( VA)</w:t>
            </w:r>
          </w:p>
        </w:tc>
        <w:tc>
          <w:tcPr>
            <w:tcW w:w="2429" w:type="dxa"/>
            <w:vAlign w:val="center"/>
          </w:tcPr>
          <w:p>
            <w:pPr>
              <w:spacing w:line="360" w:lineRule="auto"/>
              <w:jc w:val="center"/>
              <w:rPr>
                <w:sz w:val="18"/>
                <w:szCs w:val="18"/>
              </w:rPr>
            </w:pPr>
            <w:r>
              <w:rPr>
                <w:rFonts w:hAnsi="宋体"/>
                <w:sz w:val="18"/>
                <w:szCs w:val="18"/>
              </w:rPr>
              <w:t>准确度</w:t>
            </w:r>
          </w:p>
          <w:p>
            <w:pPr>
              <w:spacing w:line="360" w:lineRule="auto"/>
              <w:rPr>
                <w:sz w:val="18"/>
                <w:szCs w:val="18"/>
              </w:rPr>
            </w:pPr>
            <w:r>
              <w:rPr>
                <w:sz w:val="18"/>
                <w:szCs w:val="18"/>
              </w:rPr>
              <w:t>(</w:t>
            </w:r>
            <w:r>
              <w:rPr>
                <w:rFonts w:hAnsi="宋体"/>
                <w:sz w:val="18"/>
                <w:szCs w:val="18"/>
              </w:rPr>
              <w:t>功率因数为</w:t>
            </w:r>
            <w:r>
              <w:rPr>
                <w:sz w:val="18"/>
                <w:szCs w:val="18"/>
              </w:rPr>
              <w:t>0.8(</w:t>
            </w:r>
            <w:r>
              <w:rPr>
                <w:rFonts w:hAnsi="宋体"/>
                <w:sz w:val="18"/>
                <w:szCs w:val="18"/>
              </w:rPr>
              <w:t>滞后</w:t>
            </w:r>
            <w:r>
              <w:rPr>
                <w:sz w:val="18"/>
                <w:szCs w:val="18"/>
              </w:rPr>
              <w:t>)</w:t>
            </w:r>
            <w:r>
              <w:rPr>
                <w:rFonts w:hAnsi="宋体"/>
                <w:sz w:val="18"/>
                <w:szCs w:val="18"/>
              </w:rPr>
              <w:t>时</w:t>
            </w:r>
            <w:r>
              <w:rPr>
                <w:sz w:val="18"/>
                <w:szCs w:val="18"/>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1467" w:type="dxa"/>
            <w:vMerge w:val="restart"/>
            <w:vAlign w:val="center"/>
          </w:tcPr>
          <w:p>
            <w:pPr>
              <w:spacing w:line="360" w:lineRule="auto"/>
              <w:jc w:val="center"/>
              <w:rPr>
                <w:sz w:val="18"/>
                <w:szCs w:val="18"/>
              </w:rPr>
            </w:pPr>
            <w:r>
              <w:rPr>
                <w:rFonts w:hint="eastAsia"/>
                <w:sz w:val="18"/>
                <w:szCs w:val="18"/>
              </w:rPr>
              <w:t>10</w:t>
            </w:r>
            <w:r>
              <w:rPr>
                <w:sz w:val="18"/>
                <w:szCs w:val="18"/>
              </w:rPr>
              <w:t>kV</w:t>
            </w:r>
            <w:r>
              <w:rPr>
                <w:rFonts w:hAnsi="宋体"/>
                <w:sz w:val="18"/>
                <w:szCs w:val="18"/>
              </w:rPr>
              <w:t>母线型</w:t>
            </w:r>
          </w:p>
        </w:tc>
        <w:tc>
          <w:tcPr>
            <w:tcW w:w="1467" w:type="dxa"/>
            <w:vAlign w:val="center"/>
          </w:tcPr>
          <w:p>
            <w:pPr>
              <w:spacing w:line="360" w:lineRule="auto"/>
              <w:jc w:val="center"/>
              <w:rPr>
                <w:sz w:val="18"/>
                <w:szCs w:val="18"/>
              </w:rPr>
            </w:pPr>
            <w:r>
              <w:rPr>
                <w:sz w:val="18"/>
                <w:szCs w:val="18"/>
              </w:rPr>
              <w:t>1</w:t>
            </w:r>
            <w:r>
              <w:rPr>
                <w:rFonts w:hAnsi="宋体"/>
                <w:sz w:val="18"/>
                <w:szCs w:val="18"/>
              </w:rPr>
              <w:t>号绕组</w:t>
            </w:r>
          </w:p>
        </w:tc>
        <w:tc>
          <w:tcPr>
            <w:tcW w:w="1467" w:type="dxa"/>
            <w:vAlign w:val="center"/>
          </w:tcPr>
          <w:p>
            <w:pPr>
              <w:spacing w:line="360" w:lineRule="auto"/>
              <w:jc w:val="center"/>
              <w:rPr>
                <w:sz w:val="18"/>
                <w:szCs w:val="18"/>
              </w:rPr>
            </w:pPr>
            <w:r>
              <w:rPr>
                <w:sz w:val="18"/>
                <w:szCs w:val="18"/>
              </w:rPr>
              <w:t>100/</w:t>
            </w:r>
            <w:r>
              <w:rPr>
                <w:position w:val="-8"/>
                <w:sz w:val="18"/>
                <w:szCs w:val="18"/>
              </w:rPr>
              <w:object>
                <v:shape id="_x0000_i1027" o:spt="75" type="#_x0000_t75" style="height:14.5pt;width:18pt;" o:ole="t" fillcolor="#FFFFFF" filled="f" o:preferrelative="t" stroked="f" coordsize="21600,21600">
                  <v:path/>
                  <v:fill on="f" focussize="0,0"/>
                  <v:stroke on="f" joinstyle="miter"/>
                  <v:imagedata r:id="rId15" o:title=""/>
                  <o:lock v:ext="edit" aspectratio="t"/>
                  <w10:wrap type="none"/>
                  <w10:anchorlock/>
                </v:shape>
                <o:OLEObject Type="Embed" ProgID="Equation.3" ShapeID="_x0000_i1027" DrawAspect="Content" ObjectID="_1468075727" r:id="rId17">
                  <o:LockedField>false</o:LockedField>
                </o:OLEObject>
              </w:object>
            </w:r>
          </w:p>
        </w:tc>
        <w:tc>
          <w:tcPr>
            <w:tcW w:w="1467" w:type="dxa"/>
            <w:vAlign w:val="center"/>
          </w:tcPr>
          <w:p>
            <w:pPr>
              <w:spacing w:line="360" w:lineRule="auto"/>
              <w:jc w:val="center"/>
              <w:rPr>
                <w:sz w:val="18"/>
                <w:szCs w:val="18"/>
              </w:rPr>
            </w:pPr>
          </w:p>
        </w:tc>
        <w:tc>
          <w:tcPr>
            <w:tcW w:w="2429" w:type="dxa"/>
            <w:vAlign w:val="center"/>
          </w:tcPr>
          <w:p>
            <w:pPr>
              <w:spacing w:line="360" w:lineRule="auto"/>
              <w:jc w:val="center"/>
              <w:rPr>
                <w:sz w:val="18"/>
                <w:szCs w:val="18"/>
              </w:rPr>
            </w:pPr>
            <w:r>
              <w:rPr>
                <w:sz w:val="18"/>
                <w:szCs w:val="18"/>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76" w:hRule="atLeast"/>
        </w:trPr>
        <w:tc>
          <w:tcPr>
            <w:tcW w:w="1467" w:type="dxa"/>
            <w:vMerge w:val="continue"/>
            <w:vAlign w:val="center"/>
          </w:tcPr>
          <w:p>
            <w:pPr>
              <w:spacing w:line="360" w:lineRule="auto"/>
              <w:jc w:val="center"/>
              <w:rPr>
                <w:sz w:val="18"/>
                <w:szCs w:val="18"/>
              </w:rPr>
            </w:pPr>
          </w:p>
        </w:tc>
        <w:tc>
          <w:tcPr>
            <w:tcW w:w="1467" w:type="dxa"/>
            <w:vAlign w:val="center"/>
          </w:tcPr>
          <w:p>
            <w:pPr>
              <w:spacing w:line="360" w:lineRule="auto"/>
              <w:jc w:val="center"/>
              <w:rPr>
                <w:sz w:val="18"/>
                <w:szCs w:val="18"/>
              </w:rPr>
            </w:pPr>
            <w:r>
              <w:rPr>
                <w:sz w:val="18"/>
                <w:szCs w:val="18"/>
              </w:rPr>
              <w:t>2</w:t>
            </w:r>
            <w:r>
              <w:rPr>
                <w:rFonts w:hAnsi="宋体"/>
                <w:sz w:val="18"/>
                <w:szCs w:val="18"/>
              </w:rPr>
              <w:t>号绕组</w:t>
            </w:r>
          </w:p>
        </w:tc>
        <w:tc>
          <w:tcPr>
            <w:tcW w:w="1467" w:type="dxa"/>
            <w:vAlign w:val="center"/>
          </w:tcPr>
          <w:p>
            <w:pPr>
              <w:spacing w:line="360" w:lineRule="auto"/>
              <w:jc w:val="center"/>
              <w:rPr>
                <w:sz w:val="18"/>
                <w:szCs w:val="18"/>
              </w:rPr>
            </w:pPr>
            <w:r>
              <w:rPr>
                <w:sz w:val="18"/>
                <w:szCs w:val="18"/>
              </w:rPr>
              <w:t>100/</w:t>
            </w:r>
            <w:r>
              <w:rPr>
                <w:position w:val="-8"/>
                <w:sz w:val="18"/>
                <w:szCs w:val="18"/>
              </w:rPr>
              <w:object>
                <v:shape id="_x0000_i1028" o:spt="75" type="#_x0000_t75" style="height:14.5pt;width:18pt;" o:ole="t" fillcolor="#FFFFFF" filled="f" o:preferrelative="t" stroked="f" coordsize="21600,21600">
                  <v:path/>
                  <v:fill on="f" focussize="0,0"/>
                  <v:stroke on="f" joinstyle="miter"/>
                  <v:imagedata r:id="rId15" o:title=""/>
                  <o:lock v:ext="edit" aspectratio="t"/>
                  <w10:wrap type="none"/>
                  <w10:anchorlock/>
                </v:shape>
                <o:OLEObject Type="Embed" ProgID="Equation.3" ShapeID="_x0000_i1028" DrawAspect="Content" ObjectID="_1468075728" r:id="rId18">
                  <o:LockedField>false</o:LockedField>
                </o:OLEObject>
              </w:object>
            </w:r>
          </w:p>
        </w:tc>
        <w:tc>
          <w:tcPr>
            <w:tcW w:w="1467" w:type="dxa"/>
            <w:vAlign w:val="center"/>
          </w:tcPr>
          <w:p>
            <w:pPr>
              <w:spacing w:line="360" w:lineRule="auto"/>
              <w:jc w:val="center"/>
              <w:rPr>
                <w:sz w:val="18"/>
                <w:szCs w:val="18"/>
              </w:rPr>
            </w:pPr>
          </w:p>
        </w:tc>
        <w:tc>
          <w:tcPr>
            <w:tcW w:w="2429" w:type="dxa"/>
            <w:vAlign w:val="center"/>
          </w:tcPr>
          <w:p>
            <w:pPr>
              <w:spacing w:line="360" w:lineRule="auto"/>
              <w:jc w:val="center"/>
              <w:rPr>
                <w:sz w:val="18"/>
                <w:szCs w:val="18"/>
              </w:rPr>
            </w:pPr>
            <w:r>
              <w:rPr>
                <w:sz w:val="18"/>
                <w:szCs w:val="18"/>
              </w:rPr>
              <w:t>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06" w:hRule="atLeast"/>
        </w:trPr>
        <w:tc>
          <w:tcPr>
            <w:tcW w:w="1467" w:type="dxa"/>
            <w:vMerge w:val="continue"/>
            <w:vAlign w:val="center"/>
          </w:tcPr>
          <w:p>
            <w:pPr>
              <w:spacing w:line="360" w:lineRule="auto"/>
              <w:jc w:val="center"/>
              <w:rPr>
                <w:sz w:val="18"/>
                <w:szCs w:val="18"/>
              </w:rPr>
            </w:pPr>
          </w:p>
        </w:tc>
        <w:tc>
          <w:tcPr>
            <w:tcW w:w="1467" w:type="dxa"/>
            <w:vAlign w:val="center"/>
          </w:tcPr>
          <w:p>
            <w:pPr>
              <w:spacing w:line="360" w:lineRule="auto"/>
              <w:jc w:val="center"/>
              <w:rPr>
                <w:sz w:val="18"/>
                <w:szCs w:val="18"/>
              </w:rPr>
            </w:pPr>
            <w:r>
              <w:rPr>
                <w:sz w:val="18"/>
                <w:szCs w:val="18"/>
              </w:rPr>
              <w:t>3</w:t>
            </w:r>
            <w:r>
              <w:rPr>
                <w:rFonts w:hAnsi="宋体"/>
                <w:sz w:val="18"/>
                <w:szCs w:val="18"/>
              </w:rPr>
              <w:t>号绕组</w:t>
            </w:r>
          </w:p>
        </w:tc>
        <w:tc>
          <w:tcPr>
            <w:tcW w:w="1467" w:type="dxa"/>
            <w:vAlign w:val="center"/>
          </w:tcPr>
          <w:p>
            <w:pPr>
              <w:spacing w:line="360" w:lineRule="auto"/>
              <w:jc w:val="center"/>
              <w:rPr>
                <w:sz w:val="18"/>
                <w:szCs w:val="18"/>
              </w:rPr>
            </w:pPr>
            <w:r>
              <w:rPr>
                <w:sz w:val="18"/>
                <w:szCs w:val="18"/>
              </w:rPr>
              <w:t>100/</w:t>
            </w:r>
            <w:r>
              <w:rPr>
                <w:rFonts w:hint="eastAsia"/>
                <w:sz w:val="18"/>
                <w:szCs w:val="18"/>
              </w:rPr>
              <w:t>3</w:t>
            </w:r>
          </w:p>
        </w:tc>
        <w:tc>
          <w:tcPr>
            <w:tcW w:w="1467" w:type="dxa"/>
            <w:vAlign w:val="center"/>
          </w:tcPr>
          <w:p>
            <w:pPr>
              <w:spacing w:line="360" w:lineRule="auto"/>
              <w:jc w:val="center"/>
              <w:rPr>
                <w:sz w:val="18"/>
                <w:szCs w:val="18"/>
              </w:rPr>
            </w:pPr>
          </w:p>
        </w:tc>
        <w:tc>
          <w:tcPr>
            <w:tcW w:w="2429" w:type="dxa"/>
            <w:vAlign w:val="center"/>
          </w:tcPr>
          <w:p>
            <w:pPr>
              <w:spacing w:line="360" w:lineRule="auto"/>
              <w:jc w:val="center"/>
              <w:rPr>
                <w:sz w:val="18"/>
                <w:szCs w:val="18"/>
              </w:rPr>
            </w:pPr>
            <w:r>
              <w:rPr>
                <w:rFonts w:hint="eastAsia"/>
                <w:sz w:val="18"/>
                <w:szCs w:val="18"/>
                <w:lang w:val="en-US" w:eastAsia="zh-CN"/>
              </w:rPr>
              <w:t>3</w:t>
            </w:r>
            <w:r>
              <w:rPr>
                <w:sz w:val="18"/>
                <w:szCs w:val="18"/>
              </w:rPr>
              <w:t>P</w:t>
            </w:r>
          </w:p>
        </w:tc>
      </w:tr>
    </w:tbl>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5.1.5 温升限值</w:t>
      </w:r>
    </w:p>
    <w:p>
      <w:pPr>
        <w:spacing w:line="360" w:lineRule="auto"/>
        <w:ind w:firstLine="420" w:firstLineChars="200"/>
        <w:rPr>
          <w:rFonts w:cs="宋体"/>
          <w:szCs w:val="20"/>
        </w:rPr>
      </w:pPr>
      <w:r>
        <w:rPr>
          <w:rFonts w:cs="宋体"/>
          <w:szCs w:val="20"/>
        </w:rPr>
        <w:t>在额定电压、额定频率和最大额定负荷下，cosΦ=1时，所有绕组的温升均不允许超过50K。</w:t>
      </w:r>
    </w:p>
    <w:p>
      <w:pPr>
        <w:autoSpaceDE w:val="0"/>
        <w:autoSpaceDN w:val="0"/>
        <w:adjustRightInd w:val="0"/>
        <w:spacing w:line="360" w:lineRule="auto"/>
        <w:ind w:firstLine="360" w:firstLineChars="200"/>
        <w:jc w:val="left"/>
        <w:rPr>
          <w:rFonts w:cs="宋体"/>
          <w:kern w:val="0"/>
          <w:sz w:val="18"/>
          <w:szCs w:val="18"/>
        </w:rPr>
      </w:pPr>
      <w:r>
        <w:rPr>
          <w:rFonts w:hint="eastAsia"/>
          <w:kern w:val="0"/>
          <w:sz w:val="18"/>
          <w:szCs w:val="18"/>
        </w:rPr>
        <w:t>注：高海拔地区需进行修正。</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5.1.6 短路承受能力</w:t>
      </w:r>
    </w:p>
    <w:p>
      <w:pPr>
        <w:spacing w:line="360" w:lineRule="auto"/>
        <w:ind w:firstLine="420" w:firstLineChars="200"/>
        <w:rPr>
          <w:rFonts w:cs="宋体"/>
          <w:szCs w:val="20"/>
        </w:rPr>
      </w:pPr>
      <w:r>
        <w:rPr>
          <w:rFonts w:cs="宋体"/>
          <w:szCs w:val="20"/>
        </w:rPr>
        <w:t>当互感器在额定电压励磁时，应能承受1</w:t>
      </w:r>
      <w:r>
        <w:rPr>
          <w:rFonts w:hint="eastAsia" w:cs="宋体"/>
          <w:szCs w:val="20"/>
        </w:rPr>
        <w:t>秒</w:t>
      </w:r>
      <w:r>
        <w:rPr>
          <w:rFonts w:cs="宋体"/>
          <w:szCs w:val="20"/>
        </w:rPr>
        <w:t>短路的机械效应和热效应而无损伤。</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5.1.7 无线电干扰电压（RIV）要求</w:t>
      </w:r>
    </w:p>
    <w:p>
      <w:pPr>
        <w:spacing w:line="360" w:lineRule="auto"/>
        <w:ind w:firstLine="420" w:firstLineChars="200"/>
        <w:rPr>
          <w:rFonts w:hAnsi="宋体"/>
          <w:szCs w:val="21"/>
        </w:rPr>
      </w:pPr>
      <w:r>
        <w:rPr>
          <w:rFonts w:hint="eastAsia" w:hAnsi="宋体"/>
          <w:szCs w:val="21"/>
        </w:rPr>
        <w:t>要求在1.1Um/</w:t>
      </w:r>
      <w:r>
        <w:rPr>
          <w:rFonts w:hAnsi="宋体"/>
          <w:position w:val="-8"/>
          <w:szCs w:val="21"/>
        </w:rPr>
        <w:object>
          <v:shape id="_x0000_i1029" o:spt="75" type="#_x0000_t75" style="height:14.5pt;width:18pt;" o:ole="t" fillcolor="#FFFFFF"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hAnsi="宋体"/>
          <w:szCs w:val="21"/>
        </w:rPr>
        <w:t>电压下测量的无线电干扰电压值应不大于500μV。</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5.1.8 传递过电压</w:t>
      </w:r>
    </w:p>
    <w:p>
      <w:pPr>
        <w:spacing w:line="360" w:lineRule="auto"/>
        <w:ind w:firstLine="420" w:firstLineChars="200"/>
        <w:rPr>
          <w:rFonts w:hAnsi="宋体"/>
          <w:szCs w:val="21"/>
        </w:rPr>
      </w:pPr>
      <w:r>
        <w:rPr>
          <w:rFonts w:hint="eastAsia" w:hAnsi="宋体"/>
          <w:szCs w:val="21"/>
        </w:rPr>
        <w:t>由一次传递到二次的过电压值应符合GB1207-2006的要求。</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5.1.9 暂态响应</w:t>
      </w:r>
    </w:p>
    <w:p>
      <w:pPr>
        <w:spacing w:line="360" w:lineRule="auto"/>
        <w:ind w:firstLine="420" w:firstLineChars="200"/>
        <w:rPr>
          <w:rFonts w:hAnsi="宋体"/>
          <w:szCs w:val="21"/>
        </w:rPr>
      </w:pPr>
      <w:r>
        <w:rPr>
          <w:rFonts w:hAnsi="宋体"/>
          <w:szCs w:val="21"/>
        </w:rPr>
        <w:t>当电压互感器担负功率因数为</w:t>
      </w:r>
      <w:r>
        <w:rPr>
          <w:szCs w:val="21"/>
        </w:rPr>
        <w:t>0.8(</w:t>
      </w:r>
      <w:r>
        <w:rPr>
          <w:rFonts w:hAnsi="宋体"/>
          <w:szCs w:val="21"/>
        </w:rPr>
        <w:t>滞后</w:t>
      </w:r>
      <w:r>
        <w:rPr>
          <w:szCs w:val="21"/>
        </w:rPr>
        <w:t>)</w:t>
      </w:r>
      <w:r>
        <w:rPr>
          <w:rFonts w:hAnsi="宋体"/>
          <w:szCs w:val="21"/>
        </w:rPr>
        <w:t>的负载达</w:t>
      </w:r>
      <w:r>
        <w:rPr>
          <w:szCs w:val="21"/>
        </w:rPr>
        <w:t>25</w:t>
      </w:r>
      <w:r>
        <w:rPr>
          <w:rFonts w:hint="eastAsia" w:hAnsi="宋体"/>
          <w:szCs w:val="21"/>
        </w:rPr>
        <w:t>－</w:t>
      </w:r>
      <w:r>
        <w:rPr>
          <w:szCs w:val="21"/>
        </w:rPr>
        <w:t>100%</w:t>
      </w:r>
      <w:r>
        <w:rPr>
          <w:rFonts w:hAnsi="宋体"/>
          <w:szCs w:val="21"/>
        </w:rPr>
        <w:t>时，高压端在额定电压下发生对接地端子短路后，二次侧输出电压将衰减，并在额定频率一</w:t>
      </w:r>
      <w:r>
        <w:rPr>
          <w:rFonts w:hint="eastAsia" w:hAnsi="宋体"/>
          <w:szCs w:val="21"/>
        </w:rPr>
        <w:t>个</w:t>
      </w:r>
      <w:r>
        <w:rPr>
          <w:rFonts w:hAnsi="宋体"/>
          <w:szCs w:val="21"/>
        </w:rPr>
        <w:t>周波之内达到小于短路前电压峰值的</w:t>
      </w:r>
      <w:r>
        <w:rPr>
          <w:szCs w:val="21"/>
        </w:rPr>
        <w:t>10%</w:t>
      </w:r>
      <w:r>
        <w:rPr>
          <w:rFonts w:hAnsi="宋体"/>
          <w:szCs w:val="21"/>
        </w:rPr>
        <w:t>。</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5.1.10 励磁特性要求</w:t>
      </w:r>
    </w:p>
    <w:p>
      <w:pPr>
        <w:pStyle w:val="58"/>
        <w:adjustRightInd w:val="0"/>
        <w:snapToGrid w:val="0"/>
        <w:spacing w:line="360" w:lineRule="auto"/>
        <w:ind w:firstLine="420"/>
        <w:rPr>
          <w:rFonts w:ascii="Times New Roman"/>
          <w:szCs w:val="21"/>
        </w:rPr>
      </w:pPr>
      <w:r>
        <w:rPr>
          <w:rFonts w:hint="eastAsia" w:ascii="Times New Roman" w:hAnsi="宋体"/>
          <w:szCs w:val="21"/>
        </w:rPr>
        <w:t>对电磁式电压互感器应校核励磁特性曲线。对于额定电压测量点（</w:t>
      </w:r>
      <w:r>
        <w:rPr>
          <w:rFonts w:hint="eastAsia" w:ascii="Times New Roman"/>
          <w:szCs w:val="21"/>
        </w:rPr>
        <w:t>100%</w:t>
      </w:r>
      <w:r>
        <w:rPr>
          <w:rFonts w:hint="eastAsia" w:ascii="Times New Roman" w:hAnsi="宋体"/>
          <w:szCs w:val="21"/>
        </w:rPr>
        <w:t>），励磁电流不宜大于其出厂试验报告和型式试验报告测量值的</w:t>
      </w:r>
      <w:r>
        <w:rPr>
          <w:rFonts w:hint="eastAsia" w:ascii="Times New Roman"/>
          <w:szCs w:val="21"/>
        </w:rPr>
        <w:t>30%</w:t>
      </w:r>
      <w:r>
        <w:rPr>
          <w:rFonts w:hint="eastAsia" w:ascii="Times New Roman" w:hAnsi="宋体"/>
          <w:szCs w:val="21"/>
        </w:rPr>
        <w:t>，同批同型号、同规格电压互感器此点的励磁电流不宜相差</w:t>
      </w:r>
      <w:r>
        <w:rPr>
          <w:rFonts w:hint="eastAsia" w:ascii="Times New Roman"/>
          <w:szCs w:val="21"/>
        </w:rPr>
        <w:t>30%</w:t>
      </w:r>
      <w:r>
        <w:rPr>
          <w:rFonts w:hint="eastAsia" w:ascii="Times New Roman" w:hAnsi="宋体"/>
          <w:szCs w:val="21"/>
        </w:rPr>
        <w:t>。</w:t>
      </w:r>
    </w:p>
    <w:p>
      <w:pPr>
        <w:pStyle w:val="3"/>
        <w:numPr>
          <w:ilvl w:val="0"/>
          <w:numId w:val="0"/>
        </w:numPr>
        <w:spacing w:before="156" w:beforeLines="50"/>
        <w:rPr>
          <w:rFonts w:ascii="黑体" w:eastAsia="黑体"/>
        </w:rPr>
      </w:pPr>
      <w:bookmarkStart w:id="35" w:name="_Toc423550167"/>
      <w:r>
        <w:rPr>
          <w:rFonts w:hint="eastAsia" w:ascii="黑体" w:eastAsia="黑体"/>
        </w:rPr>
        <w:t>5.2设计与结构要求</w:t>
      </w:r>
      <w:bookmarkEnd w:id="30"/>
      <w:bookmarkEnd w:id="31"/>
      <w:bookmarkEnd w:id="35"/>
    </w:p>
    <w:p>
      <w:pPr>
        <w:pStyle w:val="58"/>
        <w:adjustRightInd w:val="0"/>
        <w:snapToGrid w:val="0"/>
        <w:spacing w:line="360" w:lineRule="auto"/>
        <w:ind w:firstLine="0" w:firstLineChars="0"/>
        <w:rPr>
          <w:rFonts w:ascii="Times New Roman"/>
          <w:szCs w:val="21"/>
        </w:rPr>
      </w:pPr>
      <w:bookmarkStart w:id="36" w:name="_Toc276492385"/>
      <w:r>
        <w:rPr>
          <w:rFonts w:hint="eastAsia" w:ascii="Times New Roman"/>
          <w:szCs w:val="21"/>
        </w:rPr>
        <w:t xml:space="preserve">    </w:t>
      </w:r>
      <w:r>
        <w:rPr>
          <w:rFonts w:hint="eastAsia" w:ascii="Times New Roman" w:hAnsi="宋体"/>
          <w:szCs w:val="21"/>
        </w:rPr>
        <w:t>互感器的各零、部件装配应牢固无松动，位置端正，无歪扭倾斜现象。铭牌及一、二次接线端子应标识正确，清晰。互感器所有暴露在空气中的金属件应有包覆有良好防腐蚀性能的漆层或镀层。</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5.2.5 接线端子及二次端子盒</w:t>
      </w:r>
    </w:p>
    <w:p>
      <w:pPr>
        <w:pStyle w:val="58"/>
        <w:spacing w:line="360" w:lineRule="auto"/>
        <w:ind w:firstLine="0" w:firstLineChars="0"/>
        <w:rPr>
          <w:rFonts w:ascii="Times New Roman" w:hAnsi="宋体"/>
          <w:kern w:val="2"/>
          <w:szCs w:val="21"/>
        </w:rPr>
      </w:pPr>
      <w:r>
        <w:rPr>
          <w:rFonts w:hint="eastAsia" w:ascii="Times New Roman" w:hAnsi="宋体"/>
          <w:kern w:val="2"/>
          <w:szCs w:val="21"/>
        </w:rPr>
        <w:t>5.2.5.1 一次接线端子</w:t>
      </w:r>
    </w:p>
    <w:p>
      <w:pPr>
        <w:pStyle w:val="58"/>
        <w:spacing w:line="360" w:lineRule="auto"/>
        <w:ind w:firstLine="420"/>
        <w:rPr>
          <w:rFonts w:ascii="Times New Roman"/>
          <w:szCs w:val="21"/>
        </w:rPr>
      </w:pPr>
      <w:r>
        <w:rPr>
          <w:rFonts w:hint="eastAsia" w:ascii="Times New Roman"/>
          <w:szCs w:val="21"/>
        </w:rPr>
        <w:t>1）</w:t>
      </w:r>
      <w:r>
        <w:rPr>
          <w:rFonts w:ascii="Times New Roman" w:hAnsi="宋体"/>
          <w:szCs w:val="21"/>
        </w:rPr>
        <w:t>接线端子盒与单台互感器组成一体，厂方应供给连接母线用的全部紧固件（螺栓、螺帽及防松垫圈）一次接线端子应铜或铜合金制成及，并报覆有可靠的防锈镀层和防松措施。一次出线端子及紧固零件应有可靠的防锈镀锡层。</w:t>
      </w:r>
    </w:p>
    <w:p>
      <w:pPr>
        <w:spacing w:line="360" w:lineRule="auto"/>
        <w:ind w:firstLine="420" w:firstLineChars="200"/>
        <w:rPr>
          <w:szCs w:val="21"/>
        </w:rPr>
      </w:pPr>
      <w:r>
        <w:rPr>
          <w:rFonts w:hint="eastAsia"/>
          <w:szCs w:val="21"/>
        </w:rPr>
        <w:t>2）</w:t>
      </w:r>
      <w:r>
        <w:rPr>
          <w:rFonts w:hAnsi="宋体"/>
          <w:szCs w:val="21"/>
        </w:rPr>
        <w:t>一次接线端子应采用单片平板式接线板</w:t>
      </w:r>
      <w:r>
        <w:rPr>
          <w:szCs w:val="21"/>
        </w:rPr>
        <w:t xml:space="preserve">, </w:t>
      </w:r>
      <w:r>
        <w:rPr>
          <w:rFonts w:hAnsi="宋体"/>
          <w:szCs w:val="21"/>
        </w:rPr>
        <w:t>应设计为防电晕式。若采用高强螺栓连接，应提供紧固扭矩的要求。厂方须在图纸中标明接线板的材料及结构形式、厚度。接线板应能承受技术规范的机械强度要求，接线板具体细节应在图纸中加以说明</w:t>
      </w:r>
      <w:r>
        <w:rPr>
          <w:rFonts w:hint="eastAsia" w:hAnsi="宋体"/>
          <w:szCs w:val="21"/>
        </w:rPr>
        <w:t>。</w:t>
      </w:r>
    </w:p>
    <w:p>
      <w:pPr>
        <w:pStyle w:val="58"/>
        <w:spacing w:line="360" w:lineRule="auto"/>
        <w:ind w:firstLine="0" w:firstLineChars="0"/>
        <w:rPr>
          <w:rFonts w:ascii="Times New Roman" w:hAnsi="宋体"/>
          <w:kern w:val="2"/>
          <w:szCs w:val="21"/>
        </w:rPr>
      </w:pPr>
      <w:r>
        <w:rPr>
          <w:rFonts w:hint="eastAsia" w:ascii="Times New Roman" w:hAnsi="宋体"/>
          <w:kern w:val="2"/>
          <w:szCs w:val="21"/>
        </w:rPr>
        <w:t>5.2.5.2 二次接线端子</w:t>
      </w:r>
    </w:p>
    <w:p>
      <w:pPr>
        <w:autoSpaceDE w:val="0"/>
        <w:autoSpaceDN w:val="0"/>
        <w:adjustRightInd w:val="0"/>
        <w:spacing w:line="360" w:lineRule="auto"/>
        <w:ind w:firstLine="420" w:firstLineChars="200"/>
        <w:jc w:val="left"/>
        <w:rPr>
          <w:szCs w:val="21"/>
        </w:rPr>
      </w:pPr>
      <w:r>
        <w:rPr>
          <w:rFonts w:hint="eastAsia"/>
          <w:szCs w:val="21"/>
        </w:rPr>
        <w:t>1）</w:t>
      </w:r>
      <w:r>
        <w:rPr>
          <w:szCs w:val="21"/>
        </w:rPr>
        <w:t>互感器的二次回路全部引接至接线端子盒，引线截面至少为</w:t>
      </w:r>
      <w:r>
        <w:rPr>
          <w:rFonts w:hint="eastAsia"/>
          <w:szCs w:val="21"/>
        </w:rPr>
        <w:t>6</w:t>
      </w:r>
      <w:r>
        <w:rPr>
          <w:szCs w:val="21"/>
        </w:rPr>
        <w:t>mm</w:t>
      </w:r>
      <w:r>
        <w:rPr>
          <w:szCs w:val="21"/>
          <w:vertAlign w:val="superscript"/>
        </w:rPr>
        <w:t>2</w:t>
      </w:r>
      <w:r>
        <w:rPr>
          <w:szCs w:val="21"/>
        </w:rPr>
        <w:t>。</w:t>
      </w:r>
    </w:p>
    <w:p>
      <w:pPr>
        <w:pStyle w:val="99"/>
      </w:pPr>
      <w:r>
        <w:rPr>
          <w:rFonts w:hint="eastAsia"/>
        </w:rPr>
        <w:t>2）</w:t>
      </w:r>
      <w:r>
        <w:t>端子盒应为不生锈的金属材料，</w:t>
      </w:r>
      <w:r>
        <w:rPr>
          <w:rFonts w:hint="eastAsia" w:ascii="宋体" w:hAnsi="宋体"/>
        </w:rPr>
        <w:t>固定</w:t>
      </w:r>
      <w:r>
        <w:t>端子盒</w:t>
      </w:r>
      <w:r>
        <w:rPr>
          <w:rFonts w:hint="eastAsia" w:ascii="宋体" w:hAnsi="宋体"/>
        </w:rPr>
        <w:t>的盖子螺丝</w:t>
      </w:r>
      <w:r>
        <w:t>应为不生锈的金属材料</w:t>
      </w:r>
      <w:r>
        <w:rPr>
          <w:rFonts w:hint="eastAsia" w:ascii="宋体" w:hAnsi="宋体"/>
        </w:rPr>
        <w:t>，</w:t>
      </w:r>
      <w:r>
        <w:t>端子应防腐蚀防潮和阻燃，防护等级IP</w:t>
      </w:r>
      <w:r>
        <w:rPr>
          <w:rFonts w:hint="eastAsia"/>
        </w:rPr>
        <w:t>55</w:t>
      </w:r>
      <w:r>
        <w:t>。端子盒应便于外部电缆的引入，其开孔应能接入外径为45mm 的电缆，配密封电缆护套，并有足够的空间。</w:t>
      </w:r>
    </w:p>
    <w:p>
      <w:pPr>
        <w:autoSpaceDE w:val="0"/>
        <w:autoSpaceDN w:val="0"/>
        <w:adjustRightInd w:val="0"/>
        <w:spacing w:line="360" w:lineRule="auto"/>
        <w:ind w:firstLine="420" w:firstLineChars="200"/>
        <w:jc w:val="left"/>
        <w:rPr>
          <w:szCs w:val="21"/>
        </w:rPr>
      </w:pPr>
      <w:r>
        <w:rPr>
          <w:rFonts w:hint="eastAsia"/>
          <w:szCs w:val="21"/>
        </w:rPr>
        <w:t>3）</w:t>
      </w:r>
      <w:r>
        <w:rPr>
          <w:szCs w:val="21"/>
        </w:rPr>
        <w:t>端子盒内的端子和导线, 应能耐受70℃高温。</w:t>
      </w:r>
    </w:p>
    <w:p>
      <w:pPr>
        <w:autoSpaceDE w:val="0"/>
        <w:autoSpaceDN w:val="0"/>
        <w:adjustRightInd w:val="0"/>
        <w:spacing w:line="360" w:lineRule="auto"/>
        <w:ind w:firstLine="420" w:firstLineChars="200"/>
        <w:jc w:val="left"/>
        <w:rPr>
          <w:szCs w:val="21"/>
        </w:rPr>
      </w:pPr>
      <w:r>
        <w:rPr>
          <w:rFonts w:hint="eastAsia"/>
          <w:szCs w:val="21"/>
        </w:rPr>
        <w:t>4）</w:t>
      </w:r>
      <w:r>
        <w:rPr>
          <w:szCs w:val="21"/>
        </w:rPr>
        <w:t>端子排应为在端子与端子之间具有1000V绝缘隔层的模块式结构。每个端子应有标记片, 应配备带有绝缘套的压接式端接头。在同一个端子上, 不应与两根及以上引接线连接。每个端子应可以接入截面4mm</w:t>
      </w:r>
      <w:r>
        <w:rPr>
          <w:szCs w:val="21"/>
          <w:vertAlign w:val="superscript"/>
        </w:rPr>
        <w:t>2</w:t>
      </w:r>
      <w:r>
        <w:rPr>
          <w:szCs w:val="21"/>
        </w:rPr>
        <w:t>的电缆芯。二次出线端子螺杆直径不得小于6mm，应用铜或铜合金制成，并有可靠的防锈层。二次出线端子板防潮性能良好并具有防螺杆旋转措施。</w:t>
      </w:r>
    </w:p>
    <w:p>
      <w:pPr>
        <w:autoSpaceDE w:val="0"/>
        <w:autoSpaceDN w:val="0"/>
        <w:adjustRightInd w:val="0"/>
        <w:spacing w:line="360" w:lineRule="auto"/>
        <w:ind w:firstLine="420" w:firstLineChars="200"/>
        <w:jc w:val="left"/>
        <w:rPr>
          <w:szCs w:val="21"/>
        </w:rPr>
      </w:pPr>
      <w:r>
        <w:rPr>
          <w:rFonts w:hint="eastAsia"/>
          <w:szCs w:val="21"/>
        </w:rPr>
        <w:t>5）</w:t>
      </w:r>
      <w:r>
        <w:rPr>
          <w:szCs w:val="21"/>
        </w:rPr>
        <w:t>应防止端子连接件紧固部分的螺栓与螺母由于振动或发热而引起松动。</w:t>
      </w:r>
    </w:p>
    <w:p>
      <w:pPr>
        <w:autoSpaceDE w:val="0"/>
        <w:autoSpaceDN w:val="0"/>
        <w:adjustRightInd w:val="0"/>
        <w:spacing w:line="360" w:lineRule="auto"/>
        <w:ind w:firstLine="420" w:firstLineChars="200"/>
        <w:jc w:val="left"/>
        <w:rPr>
          <w:szCs w:val="21"/>
        </w:rPr>
      </w:pPr>
      <w:r>
        <w:rPr>
          <w:rFonts w:hint="eastAsia"/>
          <w:szCs w:val="21"/>
        </w:rPr>
        <w:t>6）</w:t>
      </w:r>
      <w:r>
        <w:rPr>
          <w:szCs w:val="21"/>
        </w:rPr>
        <w:t>所有端子及紧固件应有良好的防锈镀层，足够的机械强度和保持良好的接触面。</w:t>
      </w:r>
    </w:p>
    <w:p>
      <w:pPr>
        <w:autoSpaceDE w:val="0"/>
        <w:autoSpaceDN w:val="0"/>
        <w:adjustRightInd w:val="0"/>
        <w:spacing w:line="360" w:lineRule="auto"/>
        <w:ind w:firstLine="420" w:firstLineChars="200"/>
        <w:jc w:val="left"/>
        <w:rPr>
          <w:szCs w:val="21"/>
        </w:rPr>
      </w:pPr>
      <w:r>
        <w:rPr>
          <w:rFonts w:hint="eastAsia"/>
          <w:szCs w:val="21"/>
        </w:rPr>
        <w:t>7）接线端子盒应为整体浇注型。</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5.2.6 接地端子</w:t>
      </w:r>
    </w:p>
    <w:bookmarkEnd w:id="36"/>
    <w:p>
      <w:pPr>
        <w:autoSpaceDE w:val="0"/>
        <w:autoSpaceDN w:val="0"/>
        <w:adjustRightInd w:val="0"/>
        <w:spacing w:line="360" w:lineRule="auto"/>
        <w:ind w:firstLine="420" w:firstLineChars="200"/>
        <w:jc w:val="left"/>
        <w:rPr>
          <w:rFonts w:cs="宋体"/>
          <w:szCs w:val="21"/>
        </w:rPr>
      </w:pPr>
      <w:r>
        <w:rPr>
          <w:rFonts w:cs="宋体"/>
          <w:szCs w:val="21"/>
        </w:rPr>
        <w:t>互感器应配备表面镀锡的铜接地端子, 并配有与接地线连接用的接地螺钉，</w:t>
      </w:r>
      <w:r>
        <w:rPr>
          <w:rFonts w:hint="eastAsia" w:cs="宋体"/>
          <w:szCs w:val="21"/>
        </w:rPr>
        <w:t>其直径应不小于8mm，</w:t>
      </w:r>
      <w:r>
        <w:rPr>
          <w:rFonts w:cs="宋体"/>
          <w:szCs w:val="21"/>
        </w:rPr>
        <w:t>附近标有明显的接地符号“</w:t>
      </w:r>
      <w:r>
        <w:rPr>
          <w:rFonts w:cs="宋体"/>
          <w:szCs w:val="21"/>
        </w:rPr>
        <w:fldChar w:fldCharType="begin"/>
      </w:r>
      <w:r>
        <w:rPr>
          <w:rFonts w:cs="宋体"/>
          <w:szCs w:val="21"/>
        </w:rPr>
        <w:instrText xml:space="preserve"> eq \o(\s\do-4(</w:instrText>
      </w:r>
      <w:r>
        <w:rPr>
          <w:rFonts w:hint="eastAsia" w:cs="宋体"/>
          <w:szCs w:val="21"/>
        </w:rPr>
        <w:instrText xml:space="preserve">⊥</w:instrText>
      </w:r>
      <w:r>
        <w:rPr>
          <w:rFonts w:cs="宋体"/>
          <w:szCs w:val="21"/>
        </w:rPr>
        <w:instrText xml:space="preserve">),\s\do 5(＝))</w:instrText>
      </w:r>
      <w:r>
        <w:rPr>
          <w:rFonts w:cs="宋体"/>
          <w:szCs w:val="21"/>
        </w:rPr>
        <w:fldChar w:fldCharType="end"/>
      </w:r>
      <w:r>
        <w:rPr>
          <w:rFonts w:cs="宋体"/>
          <w:szCs w:val="21"/>
        </w:rPr>
        <w:t>”或“</w:t>
      </w:r>
      <w:r>
        <w:rPr>
          <w:rFonts w:hint="eastAsia" w:cs="宋体"/>
          <w:szCs w:val="21"/>
        </w:rPr>
        <w:t>接</w:t>
      </w:r>
      <w:r>
        <w:rPr>
          <w:rFonts w:cs="宋体"/>
          <w:szCs w:val="21"/>
        </w:rPr>
        <w:t>地”字样</w:t>
      </w:r>
      <w:r>
        <w:rPr>
          <w:rFonts w:hint="eastAsia" w:cs="宋体"/>
          <w:szCs w:val="21"/>
        </w:rPr>
        <w:t>，接地零件应采用不锈钢材料或具有可靠的防锈镀层。</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w:t>
      </w:r>
      <w:r>
        <w:rPr>
          <w:rFonts w:ascii="Times New Roman" w:hAnsi="Times New Roman" w:eastAsia="黑体"/>
        </w:rPr>
        <w:t>.</w:t>
      </w:r>
      <w:r>
        <w:rPr>
          <w:rFonts w:hint="eastAsia" w:ascii="Times New Roman" w:hAnsi="Times New Roman" w:eastAsia="黑体"/>
        </w:rPr>
        <w:t>2.7 接线板</w:t>
      </w:r>
    </w:p>
    <w:p>
      <w:pPr>
        <w:spacing w:line="360" w:lineRule="auto"/>
        <w:ind w:firstLine="420" w:firstLineChars="200"/>
        <w:rPr>
          <w:szCs w:val="21"/>
        </w:rPr>
      </w:pPr>
      <w:r>
        <w:rPr>
          <w:szCs w:val="21"/>
        </w:rPr>
        <w:t>1</w:t>
      </w:r>
      <w:r>
        <w:rPr>
          <w:rFonts w:hint="eastAsia"/>
          <w:szCs w:val="21"/>
        </w:rPr>
        <w:t>）所有设备均应配备单片平板式接线板</w:t>
      </w:r>
      <w:r>
        <w:rPr>
          <w:szCs w:val="21"/>
        </w:rPr>
        <w:t>,满足每一设备或自身回路的额定电流。</w:t>
      </w:r>
    </w:p>
    <w:p>
      <w:pPr>
        <w:spacing w:line="360" w:lineRule="auto"/>
        <w:ind w:firstLine="420" w:firstLineChars="200"/>
        <w:rPr>
          <w:szCs w:val="21"/>
        </w:rPr>
      </w:pPr>
      <w:r>
        <w:rPr>
          <w:rFonts w:hint="eastAsia"/>
          <w:szCs w:val="21"/>
        </w:rPr>
        <w:t>2）应设计为防电晕式</w:t>
      </w:r>
      <w:r>
        <w:rPr>
          <w:szCs w:val="21"/>
        </w:rPr>
        <w:t>,</w:t>
      </w:r>
      <w:r>
        <w:rPr>
          <w:rFonts w:hint="eastAsia"/>
          <w:szCs w:val="21"/>
        </w:rPr>
        <w:t>水平安装。提供不锈钢螺栓、螺帽及防松垫圈。若采用高强螺栓连接，应提供紧固扭矩的要求。厂方须在图纸中标明接线板的材料及结构形式、厚度。接线板应能承受技术规范的机械强度要求。</w:t>
      </w:r>
      <w:r>
        <w:rPr>
          <w:szCs w:val="21"/>
        </w:rPr>
        <w:t xml:space="preserve"> </w:t>
      </w:r>
    </w:p>
    <w:p>
      <w:pPr>
        <w:spacing w:line="360" w:lineRule="auto"/>
        <w:ind w:firstLine="420" w:firstLineChars="200"/>
        <w:rPr>
          <w:szCs w:val="21"/>
        </w:rPr>
      </w:pPr>
      <w:r>
        <w:rPr>
          <w:rFonts w:hint="eastAsia"/>
          <w:szCs w:val="21"/>
        </w:rPr>
        <w:t>3）端子板接线板横断面和接触面的长期允许电流不应小于额定电流的</w:t>
      </w:r>
      <w:r>
        <w:rPr>
          <w:szCs w:val="21"/>
        </w:rPr>
        <w:t xml:space="preserve">1.3 </w:t>
      </w:r>
      <w:r>
        <w:rPr>
          <w:rFonts w:hint="eastAsia"/>
          <w:szCs w:val="21"/>
        </w:rPr>
        <w:t>倍。端子板与连接线的连接部位的接触电阻应尽可能小，温升不应超过</w:t>
      </w:r>
      <w:r>
        <w:rPr>
          <w:szCs w:val="21"/>
        </w:rPr>
        <w:t>DL/T593</w:t>
      </w:r>
      <w:r>
        <w:rPr>
          <w:rFonts w:hint="eastAsia"/>
          <w:szCs w:val="21"/>
        </w:rPr>
        <w:t>标准规定的温升极限，并提供该试验下的连接方式。</w:t>
      </w:r>
    </w:p>
    <w:p>
      <w:pPr>
        <w:pStyle w:val="51"/>
        <w:numPr>
          <w:ilvl w:val="0"/>
          <w:numId w:val="0"/>
        </w:numPr>
        <w:adjustRightInd w:val="0"/>
        <w:spacing w:before="156" w:beforeLines="50"/>
        <w:rPr>
          <w:rFonts w:ascii="Times New Roman" w:hAnsi="Times New Roman" w:eastAsia="黑体"/>
        </w:rPr>
      </w:pPr>
      <w:bookmarkStart w:id="37" w:name="_Toc276492392"/>
      <w:r>
        <w:rPr>
          <w:rFonts w:hint="eastAsia" w:ascii="Times New Roman" w:hAnsi="Times New Roman" w:eastAsia="黑体"/>
        </w:rPr>
        <w:t>5.2.8 对材料及工艺的要求</w:t>
      </w:r>
      <w:bookmarkEnd w:id="37"/>
    </w:p>
    <w:p>
      <w:pPr>
        <w:pStyle w:val="58"/>
        <w:adjustRightInd w:val="0"/>
        <w:snapToGrid w:val="0"/>
        <w:spacing w:line="360" w:lineRule="auto"/>
        <w:ind w:firstLine="420"/>
        <w:rPr>
          <w:rFonts w:ascii="Times New Roman"/>
          <w:kern w:val="2"/>
          <w:szCs w:val="21"/>
        </w:rPr>
      </w:pPr>
      <w:r>
        <w:rPr>
          <w:rFonts w:hint="eastAsia" w:ascii="Times New Roman"/>
          <w:kern w:val="2"/>
          <w:szCs w:val="21"/>
        </w:rPr>
        <w:t>设备、部件制造中所用的材料应该是新的、优质的、无缺陷的和无损伤的。其种类、成份、物理性能应按照最佳的工程实践, 并适合相应的设备、部件的用途。材料应符合本条件书所列的类型、技术规范和等级或与之等效。材料的详细规范,包括等级、牌号、类别均应在厂家提供审查的详图中表示出来。</w:t>
      </w:r>
    </w:p>
    <w:p>
      <w:pPr>
        <w:pStyle w:val="58"/>
        <w:adjustRightInd w:val="0"/>
        <w:snapToGrid w:val="0"/>
        <w:spacing w:line="360" w:lineRule="auto"/>
        <w:ind w:firstLine="420"/>
        <w:rPr>
          <w:rFonts w:ascii="Times New Roman"/>
          <w:kern w:val="2"/>
          <w:szCs w:val="21"/>
        </w:rPr>
      </w:pPr>
      <w:r>
        <w:rPr>
          <w:rFonts w:hint="eastAsia" w:ascii="Times New Roman"/>
          <w:kern w:val="2"/>
          <w:szCs w:val="21"/>
        </w:rPr>
        <w:t>所有零部件应符合规定尺寸并遵照核准图纸加工并具有互换性。所有结合面、基准面和金属部件应精加工。所有铸件在有螺帽处要经加工整平。图纸上要标明规定加工等级的代号。所有螺栓、螺帽和管件螺纹应符合“国际标准化组织”关于这方面的最新标准, 并完全符合国际计量规格的规定, 厂家不得任意降低标准。试验必须按照美国材料试验协会(ASTM)标准或其他经招标方同意的标准进行。各项试验的结果应按材料试验技术条件中所规定的格式提出。</w:t>
      </w:r>
    </w:p>
    <w:p>
      <w:pPr>
        <w:pStyle w:val="51"/>
        <w:numPr>
          <w:ilvl w:val="0"/>
          <w:numId w:val="0"/>
        </w:numPr>
        <w:adjustRightInd w:val="0"/>
        <w:spacing w:before="156" w:beforeLines="50"/>
        <w:rPr>
          <w:rFonts w:ascii="Times New Roman" w:hAnsi="Times New Roman" w:eastAsia="黑体"/>
        </w:rPr>
      </w:pPr>
      <w:bookmarkStart w:id="38" w:name="_Toc276492394"/>
      <w:r>
        <w:rPr>
          <w:rFonts w:hint="eastAsia" w:ascii="Times New Roman" w:hAnsi="Times New Roman" w:eastAsia="黑体"/>
        </w:rPr>
        <w:t>5.2.9 铸件要求</w:t>
      </w:r>
      <w:bookmarkEnd w:id="38"/>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铸件要符合模型、外形工整、质量均匀、形态一致, 并经X光探伤证明无气孔砂眼、夹渣、缩孔、裂纹和其他缺陷, 并应依其用途充分处理干净。</w:t>
      </w:r>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铸件上的重大缺陷不得进行修理、填堵和施焊。在铸件关键部位出现过量的杂质或合金分凝即应予报废, 在变换截面的地方应配置构造上容许的最大限度的加强筋。</w:t>
      </w:r>
    </w:p>
    <w:p>
      <w:pPr>
        <w:pStyle w:val="51"/>
        <w:numPr>
          <w:ilvl w:val="0"/>
          <w:numId w:val="0"/>
        </w:numPr>
        <w:adjustRightInd w:val="0"/>
        <w:spacing w:before="156" w:beforeLines="50"/>
        <w:rPr>
          <w:rFonts w:ascii="Times New Roman" w:hAnsi="Times New Roman" w:eastAsia="黑体"/>
        </w:rPr>
      </w:pPr>
      <w:bookmarkStart w:id="39" w:name="_Toc276492397"/>
      <w:r>
        <w:rPr>
          <w:rFonts w:hint="eastAsia" w:ascii="Times New Roman" w:hAnsi="Times New Roman" w:eastAsia="黑体"/>
        </w:rPr>
        <w:t>5.2.10 油漆与防锈的要求</w:t>
      </w:r>
      <w:bookmarkEnd w:id="39"/>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1）按本招标书技术文件提供的任何设备, 除有色金属、电镀钢件、抛光或机械加工的表面以外, 所有的金属外露部分, 均应作表面的除锈处理。</w:t>
      </w:r>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2）除锈处理后应即喷涂一层防锈底漆。</w:t>
      </w:r>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3）所使用的底漆和光漆的材料与型号, 可根据制造厂的标准。光漆应与底漆协调。并具备优良的的耐用性。</w:t>
      </w:r>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4）所有的外表面至少应喷涂一层底漆及二层瓷漆，底漆与光漆生成干燥漆膜的厚度最小为0.125mm，光瓷漆至少为50％，并且有足够的弹性。油漆应持久耐用, 能适应户外多种因素的影响，如抗御热带强烈阳光辐射及承受夏天骤雨所引起的急剧温度变化, 抗剥落, 并保持颜色新颖。</w:t>
      </w:r>
    </w:p>
    <w:p>
      <w:pPr>
        <w:pStyle w:val="58"/>
        <w:adjustRightInd w:val="0"/>
        <w:snapToGrid w:val="0"/>
        <w:spacing w:line="360" w:lineRule="auto"/>
        <w:ind w:firstLine="359" w:firstLineChars="171"/>
        <w:rPr>
          <w:rFonts w:ascii="Times New Roman"/>
          <w:kern w:val="2"/>
          <w:szCs w:val="21"/>
        </w:rPr>
      </w:pPr>
      <w:r>
        <w:rPr>
          <w:rFonts w:hint="eastAsia" w:ascii="Times New Roman"/>
          <w:kern w:val="2"/>
          <w:szCs w:val="21"/>
        </w:rPr>
        <w:t>所有外表面的光漆应为B03浅灰漆。</w:t>
      </w:r>
    </w:p>
    <w:p>
      <w:pPr>
        <w:pStyle w:val="51"/>
        <w:numPr>
          <w:ilvl w:val="0"/>
          <w:numId w:val="0"/>
        </w:numPr>
        <w:adjustRightInd w:val="0"/>
        <w:spacing w:before="156" w:beforeLines="50"/>
        <w:rPr>
          <w:rFonts w:ascii="Times New Roman" w:hAnsi="Times New Roman" w:eastAsia="黑体"/>
        </w:rPr>
      </w:pPr>
      <w:r>
        <w:rPr>
          <w:rFonts w:hint="eastAsia" w:ascii="Times New Roman" w:hAnsi="Times New Roman" w:eastAsia="黑体"/>
        </w:rPr>
        <w:t>5.2.11 铭牌标志</w:t>
      </w:r>
    </w:p>
    <w:p>
      <w:pPr>
        <w:spacing w:line="360" w:lineRule="auto"/>
        <w:ind w:firstLine="420" w:firstLineChars="200"/>
        <w:rPr>
          <w:szCs w:val="21"/>
        </w:rPr>
      </w:pPr>
      <w:r>
        <w:rPr>
          <w:rFonts w:hint="eastAsia"/>
          <w:szCs w:val="21"/>
        </w:rPr>
        <w:t>电压互感器</w:t>
      </w:r>
      <w:r>
        <w:rPr>
          <w:szCs w:val="21"/>
        </w:rPr>
        <w:t>互感器铭牌应符合国标，铭牌用不锈钢材料制成，字样、符号应清晰耐久，铭牌在设备正常运行时其安装位置应明显可见。</w:t>
      </w:r>
    </w:p>
    <w:p>
      <w:pPr>
        <w:autoSpaceDE w:val="0"/>
        <w:autoSpaceDN w:val="0"/>
        <w:adjustRightInd w:val="0"/>
        <w:spacing w:line="360" w:lineRule="auto"/>
        <w:ind w:firstLine="420" w:firstLineChars="200"/>
        <w:jc w:val="left"/>
        <w:rPr>
          <w:rFonts w:cs="宋体"/>
          <w:szCs w:val="21"/>
        </w:rPr>
      </w:pPr>
      <w:r>
        <w:rPr>
          <w:rFonts w:cs="宋体"/>
          <w:szCs w:val="21"/>
        </w:rPr>
        <w:t>1</w:t>
      </w:r>
      <w:r>
        <w:rPr>
          <w:rFonts w:hint="eastAsia" w:cs="宋体"/>
          <w:szCs w:val="21"/>
        </w:rPr>
        <w:t>）</w:t>
      </w:r>
      <w:r>
        <w:rPr>
          <w:rFonts w:cs="宋体"/>
          <w:szCs w:val="21"/>
        </w:rPr>
        <w:t>国名</w:t>
      </w:r>
    </w:p>
    <w:p>
      <w:pPr>
        <w:autoSpaceDE w:val="0"/>
        <w:autoSpaceDN w:val="0"/>
        <w:adjustRightInd w:val="0"/>
        <w:spacing w:line="360" w:lineRule="auto"/>
        <w:ind w:firstLine="420" w:firstLineChars="200"/>
        <w:jc w:val="left"/>
        <w:rPr>
          <w:rFonts w:cs="宋体"/>
          <w:szCs w:val="21"/>
        </w:rPr>
      </w:pPr>
      <w:r>
        <w:rPr>
          <w:rFonts w:cs="宋体"/>
          <w:szCs w:val="21"/>
        </w:rPr>
        <w:t>2</w:t>
      </w:r>
      <w:r>
        <w:rPr>
          <w:rFonts w:hint="eastAsia" w:cs="宋体"/>
          <w:szCs w:val="21"/>
        </w:rPr>
        <w:t>）</w:t>
      </w:r>
      <w:r>
        <w:rPr>
          <w:rFonts w:cs="宋体"/>
          <w:szCs w:val="21"/>
        </w:rPr>
        <w:t>制造厂名（不以工厂所在地地名为厂名者，应同时标出地名）。</w:t>
      </w:r>
    </w:p>
    <w:p>
      <w:pPr>
        <w:autoSpaceDE w:val="0"/>
        <w:autoSpaceDN w:val="0"/>
        <w:adjustRightInd w:val="0"/>
        <w:spacing w:line="360" w:lineRule="auto"/>
        <w:ind w:firstLine="420" w:firstLineChars="200"/>
        <w:jc w:val="left"/>
        <w:rPr>
          <w:rFonts w:cs="宋体"/>
          <w:szCs w:val="21"/>
        </w:rPr>
      </w:pPr>
      <w:r>
        <w:rPr>
          <w:rFonts w:cs="宋体"/>
          <w:szCs w:val="21"/>
        </w:rPr>
        <w:t>3</w:t>
      </w:r>
      <w:r>
        <w:rPr>
          <w:rFonts w:hint="eastAsia" w:cs="宋体"/>
          <w:szCs w:val="21"/>
        </w:rPr>
        <w:t>）</w:t>
      </w:r>
      <w:r>
        <w:rPr>
          <w:rFonts w:cs="宋体"/>
          <w:szCs w:val="21"/>
        </w:rPr>
        <w:t>互感器名称</w:t>
      </w:r>
    </w:p>
    <w:p>
      <w:pPr>
        <w:autoSpaceDE w:val="0"/>
        <w:autoSpaceDN w:val="0"/>
        <w:adjustRightInd w:val="0"/>
        <w:spacing w:line="360" w:lineRule="auto"/>
        <w:ind w:firstLine="420" w:firstLineChars="200"/>
        <w:jc w:val="left"/>
        <w:rPr>
          <w:rFonts w:cs="宋体"/>
          <w:szCs w:val="21"/>
        </w:rPr>
      </w:pPr>
      <w:r>
        <w:rPr>
          <w:rFonts w:cs="宋体"/>
          <w:szCs w:val="21"/>
        </w:rPr>
        <w:t>4</w:t>
      </w:r>
      <w:r>
        <w:rPr>
          <w:rFonts w:hint="eastAsia" w:cs="宋体"/>
          <w:szCs w:val="21"/>
        </w:rPr>
        <w:t>）</w:t>
      </w:r>
      <w:r>
        <w:rPr>
          <w:rFonts w:cs="宋体"/>
          <w:szCs w:val="21"/>
        </w:rPr>
        <w:t>互感器型号</w:t>
      </w:r>
    </w:p>
    <w:p>
      <w:pPr>
        <w:autoSpaceDE w:val="0"/>
        <w:autoSpaceDN w:val="0"/>
        <w:adjustRightInd w:val="0"/>
        <w:spacing w:line="360" w:lineRule="auto"/>
        <w:ind w:firstLine="420" w:firstLineChars="200"/>
        <w:jc w:val="left"/>
        <w:rPr>
          <w:rFonts w:cs="宋体"/>
          <w:szCs w:val="21"/>
        </w:rPr>
      </w:pPr>
      <w:r>
        <w:rPr>
          <w:rFonts w:cs="宋体"/>
          <w:szCs w:val="21"/>
        </w:rPr>
        <w:t>5</w:t>
      </w:r>
      <w:r>
        <w:rPr>
          <w:rFonts w:hint="eastAsia" w:cs="宋体"/>
          <w:szCs w:val="21"/>
        </w:rPr>
        <w:t>）</w:t>
      </w:r>
      <w:r>
        <w:rPr>
          <w:rFonts w:cs="宋体"/>
          <w:szCs w:val="21"/>
        </w:rPr>
        <w:t>标准代号</w:t>
      </w:r>
    </w:p>
    <w:p>
      <w:pPr>
        <w:autoSpaceDE w:val="0"/>
        <w:autoSpaceDN w:val="0"/>
        <w:adjustRightInd w:val="0"/>
        <w:spacing w:line="360" w:lineRule="auto"/>
        <w:ind w:firstLine="420" w:firstLineChars="200"/>
        <w:jc w:val="left"/>
        <w:rPr>
          <w:rFonts w:cs="宋体"/>
          <w:szCs w:val="21"/>
        </w:rPr>
      </w:pPr>
      <w:r>
        <w:rPr>
          <w:rFonts w:hint="eastAsia" w:cs="宋体"/>
          <w:szCs w:val="21"/>
        </w:rPr>
        <w:t>6）计量许可标识及许可批号</w:t>
      </w:r>
    </w:p>
    <w:p>
      <w:pPr>
        <w:autoSpaceDE w:val="0"/>
        <w:autoSpaceDN w:val="0"/>
        <w:adjustRightInd w:val="0"/>
        <w:spacing w:line="360" w:lineRule="auto"/>
        <w:ind w:firstLine="420" w:firstLineChars="200"/>
        <w:jc w:val="left"/>
        <w:rPr>
          <w:rFonts w:cs="宋体"/>
          <w:szCs w:val="21"/>
        </w:rPr>
      </w:pPr>
      <w:r>
        <w:rPr>
          <w:rFonts w:hint="eastAsia" w:cs="宋体"/>
          <w:szCs w:val="21"/>
        </w:rPr>
        <w:t>7）</w:t>
      </w:r>
      <w:r>
        <w:rPr>
          <w:rFonts w:cs="宋体"/>
          <w:szCs w:val="21"/>
        </w:rPr>
        <w:t>额定一次和二次电压</w:t>
      </w:r>
    </w:p>
    <w:p>
      <w:pPr>
        <w:autoSpaceDE w:val="0"/>
        <w:autoSpaceDN w:val="0"/>
        <w:adjustRightInd w:val="0"/>
        <w:spacing w:line="360" w:lineRule="auto"/>
        <w:ind w:firstLine="420" w:firstLineChars="200"/>
        <w:jc w:val="left"/>
        <w:rPr>
          <w:rFonts w:cs="宋体"/>
          <w:szCs w:val="21"/>
        </w:rPr>
      </w:pPr>
      <w:r>
        <w:rPr>
          <w:rFonts w:hint="eastAsia" w:cs="宋体"/>
          <w:szCs w:val="21"/>
        </w:rPr>
        <w:t>8）</w:t>
      </w:r>
      <w:r>
        <w:rPr>
          <w:rFonts w:cs="宋体"/>
          <w:szCs w:val="21"/>
        </w:rPr>
        <w:t>额定频率及相数</w:t>
      </w:r>
    </w:p>
    <w:p>
      <w:pPr>
        <w:autoSpaceDE w:val="0"/>
        <w:autoSpaceDN w:val="0"/>
        <w:adjustRightInd w:val="0"/>
        <w:spacing w:line="360" w:lineRule="auto"/>
        <w:ind w:firstLine="420" w:firstLineChars="200"/>
        <w:jc w:val="left"/>
        <w:rPr>
          <w:rFonts w:cs="宋体"/>
          <w:szCs w:val="21"/>
        </w:rPr>
      </w:pPr>
      <w:r>
        <w:rPr>
          <w:rFonts w:hint="eastAsia" w:cs="宋体"/>
          <w:szCs w:val="21"/>
        </w:rPr>
        <w:t>9）额定输出及相应的准确级</w:t>
      </w:r>
    </w:p>
    <w:p>
      <w:pPr>
        <w:autoSpaceDE w:val="0"/>
        <w:autoSpaceDN w:val="0"/>
        <w:adjustRightInd w:val="0"/>
        <w:spacing w:line="360" w:lineRule="auto"/>
        <w:ind w:firstLine="420" w:firstLineChars="200"/>
        <w:jc w:val="left"/>
        <w:rPr>
          <w:rFonts w:cs="宋体"/>
          <w:szCs w:val="21"/>
        </w:rPr>
      </w:pPr>
      <w:r>
        <w:rPr>
          <w:rFonts w:cs="宋体"/>
          <w:szCs w:val="21"/>
        </w:rPr>
        <w:t>1</w:t>
      </w:r>
      <w:r>
        <w:rPr>
          <w:rFonts w:hint="eastAsia" w:cs="宋体"/>
          <w:szCs w:val="21"/>
        </w:rPr>
        <w:t>0）</w:t>
      </w:r>
      <w:r>
        <w:rPr>
          <w:rFonts w:cs="宋体"/>
          <w:szCs w:val="21"/>
        </w:rPr>
        <w:t>带有两个及以上分开的二次绕组的时，应标明每一绕组的额定电压、输出容量范围（VA）和其相应的准确级</w:t>
      </w:r>
    </w:p>
    <w:p>
      <w:pPr>
        <w:autoSpaceDE w:val="0"/>
        <w:autoSpaceDN w:val="0"/>
        <w:adjustRightInd w:val="0"/>
        <w:spacing w:line="360" w:lineRule="auto"/>
        <w:ind w:firstLine="420" w:firstLineChars="200"/>
        <w:jc w:val="left"/>
        <w:rPr>
          <w:rFonts w:cs="宋体"/>
          <w:szCs w:val="21"/>
        </w:rPr>
      </w:pPr>
      <w:r>
        <w:rPr>
          <w:rFonts w:hint="eastAsia" w:cs="宋体"/>
          <w:szCs w:val="21"/>
        </w:rPr>
        <w:t>11）设备最高电压</w:t>
      </w:r>
    </w:p>
    <w:p>
      <w:pPr>
        <w:autoSpaceDE w:val="0"/>
        <w:autoSpaceDN w:val="0"/>
        <w:adjustRightInd w:val="0"/>
        <w:spacing w:line="360" w:lineRule="auto"/>
        <w:ind w:firstLine="420" w:firstLineChars="200"/>
        <w:jc w:val="left"/>
        <w:rPr>
          <w:rFonts w:cs="宋体"/>
          <w:szCs w:val="21"/>
        </w:rPr>
      </w:pPr>
      <w:r>
        <w:rPr>
          <w:rFonts w:hint="eastAsia" w:cs="宋体"/>
          <w:szCs w:val="21"/>
        </w:rPr>
        <w:t>12）</w:t>
      </w:r>
      <w:r>
        <w:rPr>
          <w:rFonts w:cs="宋体"/>
          <w:szCs w:val="21"/>
        </w:rPr>
        <w:t>额定绝缘水平</w:t>
      </w:r>
    </w:p>
    <w:p>
      <w:pPr>
        <w:autoSpaceDE w:val="0"/>
        <w:autoSpaceDN w:val="0"/>
        <w:adjustRightInd w:val="0"/>
        <w:spacing w:line="360" w:lineRule="auto"/>
        <w:ind w:firstLine="420" w:firstLineChars="200"/>
        <w:jc w:val="left"/>
        <w:rPr>
          <w:rFonts w:cs="宋体"/>
          <w:szCs w:val="21"/>
        </w:rPr>
      </w:pPr>
      <w:r>
        <w:rPr>
          <w:rFonts w:cs="宋体"/>
          <w:szCs w:val="21"/>
        </w:rPr>
        <w:t>1</w:t>
      </w:r>
      <w:r>
        <w:rPr>
          <w:rFonts w:hint="eastAsia" w:cs="宋体"/>
          <w:szCs w:val="21"/>
        </w:rPr>
        <w:t>3）额定电压因数及相应额定时间</w:t>
      </w:r>
    </w:p>
    <w:p>
      <w:pPr>
        <w:autoSpaceDE w:val="0"/>
        <w:autoSpaceDN w:val="0"/>
        <w:adjustRightInd w:val="0"/>
        <w:spacing w:line="360" w:lineRule="auto"/>
        <w:ind w:firstLine="420" w:firstLineChars="200"/>
        <w:jc w:val="left"/>
        <w:rPr>
          <w:rFonts w:cs="宋体"/>
          <w:szCs w:val="21"/>
        </w:rPr>
      </w:pPr>
      <w:r>
        <w:rPr>
          <w:rFonts w:hint="eastAsia" w:cs="宋体"/>
          <w:szCs w:val="21"/>
        </w:rPr>
        <w:t>14）绝缘耐热等级</w:t>
      </w:r>
    </w:p>
    <w:p>
      <w:pPr>
        <w:autoSpaceDE w:val="0"/>
        <w:autoSpaceDN w:val="0"/>
        <w:adjustRightInd w:val="0"/>
        <w:spacing w:line="360" w:lineRule="auto"/>
        <w:ind w:firstLine="420" w:firstLineChars="200"/>
        <w:jc w:val="left"/>
        <w:rPr>
          <w:rFonts w:cs="宋体"/>
          <w:szCs w:val="21"/>
        </w:rPr>
      </w:pPr>
      <w:r>
        <w:rPr>
          <w:rFonts w:cs="宋体"/>
          <w:szCs w:val="21"/>
        </w:rPr>
        <w:t>1</w:t>
      </w:r>
      <w:r>
        <w:rPr>
          <w:rFonts w:hint="eastAsia" w:cs="宋体"/>
          <w:szCs w:val="21"/>
        </w:rPr>
        <w:t>5）二次绕组标识，若有多个二次绕组时，应标明每个绕组的性能参数及相应的端子</w:t>
      </w:r>
    </w:p>
    <w:p>
      <w:pPr>
        <w:autoSpaceDE w:val="0"/>
        <w:autoSpaceDN w:val="0"/>
        <w:adjustRightInd w:val="0"/>
        <w:spacing w:line="360" w:lineRule="auto"/>
        <w:ind w:firstLine="420" w:firstLineChars="200"/>
        <w:jc w:val="left"/>
        <w:rPr>
          <w:rFonts w:cs="宋体"/>
          <w:szCs w:val="21"/>
        </w:rPr>
      </w:pPr>
      <w:r>
        <w:rPr>
          <w:rFonts w:hint="eastAsia" w:cs="宋体"/>
          <w:szCs w:val="21"/>
        </w:rPr>
        <w:t>16）设备种类</w:t>
      </w:r>
    </w:p>
    <w:p>
      <w:pPr>
        <w:autoSpaceDE w:val="0"/>
        <w:autoSpaceDN w:val="0"/>
        <w:adjustRightInd w:val="0"/>
        <w:spacing w:line="360" w:lineRule="auto"/>
        <w:ind w:firstLine="420" w:firstLineChars="200"/>
        <w:jc w:val="left"/>
        <w:rPr>
          <w:rFonts w:cs="宋体"/>
          <w:szCs w:val="21"/>
        </w:rPr>
      </w:pPr>
      <w:r>
        <w:rPr>
          <w:rFonts w:cs="宋体"/>
          <w:szCs w:val="21"/>
        </w:rPr>
        <w:t>1</w:t>
      </w:r>
      <w:r>
        <w:rPr>
          <w:rFonts w:hint="eastAsia" w:cs="宋体"/>
          <w:szCs w:val="21"/>
        </w:rPr>
        <w:t>7）</w:t>
      </w:r>
      <w:r>
        <w:rPr>
          <w:rFonts w:cs="宋体"/>
          <w:szCs w:val="21"/>
        </w:rPr>
        <w:t>互感器的总重</w:t>
      </w:r>
    </w:p>
    <w:p>
      <w:pPr>
        <w:autoSpaceDE w:val="0"/>
        <w:autoSpaceDN w:val="0"/>
        <w:adjustRightInd w:val="0"/>
        <w:spacing w:line="360" w:lineRule="auto"/>
        <w:ind w:firstLine="420" w:firstLineChars="200"/>
        <w:jc w:val="left"/>
        <w:rPr>
          <w:rFonts w:cs="宋体"/>
          <w:szCs w:val="21"/>
        </w:rPr>
      </w:pPr>
      <w:r>
        <w:rPr>
          <w:rFonts w:hint="eastAsia" w:cs="宋体"/>
          <w:szCs w:val="21"/>
        </w:rPr>
        <w:t>18）互感器的油重</w:t>
      </w:r>
    </w:p>
    <w:p>
      <w:pPr>
        <w:autoSpaceDE w:val="0"/>
        <w:autoSpaceDN w:val="0"/>
        <w:adjustRightInd w:val="0"/>
        <w:spacing w:line="360" w:lineRule="auto"/>
        <w:ind w:firstLine="420" w:firstLineChars="200"/>
        <w:jc w:val="left"/>
        <w:rPr>
          <w:rFonts w:cs="宋体"/>
          <w:szCs w:val="21"/>
        </w:rPr>
      </w:pPr>
      <w:r>
        <w:rPr>
          <w:rFonts w:hint="eastAsia" w:cs="宋体"/>
          <w:szCs w:val="21"/>
        </w:rPr>
        <w:t>19）</w:t>
      </w:r>
      <w:r>
        <w:rPr>
          <w:rFonts w:cs="宋体"/>
          <w:szCs w:val="21"/>
        </w:rPr>
        <w:t>出厂序号</w:t>
      </w:r>
    </w:p>
    <w:p>
      <w:pPr>
        <w:autoSpaceDE w:val="0"/>
        <w:autoSpaceDN w:val="0"/>
        <w:adjustRightInd w:val="0"/>
        <w:spacing w:line="360" w:lineRule="auto"/>
        <w:ind w:firstLine="420" w:firstLineChars="200"/>
        <w:jc w:val="left"/>
        <w:rPr>
          <w:rFonts w:cs="宋体"/>
          <w:szCs w:val="21"/>
        </w:rPr>
      </w:pPr>
      <w:r>
        <w:rPr>
          <w:rFonts w:hint="eastAsia" w:cs="宋体"/>
          <w:szCs w:val="21"/>
        </w:rPr>
        <w:t>20）</w:t>
      </w:r>
      <w:r>
        <w:rPr>
          <w:rFonts w:cs="宋体"/>
          <w:szCs w:val="21"/>
        </w:rPr>
        <w:t>制造年月</w:t>
      </w:r>
    </w:p>
    <w:p>
      <w:pPr>
        <w:autoSpaceDE w:val="0"/>
        <w:autoSpaceDN w:val="0"/>
        <w:adjustRightInd w:val="0"/>
        <w:spacing w:line="360" w:lineRule="auto"/>
        <w:ind w:firstLine="420" w:firstLineChars="200"/>
        <w:jc w:val="left"/>
        <w:rPr>
          <w:rFonts w:cs="宋体"/>
          <w:szCs w:val="21"/>
        </w:rPr>
      </w:pPr>
      <w:r>
        <w:rPr>
          <w:rFonts w:hint="eastAsia" w:cs="宋体"/>
          <w:szCs w:val="21"/>
        </w:rPr>
        <w:t>21）</w:t>
      </w:r>
      <w:r>
        <w:rPr>
          <w:rFonts w:cs="宋体"/>
          <w:szCs w:val="21"/>
        </w:rPr>
        <w:t>外绝缘爬距</w:t>
      </w:r>
    </w:p>
    <w:p>
      <w:pPr>
        <w:autoSpaceDE w:val="0"/>
        <w:autoSpaceDN w:val="0"/>
        <w:adjustRightInd w:val="0"/>
        <w:spacing w:line="360" w:lineRule="auto"/>
        <w:ind w:firstLine="420" w:firstLineChars="200"/>
        <w:jc w:val="left"/>
        <w:rPr>
          <w:rFonts w:cs="宋体"/>
          <w:szCs w:val="21"/>
        </w:rPr>
      </w:pPr>
      <w:r>
        <w:rPr>
          <w:rFonts w:hint="eastAsia" w:cs="宋体"/>
          <w:szCs w:val="21"/>
        </w:rPr>
        <w:t>22）电气原理接线图</w:t>
      </w:r>
    </w:p>
    <w:p>
      <w:pPr>
        <w:autoSpaceDE w:val="0"/>
        <w:autoSpaceDN w:val="0"/>
        <w:adjustRightInd w:val="0"/>
        <w:spacing w:line="360" w:lineRule="auto"/>
        <w:ind w:firstLine="420" w:firstLineChars="200"/>
        <w:jc w:val="left"/>
        <w:rPr>
          <w:rFonts w:cs="宋体"/>
          <w:szCs w:val="21"/>
        </w:rPr>
      </w:pPr>
      <w:r>
        <w:rPr>
          <w:rFonts w:hint="eastAsia" w:cs="宋体"/>
          <w:szCs w:val="21"/>
        </w:rPr>
        <w:t>23）气体压力释放值、额定值、温度曲线等。</w:t>
      </w:r>
    </w:p>
    <w:p>
      <w:pPr>
        <w:pStyle w:val="2"/>
        <w:adjustRightInd w:val="0"/>
        <w:rPr>
          <w:rFonts w:ascii="黑体" w:hAnsi="宋体" w:eastAsia="黑体"/>
          <w:b w:val="0"/>
        </w:rPr>
      </w:pPr>
      <w:bookmarkStart w:id="40" w:name="_Toc276492417"/>
      <w:bookmarkStart w:id="41" w:name="_Toc271281212"/>
      <w:bookmarkStart w:id="42" w:name="_Toc276490905"/>
      <w:bookmarkStart w:id="43" w:name="_Toc423550168"/>
      <w:bookmarkStart w:id="44" w:name="_Toc287252432"/>
      <w:bookmarkStart w:id="45" w:name="_Toc276492422"/>
      <w:bookmarkStart w:id="46" w:name="_Toc276490910"/>
      <w:r>
        <w:rPr>
          <w:rFonts w:hint="eastAsia" w:ascii="黑体" w:hAnsi="宋体" w:eastAsia="黑体"/>
          <w:b w:val="0"/>
        </w:rPr>
        <w:t>试验</w:t>
      </w:r>
      <w:bookmarkEnd w:id="40"/>
      <w:bookmarkEnd w:id="41"/>
      <w:bookmarkEnd w:id="42"/>
      <w:bookmarkEnd w:id="43"/>
      <w:bookmarkEnd w:id="44"/>
    </w:p>
    <w:p>
      <w:pPr>
        <w:pStyle w:val="77"/>
        <w:spacing w:line="360" w:lineRule="auto"/>
        <w:ind w:firstLine="420" w:firstLineChars="200"/>
        <w:rPr>
          <w:rFonts w:ascii="宋体" w:hAnsi="宋体" w:eastAsia="宋体"/>
          <w:sz w:val="21"/>
          <w:szCs w:val="20"/>
        </w:rPr>
      </w:pPr>
      <w:bookmarkStart w:id="47" w:name="_Toc287252433"/>
      <w:bookmarkStart w:id="48" w:name="_Toc283507288"/>
      <w:bookmarkStart w:id="49" w:name="_Toc283483072"/>
      <w:r>
        <w:rPr>
          <w:rFonts w:hint="eastAsia" w:ascii="宋体" w:hAnsi="宋体" w:eastAsia="宋体"/>
          <w:sz w:val="21"/>
          <w:szCs w:val="20"/>
        </w:rPr>
        <w:t>电压互感器试验应按照本规范和相关标准有关条款进行，并符合下列要求：试验应出具详细记载测试数据的正式试验报告。</w:t>
      </w:r>
      <w:r>
        <w:rPr>
          <w:rFonts w:ascii="宋体" w:hAnsi="宋体" w:eastAsia="宋体"/>
          <w:sz w:val="21"/>
          <w:szCs w:val="20"/>
        </w:rPr>
        <w:t>运行单位</w:t>
      </w:r>
      <w:r>
        <w:rPr>
          <w:rFonts w:hint="eastAsia" w:ascii="宋体" w:hAnsi="宋体" w:eastAsia="宋体"/>
          <w:sz w:val="21"/>
          <w:szCs w:val="20"/>
        </w:rPr>
        <w:t>有权</w:t>
      </w:r>
      <w:r>
        <w:rPr>
          <w:rFonts w:ascii="宋体" w:hAnsi="宋体" w:eastAsia="宋体"/>
          <w:sz w:val="21"/>
          <w:szCs w:val="20"/>
        </w:rPr>
        <w:t>根据需要派遣技术人</w:t>
      </w:r>
      <w:r>
        <w:rPr>
          <w:rFonts w:hint="eastAsia" w:ascii="宋体" w:hAnsi="宋体" w:eastAsia="宋体"/>
          <w:sz w:val="21"/>
          <w:szCs w:val="20"/>
        </w:rPr>
        <w:t>员</w:t>
      </w:r>
      <w:r>
        <w:rPr>
          <w:rFonts w:ascii="宋体" w:hAnsi="宋体" w:eastAsia="宋体"/>
          <w:sz w:val="21"/>
          <w:szCs w:val="20"/>
        </w:rPr>
        <w:t>到互感器制造厂对设备的制造进行检验和监造，见证设备的型式试验、例行试验和特殊试验。</w:t>
      </w:r>
    </w:p>
    <w:p>
      <w:pPr>
        <w:adjustRightInd w:val="0"/>
        <w:snapToGrid w:val="0"/>
        <w:spacing w:before="312" w:beforeLines="100" w:after="156" w:afterLines="50"/>
        <w:outlineLvl w:val="1"/>
        <w:rPr>
          <w:rFonts w:eastAsia="黑体"/>
        </w:rPr>
      </w:pPr>
      <w:bookmarkStart w:id="50" w:name="_Toc423550169"/>
      <w:r>
        <w:rPr>
          <w:rFonts w:hint="eastAsia" w:eastAsia="黑体"/>
        </w:rPr>
        <w:t>6.1试验分类</w:t>
      </w:r>
      <w:bookmarkEnd w:id="47"/>
      <w:bookmarkEnd w:id="48"/>
      <w:bookmarkEnd w:id="50"/>
    </w:p>
    <w:p>
      <w:pPr>
        <w:spacing w:line="360" w:lineRule="auto"/>
        <w:ind w:firstLine="420" w:firstLineChars="200"/>
        <w:rPr>
          <w:rFonts w:ascii="宋体" w:cs="宋体"/>
          <w:szCs w:val="21"/>
        </w:rPr>
      </w:pPr>
      <w:bookmarkStart w:id="51" w:name="_Toc287252434"/>
      <w:r>
        <w:rPr>
          <w:rFonts w:ascii="宋体" w:cs="宋体"/>
          <w:szCs w:val="21"/>
        </w:rPr>
        <w:t>试验分为型式试验、例行试验、特殊试验及现场交接试验。</w:t>
      </w:r>
    </w:p>
    <w:p>
      <w:pPr>
        <w:spacing w:line="360" w:lineRule="auto"/>
        <w:rPr>
          <w:rFonts w:cs="宋体"/>
          <w:szCs w:val="21"/>
        </w:rPr>
      </w:pPr>
      <w:r>
        <w:rPr>
          <w:rFonts w:hint="eastAsia" w:cs="宋体"/>
          <w:szCs w:val="21"/>
        </w:rPr>
        <w:t xml:space="preserve">6.1.1 </w:t>
      </w:r>
      <w:r>
        <w:rPr>
          <w:rFonts w:cs="宋体"/>
          <w:szCs w:val="21"/>
        </w:rPr>
        <w:t>型式试验：对每种型式互感器中的一台进行试验。</w:t>
      </w:r>
    </w:p>
    <w:p>
      <w:pPr>
        <w:spacing w:line="360" w:lineRule="auto"/>
        <w:rPr>
          <w:rFonts w:cs="宋体"/>
          <w:szCs w:val="21"/>
        </w:rPr>
      </w:pPr>
      <w:r>
        <w:rPr>
          <w:rFonts w:hint="eastAsia" w:cs="宋体"/>
          <w:szCs w:val="21"/>
        </w:rPr>
        <w:t xml:space="preserve">6.1.2 </w:t>
      </w:r>
      <w:r>
        <w:rPr>
          <w:rFonts w:cs="宋体"/>
          <w:szCs w:val="21"/>
        </w:rPr>
        <w:t>例行试验：每台互感器均应进行的试验。</w:t>
      </w:r>
    </w:p>
    <w:p>
      <w:pPr>
        <w:spacing w:line="360" w:lineRule="auto"/>
        <w:rPr>
          <w:rFonts w:cs="宋体"/>
          <w:szCs w:val="21"/>
        </w:rPr>
      </w:pPr>
      <w:r>
        <w:rPr>
          <w:rFonts w:hint="eastAsia" w:cs="宋体"/>
          <w:szCs w:val="21"/>
        </w:rPr>
        <w:t xml:space="preserve">6.1.3 </w:t>
      </w:r>
      <w:r>
        <w:rPr>
          <w:rFonts w:cs="宋体"/>
          <w:szCs w:val="21"/>
        </w:rPr>
        <w:t>特殊试验：运行单位根据设备的技术特点提出。</w:t>
      </w:r>
    </w:p>
    <w:p>
      <w:pPr>
        <w:spacing w:line="360" w:lineRule="auto"/>
        <w:rPr>
          <w:rFonts w:cs="宋体"/>
          <w:szCs w:val="21"/>
        </w:rPr>
      </w:pPr>
      <w:r>
        <w:rPr>
          <w:rFonts w:hint="eastAsia" w:cs="宋体"/>
          <w:szCs w:val="21"/>
        </w:rPr>
        <w:t xml:space="preserve">6.1.4 </w:t>
      </w:r>
      <w:r>
        <w:rPr>
          <w:rFonts w:cs="宋体"/>
          <w:szCs w:val="21"/>
        </w:rPr>
        <w:t>现场交接试验：根据GB 50150-</w:t>
      </w:r>
      <w:r>
        <w:rPr>
          <w:rFonts w:hint="eastAsia" w:cs="宋体"/>
          <w:szCs w:val="21"/>
        </w:rPr>
        <w:t>2006</w:t>
      </w:r>
      <w:r>
        <w:rPr>
          <w:rFonts w:cs="宋体"/>
          <w:szCs w:val="21"/>
        </w:rPr>
        <w:t>和</w:t>
      </w:r>
      <w:r>
        <w:rPr>
          <w:rFonts w:hint="eastAsia" w:ascii="宋体" w:hAnsi="宋体"/>
          <w:szCs w:val="20"/>
        </w:rPr>
        <w:t>中国南方电网有限责任公司</w:t>
      </w:r>
      <w:r>
        <w:rPr>
          <w:rFonts w:cs="宋体"/>
          <w:szCs w:val="21"/>
        </w:rPr>
        <w:t>相关要求进行。</w:t>
      </w:r>
    </w:p>
    <w:p>
      <w:pPr>
        <w:adjustRightInd w:val="0"/>
        <w:snapToGrid w:val="0"/>
        <w:spacing w:before="312" w:beforeLines="100" w:after="156" w:afterLines="50"/>
        <w:outlineLvl w:val="1"/>
        <w:rPr>
          <w:rFonts w:eastAsia="黑体"/>
        </w:rPr>
      </w:pPr>
      <w:bookmarkStart w:id="52" w:name="_Toc423550170"/>
      <w:r>
        <w:rPr>
          <w:rFonts w:hint="eastAsia" w:eastAsia="黑体"/>
        </w:rPr>
        <w:t>6.2 型式试验</w:t>
      </w:r>
      <w:bookmarkEnd w:id="49"/>
      <w:bookmarkEnd w:id="51"/>
      <w:bookmarkEnd w:id="52"/>
    </w:p>
    <w:p>
      <w:pPr>
        <w:spacing w:line="360" w:lineRule="auto"/>
        <w:ind w:firstLine="420" w:firstLineChars="200"/>
        <w:rPr>
          <w:rFonts w:cs="宋体"/>
          <w:szCs w:val="21"/>
        </w:rPr>
      </w:pPr>
      <w:bookmarkStart w:id="53" w:name="_Toc287252435"/>
      <w:bookmarkStart w:id="54" w:name="_Toc283507290"/>
      <w:bookmarkStart w:id="55" w:name="_Toc283483073"/>
      <w:r>
        <w:rPr>
          <w:rFonts w:hint="eastAsia" w:cs="宋体"/>
          <w:szCs w:val="21"/>
        </w:rPr>
        <w:t>型式试验的项目内容如下，具体试验要求参见GB1207-2006中的相关规定。</w:t>
      </w:r>
    </w:p>
    <w:p>
      <w:pPr>
        <w:spacing w:line="360" w:lineRule="auto"/>
        <w:rPr>
          <w:rFonts w:cs="宋体"/>
          <w:szCs w:val="21"/>
        </w:rPr>
      </w:pPr>
      <w:r>
        <w:rPr>
          <w:rFonts w:hint="eastAsia" w:cs="宋体"/>
          <w:szCs w:val="21"/>
        </w:rPr>
        <w:t>6.2.1 温升试验</w:t>
      </w:r>
    </w:p>
    <w:p>
      <w:pPr>
        <w:spacing w:line="360" w:lineRule="auto"/>
        <w:rPr>
          <w:rFonts w:cs="宋体"/>
          <w:szCs w:val="21"/>
        </w:rPr>
      </w:pPr>
      <w:r>
        <w:rPr>
          <w:rFonts w:hint="eastAsia" w:cs="宋体"/>
          <w:szCs w:val="21"/>
        </w:rPr>
        <w:t>6.2.2 短路承受能力试验</w:t>
      </w:r>
    </w:p>
    <w:p>
      <w:pPr>
        <w:spacing w:line="360" w:lineRule="auto"/>
        <w:rPr>
          <w:rFonts w:cs="宋体"/>
          <w:szCs w:val="21"/>
        </w:rPr>
      </w:pPr>
      <w:r>
        <w:rPr>
          <w:rFonts w:hint="eastAsia" w:cs="宋体"/>
          <w:szCs w:val="21"/>
        </w:rPr>
        <w:t>6.2.3 额定雷电冲击试验</w:t>
      </w:r>
    </w:p>
    <w:p>
      <w:pPr>
        <w:spacing w:line="360" w:lineRule="auto"/>
        <w:rPr>
          <w:rFonts w:cs="宋体"/>
          <w:szCs w:val="21"/>
        </w:rPr>
      </w:pPr>
      <w:r>
        <w:rPr>
          <w:rFonts w:hint="eastAsia" w:cs="宋体"/>
          <w:szCs w:val="21"/>
        </w:rPr>
        <w:t>6.2.4 户外式互感器的湿试验</w:t>
      </w:r>
    </w:p>
    <w:p>
      <w:pPr>
        <w:spacing w:line="360" w:lineRule="auto"/>
        <w:rPr>
          <w:rFonts w:cs="宋体"/>
          <w:szCs w:val="21"/>
        </w:rPr>
      </w:pPr>
      <w:r>
        <w:rPr>
          <w:rFonts w:hint="eastAsia" w:cs="宋体"/>
          <w:szCs w:val="21"/>
        </w:rPr>
        <w:t>6.2.5 无线电干扰电压试验</w:t>
      </w:r>
    </w:p>
    <w:p>
      <w:pPr>
        <w:spacing w:line="360" w:lineRule="auto"/>
        <w:rPr>
          <w:rFonts w:cs="宋体"/>
          <w:szCs w:val="21"/>
        </w:rPr>
      </w:pPr>
      <w:r>
        <w:rPr>
          <w:rFonts w:hint="eastAsia" w:cs="宋体"/>
          <w:szCs w:val="21"/>
        </w:rPr>
        <w:t>6.2.6 误差测定</w:t>
      </w:r>
    </w:p>
    <w:p>
      <w:pPr>
        <w:spacing w:line="360" w:lineRule="auto"/>
        <w:rPr>
          <w:rFonts w:cs="宋体"/>
          <w:szCs w:val="21"/>
        </w:rPr>
      </w:pPr>
      <w:r>
        <w:rPr>
          <w:rFonts w:hint="eastAsia" w:cs="宋体"/>
          <w:szCs w:val="21"/>
        </w:rPr>
        <w:t>6.2.7 励磁特性测量</w:t>
      </w:r>
    </w:p>
    <w:p>
      <w:pPr>
        <w:adjustRightInd w:val="0"/>
        <w:snapToGrid w:val="0"/>
        <w:spacing w:before="312" w:beforeLines="100" w:after="156" w:afterLines="50"/>
        <w:outlineLvl w:val="1"/>
        <w:rPr>
          <w:rFonts w:eastAsia="黑体"/>
        </w:rPr>
      </w:pPr>
      <w:bookmarkStart w:id="56" w:name="_Toc423550171"/>
      <w:r>
        <w:rPr>
          <w:rFonts w:hint="eastAsia" w:eastAsia="黑体"/>
        </w:rPr>
        <w:t xml:space="preserve">6.3 </w:t>
      </w:r>
      <w:r>
        <w:rPr>
          <w:rFonts w:hint="eastAsia" w:ascii="宋体" w:hAnsi="宋体"/>
        </w:rPr>
        <w:t>★</w:t>
      </w:r>
      <w:r>
        <w:rPr>
          <w:rFonts w:hint="eastAsia" w:eastAsia="黑体"/>
        </w:rPr>
        <w:t>例行试验</w:t>
      </w:r>
      <w:bookmarkEnd w:id="53"/>
      <w:bookmarkEnd w:id="54"/>
      <w:bookmarkEnd w:id="56"/>
    </w:p>
    <w:p>
      <w:pPr>
        <w:spacing w:line="360" w:lineRule="auto"/>
        <w:ind w:firstLine="420" w:firstLineChars="200"/>
        <w:rPr>
          <w:rFonts w:cs="宋体"/>
          <w:szCs w:val="21"/>
        </w:rPr>
      </w:pPr>
      <w:bookmarkStart w:id="57" w:name="_Toc287252436"/>
      <w:r>
        <w:rPr>
          <w:rFonts w:cs="宋体"/>
          <w:szCs w:val="21"/>
        </w:rPr>
        <w:t>互感器在经受规定的绝缘型式试验后，还应经受规定的全部例行试验项目。</w:t>
      </w:r>
      <w:r>
        <w:rPr>
          <w:rFonts w:hint="eastAsia" w:cs="宋体"/>
          <w:szCs w:val="21"/>
        </w:rPr>
        <w:t>具体试验要求参见GB1207-2006中的相关规定。</w:t>
      </w:r>
    </w:p>
    <w:p>
      <w:pPr>
        <w:spacing w:line="360" w:lineRule="auto"/>
        <w:rPr>
          <w:rFonts w:cs="宋体"/>
          <w:szCs w:val="21"/>
        </w:rPr>
      </w:pPr>
      <w:r>
        <w:rPr>
          <w:rFonts w:hint="eastAsia" w:cs="宋体"/>
          <w:szCs w:val="21"/>
        </w:rPr>
        <w:t>6.3.1 端子标志检验</w:t>
      </w:r>
    </w:p>
    <w:p>
      <w:pPr>
        <w:spacing w:line="360" w:lineRule="auto"/>
        <w:rPr>
          <w:rFonts w:cs="宋体"/>
          <w:szCs w:val="21"/>
        </w:rPr>
      </w:pPr>
      <w:r>
        <w:rPr>
          <w:rFonts w:hint="eastAsia" w:cs="宋体"/>
          <w:szCs w:val="21"/>
        </w:rPr>
        <w:t>6.3.2 一次绕组工频耐压试验</w:t>
      </w:r>
    </w:p>
    <w:p>
      <w:pPr>
        <w:spacing w:line="360" w:lineRule="auto"/>
        <w:rPr>
          <w:rFonts w:cs="宋体"/>
          <w:szCs w:val="21"/>
        </w:rPr>
      </w:pPr>
      <w:r>
        <w:rPr>
          <w:rFonts w:hint="eastAsia" w:cs="宋体"/>
          <w:szCs w:val="21"/>
        </w:rPr>
        <w:t>6.3.3 局部放电测量</w:t>
      </w:r>
    </w:p>
    <w:p>
      <w:pPr>
        <w:spacing w:line="360" w:lineRule="auto"/>
        <w:ind w:firstLine="420" w:firstLineChars="200"/>
        <w:rPr>
          <w:rFonts w:cs="宋体"/>
          <w:szCs w:val="21"/>
        </w:rPr>
      </w:pPr>
      <w:r>
        <w:rPr>
          <w:rFonts w:hint="eastAsia" w:cs="宋体"/>
          <w:szCs w:val="21"/>
        </w:rPr>
        <w:t>局部放电测量试验应在6.3.2项试验之后进行。</w:t>
      </w:r>
    </w:p>
    <w:p>
      <w:pPr>
        <w:spacing w:line="360" w:lineRule="auto"/>
        <w:rPr>
          <w:rFonts w:cs="宋体"/>
          <w:szCs w:val="21"/>
        </w:rPr>
      </w:pPr>
      <w:r>
        <w:rPr>
          <w:rFonts w:hint="eastAsia" w:cs="宋体"/>
          <w:szCs w:val="21"/>
        </w:rPr>
        <w:t>6.3.4 二次绕组工频耐压试验</w:t>
      </w:r>
    </w:p>
    <w:p>
      <w:pPr>
        <w:spacing w:line="360" w:lineRule="auto"/>
        <w:rPr>
          <w:rFonts w:cs="宋体"/>
          <w:szCs w:val="21"/>
        </w:rPr>
      </w:pPr>
      <w:r>
        <w:rPr>
          <w:rFonts w:hint="eastAsia" w:cs="宋体"/>
          <w:szCs w:val="21"/>
        </w:rPr>
        <w:t>6.3.5 绕组段间工频耐压试验</w:t>
      </w:r>
    </w:p>
    <w:p>
      <w:pPr>
        <w:spacing w:line="360" w:lineRule="auto"/>
        <w:rPr>
          <w:rFonts w:cs="宋体"/>
          <w:szCs w:val="21"/>
        </w:rPr>
      </w:pPr>
      <w:r>
        <w:rPr>
          <w:rFonts w:hint="eastAsia" w:cs="宋体"/>
          <w:szCs w:val="21"/>
        </w:rPr>
        <w:t>6.3.6介质损耗因数测量</w:t>
      </w:r>
    </w:p>
    <w:p>
      <w:pPr>
        <w:spacing w:line="360" w:lineRule="auto"/>
        <w:rPr>
          <w:rFonts w:cs="宋体"/>
          <w:szCs w:val="21"/>
        </w:rPr>
      </w:pPr>
      <w:r>
        <w:rPr>
          <w:rFonts w:hint="eastAsia" w:cs="宋体"/>
          <w:szCs w:val="21"/>
        </w:rPr>
        <w:t>6.3.7 励磁特性测量</w:t>
      </w:r>
    </w:p>
    <w:p>
      <w:pPr>
        <w:spacing w:line="360" w:lineRule="auto"/>
        <w:rPr>
          <w:rFonts w:cs="宋体"/>
          <w:szCs w:val="21"/>
        </w:rPr>
      </w:pPr>
      <w:r>
        <w:rPr>
          <w:rFonts w:hint="eastAsia" w:cs="宋体"/>
          <w:szCs w:val="21"/>
        </w:rPr>
        <w:t>6.3.8 准确度检验（误差测定）</w:t>
      </w:r>
    </w:p>
    <w:p>
      <w:pPr>
        <w:spacing w:line="360" w:lineRule="auto"/>
        <w:ind w:firstLine="420" w:firstLineChars="200"/>
        <w:rPr>
          <w:rFonts w:cs="宋体"/>
          <w:szCs w:val="21"/>
        </w:rPr>
      </w:pPr>
      <w:r>
        <w:rPr>
          <w:rFonts w:hint="eastAsia" w:cs="宋体"/>
          <w:szCs w:val="21"/>
        </w:rPr>
        <w:t>误差检定试验应在其他试验后进行。</w:t>
      </w:r>
    </w:p>
    <w:p>
      <w:pPr>
        <w:adjustRightInd w:val="0"/>
        <w:snapToGrid w:val="0"/>
        <w:spacing w:before="312" w:beforeLines="100" w:after="156" w:afterLines="50"/>
        <w:outlineLvl w:val="1"/>
        <w:rPr>
          <w:rFonts w:eastAsia="黑体"/>
        </w:rPr>
      </w:pPr>
      <w:bookmarkStart w:id="58" w:name="_Toc423550172"/>
      <w:r>
        <w:rPr>
          <w:rFonts w:hint="eastAsia" w:eastAsia="黑体"/>
        </w:rPr>
        <w:t>6.4特殊试验</w:t>
      </w:r>
      <w:bookmarkEnd w:id="55"/>
      <w:bookmarkEnd w:id="57"/>
      <w:bookmarkEnd w:id="58"/>
    </w:p>
    <w:p>
      <w:pPr>
        <w:spacing w:line="360" w:lineRule="auto"/>
        <w:ind w:firstLine="525" w:firstLineChars="250"/>
        <w:rPr>
          <w:rFonts w:ascii="宋体" w:cs="宋体"/>
          <w:szCs w:val="21"/>
        </w:rPr>
      </w:pPr>
      <w:bookmarkStart w:id="59" w:name="_Toc283483074"/>
      <w:bookmarkStart w:id="60" w:name="_Toc287252437"/>
      <w:bookmarkStart w:id="61" w:name="_Toc283483075"/>
      <w:r>
        <w:rPr>
          <w:rFonts w:hint="eastAsia" w:ascii="宋体" w:cs="宋体"/>
          <w:szCs w:val="21"/>
        </w:rPr>
        <w:t>运行单位可根据设备的技术特点增减试验项目，具体试验要求参见GB1207-2006中的相关规定。</w:t>
      </w:r>
    </w:p>
    <w:p>
      <w:pPr>
        <w:spacing w:line="360" w:lineRule="auto"/>
        <w:rPr>
          <w:rFonts w:cs="宋体"/>
          <w:szCs w:val="21"/>
        </w:rPr>
      </w:pPr>
      <w:r>
        <w:rPr>
          <w:rFonts w:hint="eastAsia" w:cs="宋体"/>
          <w:szCs w:val="21"/>
        </w:rPr>
        <w:t>6.4.1 耐震试验</w:t>
      </w:r>
      <w:r>
        <w:rPr>
          <w:rFonts w:cs="宋体"/>
          <w:szCs w:val="21"/>
        </w:rPr>
        <w:t xml:space="preserve"> </w:t>
      </w:r>
    </w:p>
    <w:p>
      <w:pPr>
        <w:spacing w:line="360" w:lineRule="auto"/>
        <w:rPr>
          <w:rFonts w:cs="宋体"/>
          <w:szCs w:val="21"/>
        </w:rPr>
      </w:pPr>
      <w:r>
        <w:rPr>
          <w:rFonts w:hint="eastAsia" w:cs="宋体"/>
          <w:szCs w:val="21"/>
        </w:rPr>
        <w:t>6.4.2 机械强度试验</w:t>
      </w:r>
      <w:r>
        <w:rPr>
          <w:rFonts w:cs="宋体"/>
          <w:szCs w:val="21"/>
        </w:rPr>
        <w:t xml:space="preserve"> </w:t>
      </w:r>
    </w:p>
    <w:bookmarkEnd w:id="59"/>
    <w:p>
      <w:pPr>
        <w:adjustRightInd w:val="0"/>
        <w:snapToGrid w:val="0"/>
        <w:spacing w:before="312" w:beforeLines="100" w:after="156" w:afterLines="50"/>
        <w:outlineLvl w:val="1"/>
        <w:rPr>
          <w:rFonts w:eastAsia="黑体"/>
        </w:rPr>
      </w:pPr>
      <w:bookmarkStart w:id="62" w:name="_Toc423550173"/>
      <w:r>
        <w:rPr>
          <w:rFonts w:hint="eastAsia" w:eastAsia="黑体"/>
        </w:rPr>
        <w:t>6.5现场交接试验</w:t>
      </w:r>
      <w:bookmarkEnd w:id="60"/>
      <w:bookmarkEnd w:id="61"/>
      <w:bookmarkEnd w:id="62"/>
      <w:r>
        <w:rPr>
          <w:rFonts w:eastAsia="黑体"/>
        </w:rPr>
        <w:t xml:space="preserve"> </w:t>
      </w:r>
    </w:p>
    <w:p>
      <w:pPr>
        <w:spacing w:line="360" w:lineRule="auto"/>
        <w:ind w:firstLine="420" w:firstLineChars="200"/>
        <w:rPr>
          <w:rFonts w:cs="宋体"/>
          <w:szCs w:val="21"/>
        </w:rPr>
      </w:pPr>
      <w:r>
        <w:rPr>
          <w:rFonts w:hint="eastAsia" w:cs="宋体"/>
          <w:szCs w:val="21"/>
        </w:rPr>
        <w:t>具体要求</w:t>
      </w:r>
      <w:r>
        <w:rPr>
          <w:rFonts w:cs="宋体"/>
          <w:szCs w:val="21"/>
        </w:rPr>
        <w:t>按GB50150-2006《电气装置安装工程电气交接试验标准》执行</w:t>
      </w:r>
      <w:r>
        <w:rPr>
          <w:rFonts w:hint="eastAsia" w:cs="宋体"/>
          <w:szCs w:val="21"/>
        </w:rPr>
        <w:t>。</w:t>
      </w:r>
    </w:p>
    <w:p>
      <w:pPr>
        <w:spacing w:line="360" w:lineRule="auto"/>
        <w:rPr>
          <w:rFonts w:cs="宋体"/>
          <w:szCs w:val="21"/>
        </w:rPr>
      </w:pPr>
      <w:r>
        <w:rPr>
          <w:rFonts w:hint="eastAsia" w:cs="宋体"/>
          <w:szCs w:val="21"/>
        </w:rPr>
        <w:t>6.5.1 出线端子标志检验</w:t>
      </w:r>
    </w:p>
    <w:p>
      <w:pPr>
        <w:spacing w:line="360" w:lineRule="auto"/>
        <w:rPr>
          <w:rFonts w:cs="宋体"/>
          <w:szCs w:val="21"/>
        </w:rPr>
      </w:pPr>
      <w:r>
        <w:rPr>
          <w:rFonts w:hint="eastAsia" w:cs="宋体"/>
          <w:szCs w:val="21"/>
        </w:rPr>
        <w:t>6.5.2 绝缘电阻测量</w:t>
      </w:r>
    </w:p>
    <w:p>
      <w:pPr>
        <w:spacing w:line="360" w:lineRule="auto"/>
        <w:rPr>
          <w:rFonts w:cs="宋体"/>
          <w:szCs w:val="21"/>
        </w:rPr>
      </w:pPr>
      <w:r>
        <w:rPr>
          <w:rFonts w:hint="eastAsia" w:cs="宋体"/>
          <w:szCs w:val="21"/>
        </w:rPr>
        <w:t>6.5.3介质损耗因数测量试验</w:t>
      </w:r>
    </w:p>
    <w:p>
      <w:pPr>
        <w:spacing w:line="360" w:lineRule="auto"/>
        <w:rPr>
          <w:rFonts w:cs="宋体"/>
          <w:szCs w:val="21"/>
        </w:rPr>
      </w:pPr>
      <w:r>
        <w:rPr>
          <w:rFonts w:hint="eastAsia" w:cs="宋体"/>
          <w:szCs w:val="21"/>
        </w:rPr>
        <w:t>6.5.4 绕组直流电阻测量</w:t>
      </w:r>
    </w:p>
    <w:p>
      <w:pPr>
        <w:spacing w:line="360" w:lineRule="auto"/>
        <w:rPr>
          <w:rFonts w:cs="宋体"/>
          <w:szCs w:val="21"/>
        </w:rPr>
      </w:pPr>
      <w:r>
        <w:rPr>
          <w:rFonts w:hint="eastAsia" w:cs="宋体"/>
          <w:szCs w:val="21"/>
        </w:rPr>
        <w:t>6.5.5 交流耐压试验</w:t>
      </w:r>
    </w:p>
    <w:p>
      <w:pPr>
        <w:spacing w:line="360" w:lineRule="auto"/>
        <w:rPr>
          <w:rFonts w:cs="宋体"/>
          <w:szCs w:val="21"/>
        </w:rPr>
      </w:pPr>
      <w:r>
        <w:rPr>
          <w:rFonts w:hint="eastAsia" w:cs="宋体"/>
          <w:szCs w:val="21"/>
        </w:rPr>
        <w:t>6.5.6 局部放电试验</w:t>
      </w:r>
    </w:p>
    <w:p>
      <w:pPr>
        <w:spacing w:line="360" w:lineRule="auto"/>
        <w:ind w:firstLine="420" w:firstLineChars="200"/>
        <w:rPr>
          <w:rFonts w:cs="宋体"/>
          <w:szCs w:val="21"/>
        </w:rPr>
      </w:pPr>
      <w:r>
        <w:rPr>
          <w:rFonts w:hint="eastAsia" w:cs="宋体"/>
          <w:szCs w:val="21"/>
        </w:rPr>
        <w:t>结合产品抽检进行。</w:t>
      </w:r>
    </w:p>
    <w:p>
      <w:pPr>
        <w:spacing w:line="360" w:lineRule="auto"/>
        <w:rPr>
          <w:rFonts w:cs="宋体"/>
          <w:szCs w:val="21"/>
        </w:rPr>
      </w:pPr>
      <w:r>
        <w:rPr>
          <w:rFonts w:hint="eastAsia" w:cs="宋体"/>
          <w:szCs w:val="21"/>
        </w:rPr>
        <w:t>6.5.7 励磁特性曲线试验</w:t>
      </w:r>
    </w:p>
    <w:p>
      <w:pPr>
        <w:spacing w:line="360" w:lineRule="auto"/>
        <w:rPr>
          <w:rFonts w:cs="宋体"/>
          <w:szCs w:val="21"/>
        </w:rPr>
      </w:pPr>
      <w:r>
        <w:rPr>
          <w:rFonts w:hint="eastAsia" w:cs="宋体"/>
          <w:szCs w:val="21"/>
        </w:rPr>
        <w:t>6.5.8 精度测量试验</w:t>
      </w:r>
    </w:p>
    <w:p>
      <w:pPr>
        <w:spacing w:line="360" w:lineRule="auto"/>
        <w:rPr>
          <w:rFonts w:cs="宋体"/>
          <w:szCs w:val="21"/>
        </w:rPr>
      </w:pPr>
      <w:r>
        <w:rPr>
          <w:rFonts w:hint="eastAsia" w:cs="宋体"/>
          <w:szCs w:val="21"/>
        </w:rPr>
        <w:t>6.5. 9 准确度测定</w:t>
      </w:r>
    </w:p>
    <w:p>
      <w:pPr>
        <w:pStyle w:val="2"/>
        <w:numPr>
          <w:ilvl w:val="0"/>
          <w:numId w:val="0"/>
        </w:numPr>
        <w:adjustRightInd w:val="0"/>
        <w:spacing w:before="156" w:beforeLines="50"/>
        <w:rPr>
          <w:rFonts w:ascii="黑体" w:eastAsia="黑体"/>
          <w:b w:val="0"/>
        </w:rPr>
      </w:pPr>
      <w:bookmarkStart w:id="63" w:name="_Toc423550174"/>
      <w:r>
        <w:rPr>
          <w:rFonts w:hint="eastAsia" w:ascii="黑体" w:eastAsia="黑体"/>
          <w:b w:val="0"/>
        </w:rPr>
        <w:t>7 产品对环境的影响</w:t>
      </w:r>
      <w:bookmarkEnd w:id="45"/>
      <w:bookmarkEnd w:id="46"/>
      <w:bookmarkEnd w:id="63"/>
    </w:p>
    <w:p>
      <w:pPr>
        <w:adjustRightInd w:val="0"/>
        <w:snapToGrid w:val="0"/>
        <w:spacing w:line="360" w:lineRule="auto"/>
        <w:ind w:firstLine="420" w:firstLineChars="200"/>
        <w:rPr>
          <w:szCs w:val="21"/>
        </w:rPr>
      </w:pPr>
      <w:bookmarkStart w:id="64" w:name="_Toc276492433"/>
      <w:bookmarkStart w:id="65" w:name="_Toc276490915"/>
      <w:r>
        <w:rPr>
          <w:rFonts w:hint="eastAsia"/>
          <w:szCs w:val="21"/>
        </w:rPr>
        <w:t>1</w:t>
      </w:r>
      <w:r>
        <w:rPr>
          <w:rFonts w:hint="eastAsia" w:hAnsi="宋体"/>
          <w:szCs w:val="21"/>
        </w:rPr>
        <w:t>）坚持以资源节约型和环境友好型原则，同时应考虑降低投资成本和提高运行经济性。</w:t>
      </w:r>
    </w:p>
    <w:p>
      <w:pPr>
        <w:adjustRightInd w:val="0"/>
        <w:snapToGrid w:val="0"/>
        <w:spacing w:line="360" w:lineRule="auto"/>
        <w:ind w:firstLine="420" w:firstLineChars="200"/>
        <w:rPr>
          <w:szCs w:val="21"/>
        </w:rPr>
      </w:pPr>
      <w:r>
        <w:rPr>
          <w:rFonts w:hint="eastAsia"/>
          <w:szCs w:val="21"/>
        </w:rPr>
        <w:t>2</w:t>
      </w:r>
      <w:r>
        <w:rPr>
          <w:rFonts w:hint="eastAsia" w:hAnsi="宋体"/>
          <w:szCs w:val="21"/>
        </w:rPr>
        <w:t>）应对噪声、工频电场和磁场、高频电磁波、通信干扰等方面采取必要的防治措施，并满足国家相关标准的要求。</w:t>
      </w:r>
    </w:p>
    <w:p>
      <w:pPr>
        <w:adjustRightInd w:val="0"/>
        <w:snapToGrid w:val="0"/>
        <w:spacing w:line="360" w:lineRule="auto"/>
        <w:ind w:firstLine="420" w:firstLineChars="200"/>
        <w:rPr>
          <w:szCs w:val="21"/>
        </w:rPr>
      </w:pPr>
      <w:r>
        <w:rPr>
          <w:rFonts w:hint="eastAsia"/>
          <w:szCs w:val="21"/>
        </w:rPr>
        <w:t>3</w:t>
      </w:r>
      <w:r>
        <w:rPr>
          <w:rFonts w:hint="eastAsia" w:hAnsi="宋体"/>
          <w:szCs w:val="21"/>
        </w:rPr>
        <w:t>）推广采用高可靠性、小型化和节能型设备。</w:t>
      </w:r>
    </w:p>
    <w:p>
      <w:pPr>
        <w:adjustRightInd w:val="0"/>
        <w:snapToGrid w:val="0"/>
        <w:spacing w:line="360" w:lineRule="auto"/>
        <w:ind w:firstLine="420" w:firstLineChars="200"/>
        <w:rPr>
          <w:szCs w:val="21"/>
        </w:rPr>
      </w:pPr>
      <w:r>
        <w:rPr>
          <w:rFonts w:hint="eastAsia"/>
          <w:szCs w:val="21"/>
        </w:rPr>
        <w:t>4</w:t>
      </w:r>
      <w:r>
        <w:rPr>
          <w:rFonts w:hint="eastAsia" w:hAnsi="宋体"/>
          <w:szCs w:val="21"/>
        </w:rPr>
        <w:t>）优先选用损耗低的产品。</w:t>
      </w:r>
    </w:p>
    <w:p>
      <w:pPr>
        <w:pStyle w:val="2"/>
        <w:numPr>
          <w:ilvl w:val="0"/>
          <w:numId w:val="0"/>
        </w:numPr>
        <w:adjustRightInd w:val="0"/>
        <w:spacing w:before="0" w:beforeLines="0"/>
        <w:rPr>
          <w:rFonts w:ascii="黑体" w:eastAsia="黑体"/>
          <w:b w:val="0"/>
        </w:rPr>
      </w:pPr>
      <w:bookmarkStart w:id="66" w:name="_Toc423550175"/>
      <w:r>
        <w:rPr>
          <w:rFonts w:hint="eastAsia" w:ascii="黑体" w:eastAsia="黑体"/>
          <w:b w:val="0"/>
        </w:rPr>
        <w:t xml:space="preserve">8 </w:t>
      </w:r>
      <w:bookmarkEnd w:id="64"/>
      <w:bookmarkEnd w:id="65"/>
      <w:r>
        <w:rPr>
          <w:rFonts w:hint="eastAsia" w:ascii="黑体" w:eastAsia="黑体"/>
          <w:b w:val="0"/>
        </w:rPr>
        <w:t>企业VI标识</w:t>
      </w:r>
      <w:bookmarkEnd w:id="66"/>
    </w:p>
    <w:p>
      <w:pPr>
        <w:adjustRightInd w:val="0"/>
        <w:snapToGrid w:val="0"/>
        <w:spacing w:line="360" w:lineRule="auto"/>
        <w:ind w:firstLine="420" w:firstLineChars="200"/>
        <w:rPr>
          <w:szCs w:val="21"/>
        </w:rPr>
      </w:pPr>
      <w:bookmarkStart w:id="67" w:name="_Toc277686859"/>
      <w:bookmarkStart w:id="68" w:name="_Toc277255901"/>
      <w:bookmarkStart w:id="69" w:name="_Toc276490916"/>
      <w:bookmarkStart w:id="70" w:name="_Toc276492434"/>
      <w:bookmarkStart w:id="71" w:name="_Toc279695206"/>
      <w:r>
        <w:rPr>
          <w:rFonts w:hint="eastAsia"/>
          <w:szCs w:val="21"/>
        </w:rPr>
        <w:t>a）设备外立面上应有统一的</w:t>
      </w:r>
      <w:r>
        <w:rPr>
          <w:rFonts w:hint="eastAsia" w:ascii="宋体" w:hAnsi="宋体"/>
          <w:szCs w:val="20"/>
        </w:rPr>
        <w:t>中国南方电网有限责任公司</w:t>
      </w:r>
      <w:r>
        <w:rPr>
          <w:rFonts w:hint="eastAsia"/>
          <w:szCs w:val="21"/>
        </w:rPr>
        <w:t>企业VI标识，并符合《中国南方电网视觉识别系统管理手册》的要求。</w:t>
      </w:r>
      <w:bookmarkEnd w:id="67"/>
      <w:bookmarkEnd w:id="68"/>
    </w:p>
    <w:p>
      <w:pPr>
        <w:adjustRightInd w:val="0"/>
        <w:snapToGrid w:val="0"/>
        <w:spacing w:line="360" w:lineRule="auto"/>
        <w:ind w:firstLine="420" w:firstLineChars="200"/>
        <w:rPr>
          <w:szCs w:val="21"/>
        </w:rPr>
      </w:pPr>
      <w:bookmarkStart w:id="72" w:name="_Toc277686860"/>
      <w:bookmarkStart w:id="73" w:name="_Toc277686861"/>
      <w:bookmarkStart w:id="74" w:name="_Toc277255903"/>
      <w:r>
        <w:rPr>
          <w:rFonts w:hint="eastAsia"/>
          <w:szCs w:val="21"/>
        </w:rPr>
        <w:t>b）标识的内容构成：</w:t>
      </w:r>
      <w:r>
        <w:rPr>
          <w:rFonts w:hint="eastAsia" w:ascii="宋体" w:hAnsi="宋体"/>
          <w:szCs w:val="20"/>
        </w:rPr>
        <w:t>中国南方电网有限责任公司</w:t>
      </w:r>
      <w:r>
        <w:rPr>
          <w:rFonts w:hint="eastAsia"/>
          <w:szCs w:val="21"/>
        </w:rPr>
        <w:t>标志、“中国南方电网”中英文名称。</w:t>
      </w:r>
      <w:bookmarkEnd w:id="72"/>
    </w:p>
    <w:p>
      <w:pPr>
        <w:adjustRightInd w:val="0"/>
        <w:snapToGrid w:val="0"/>
        <w:spacing w:line="360" w:lineRule="auto"/>
        <w:ind w:firstLine="420" w:firstLineChars="200"/>
        <w:rPr>
          <w:szCs w:val="21"/>
        </w:rPr>
      </w:pPr>
      <w:r>
        <w:rPr>
          <w:rFonts w:hint="eastAsia"/>
          <w:szCs w:val="21"/>
        </w:rPr>
        <w:t>c）颜色：标识采用企业标准色 C100 M69 Y0 K38，背景采用白色。</w:t>
      </w:r>
      <w:bookmarkEnd w:id="73"/>
      <w:bookmarkEnd w:id="74"/>
    </w:p>
    <w:p>
      <w:pPr>
        <w:adjustRightInd w:val="0"/>
        <w:snapToGrid w:val="0"/>
        <w:spacing w:line="360" w:lineRule="auto"/>
        <w:ind w:firstLine="420" w:firstLineChars="200"/>
        <w:rPr>
          <w:szCs w:val="21"/>
        </w:rPr>
      </w:pPr>
      <w:bookmarkStart w:id="75" w:name="_Toc277686862"/>
      <w:bookmarkStart w:id="76" w:name="_Toc277255904"/>
      <w:r>
        <w:rPr>
          <w:rFonts w:hint="eastAsia"/>
          <w:szCs w:val="21"/>
        </w:rPr>
        <w:t>d）材质选用厚度为3mm的拉丝不锈钢板，工艺为表面文字蚀刻、烤漆入色。</w:t>
      </w:r>
      <w:bookmarkEnd w:id="75"/>
      <w:bookmarkEnd w:id="76"/>
    </w:p>
    <w:p>
      <w:pPr>
        <w:adjustRightInd w:val="0"/>
        <w:snapToGrid w:val="0"/>
        <w:spacing w:line="360" w:lineRule="auto"/>
        <w:ind w:firstLine="420" w:firstLineChars="200"/>
        <w:rPr>
          <w:szCs w:val="21"/>
        </w:rPr>
      </w:pPr>
      <w:bookmarkStart w:id="77" w:name="_Toc277686863"/>
      <w:r>
        <w:rPr>
          <w:rFonts w:hint="eastAsia"/>
          <w:szCs w:val="21"/>
        </w:rPr>
        <w:t>e）企业标识安装在设备外立面正面醒目位置。</w:t>
      </w:r>
      <w:bookmarkEnd w:id="69"/>
      <w:bookmarkEnd w:id="70"/>
      <w:bookmarkEnd w:id="77"/>
    </w:p>
    <w:p>
      <w:pPr>
        <w:pStyle w:val="2"/>
        <w:numPr>
          <w:ilvl w:val="0"/>
          <w:numId w:val="0"/>
        </w:numPr>
        <w:adjustRightInd w:val="0"/>
        <w:spacing w:before="0" w:beforeLines="0"/>
        <w:rPr>
          <w:rFonts w:ascii="黑体" w:hAnsi="宋体" w:eastAsia="黑体"/>
          <w:b w:val="0"/>
        </w:rPr>
      </w:pPr>
      <w:bookmarkStart w:id="78" w:name="_Toc423550176"/>
      <w:r>
        <w:rPr>
          <w:rFonts w:hint="eastAsia" w:ascii="黑体" w:eastAsia="黑体"/>
          <w:b w:val="0"/>
        </w:rPr>
        <w:t>9 技术文件</w:t>
      </w:r>
      <w:bookmarkEnd w:id="71"/>
      <w:r>
        <w:rPr>
          <w:rFonts w:hint="eastAsia" w:ascii="黑体" w:eastAsia="黑体"/>
          <w:b w:val="0"/>
        </w:rPr>
        <w:t>要求</w:t>
      </w:r>
      <w:bookmarkEnd w:id="78"/>
    </w:p>
    <w:p>
      <w:pPr>
        <w:adjustRightInd w:val="0"/>
        <w:snapToGrid w:val="0"/>
        <w:spacing w:line="360" w:lineRule="auto"/>
        <w:ind w:firstLine="420" w:firstLineChars="200"/>
        <w:rPr>
          <w:szCs w:val="21"/>
        </w:rPr>
      </w:pPr>
      <w:r>
        <w:rPr>
          <w:rFonts w:hint="eastAsia"/>
        </w:rPr>
        <w:t>投标方应承诺在签订合同</w:t>
      </w:r>
      <w:r>
        <w:rPr>
          <w:rFonts w:hint="eastAsia"/>
          <w:u w:val="single"/>
        </w:rPr>
        <w:t xml:space="preserve">  10天    </w:t>
      </w:r>
      <w:r>
        <w:rPr>
          <w:rFonts w:hint="eastAsia"/>
        </w:rPr>
        <w:t>内（项目单位填写</w:t>
      </w:r>
      <w:r>
        <w:t>）</w:t>
      </w:r>
      <w:r>
        <w:rPr>
          <w:rFonts w:hint="eastAsia"/>
        </w:rPr>
        <w:t>提供以下所列（但不限于下列资料、图纸、文件，投标方应承诺提供招标方提出的所有所需资料、图纸、文件供工程设计、安装、运维使用）的图纸、资料、文件纸质版6套，电子版光盘2套（含AutoCAD图）。</w:t>
      </w:r>
    </w:p>
    <w:p>
      <w:pPr>
        <w:pStyle w:val="58"/>
        <w:spacing w:line="360" w:lineRule="auto"/>
        <w:ind w:firstLine="0" w:firstLineChars="0"/>
        <w:rPr>
          <w:rFonts w:ascii="Times New Roman"/>
          <w:szCs w:val="21"/>
        </w:rPr>
      </w:pPr>
      <w:bookmarkStart w:id="79" w:name="_Toc279769048"/>
      <w:bookmarkStart w:id="80" w:name="_Toc283011675"/>
      <w:bookmarkStart w:id="81" w:name="_Toc282428315"/>
      <w:bookmarkStart w:id="82" w:name="_Toc283142581"/>
      <w:bookmarkStart w:id="83" w:name="_Toc282433723"/>
      <w:r>
        <w:rPr>
          <w:rFonts w:hint="eastAsia" w:ascii="Times New Roman"/>
          <w:szCs w:val="21"/>
        </w:rPr>
        <w:t xml:space="preserve">9.1 </w:t>
      </w:r>
      <w:r>
        <w:rPr>
          <w:rFonts w:ascii="Times New Roman"/>
          <w:szCs w:val="21"/>
        </w:rPr>
        <w:t>随投标文件一起提供的一般性资料，包括型式试验报告</w:t>
      </w:r>
      <w:r>
        <w:rPr>
          <w:rFonts w:hint="eastAsia" w:ascii="Times New Roman" w:cs="宋体"/>
          <w:szCs w:val="21"/>
        </w:rPr>
        <w:t>（有效期内）、例行试验报告（每台）、特殊试验报告</w:t>
      </w:r>
      <w:r>
        <w:rPr>
          <w:rFonts w:ascii="Times New Roman"/>
          <w:szCs w:val="21"/>
        </w:rPr>
        <w:t>、鉴定证书、安装使用说明书、总装图</w:t>
      </w:r>
      <w:r>
        <w:rPr>
          <w:rFonts w:hint="eastAsia" w:ascii="Times New Roman"/>
          <w:szCs w:val="21"/>
        </w:rPr>
        <w:t>、</w:t>
      </w:r>
      <w:r>
        <w:rPr>
          <w:rFonts w:ascii="Times New Roman"/>
          <w:szCs w:val="21"/>
        </w:rPr>
        <w:t>主要技术参数</w:t>
      </w:r>
      <w:r>
        <w:rPr>
          <w:rFonts w:hint="eastAsia" w:ascii="Times New Roman"/>
          <w:szCs w:val="21"/>
        </w:rPr>
        <w:t>、符合技术要求的互感器运行业绩和相关技术整改措施（如果有）等。</w:t>
      </w:r>
    </w:p>
    <w:bookmarkEnd w:id="79"/>
    <w:p>
      <w:pPr>
        <w:pStyle w:val="58"/>
        <w:spacing w:line="360" w:lineRule="auto"/>
        <w:ind w:firstLine="0" w:firstLineChars="0"/>
        <w:rPr>
          <w:rFonts w:ascii="Times New Roman"/>
          <w:szCs w:val="21"/>
        </w:rPr>
      </w:pPr>
      <w:bookmarkStart w:id="84" w:name="_Toc279769049"/>
      <w:r>
        <w:rPr>
          <w:rFonts w:hint="eastAsia" w:ascii="Times New Roman"/>
          <w:szCs w:val="21"/>
        </w:rPr>
        <w:t>9.2</w:t>
      </w:r>
      <w:bookmarkEnd w:id="84"/>
      <w:r>
        <w:rPr>
          <w:rFonts w:hint="eastAsia" w:ascii="Times New Roman"/>
          <w:szCs w:val="21"/>
        </w:rPr>
        <w:t xml:space="preserve"> </w:t>
      </w:r>
      <w:r>
        <w:rPr>
          <w:rFonts w:ascii="Times New Roman"/>
          <w:szCs w:val="21"/>
        </w:rPr>
        <w:t>在技术协议签订10天内，投标方向招标方提供下列图纸资料及其AutoCAD格式的电子文档光盘2份。</w:t>
      </w:r>
    </w:p>
    <w:p>
      <w:pPr>
        <w:pStyle w:val="58"/>
        <w:spacing w:line="360" w:lineRule="auto"/>
        <w:ind w:firstLine="0" w:firstLineChars="0"/>
        <w:rPr>
          <w:rFonts w:ascii="Times New Roman"/>
          <w:szCs w:val="21"/>
        </w:rPr>
      </w:pPr>
      <w:r>
        <w:rPr>
          <w:rFonts w:hint="eastAsia" w:ascii="Times New Roman"/>
          <w:szCs w:val="21"/>
        </w:rPr>
        <w:t>9.3 供货时，开箱资料除了9.2条所规定的图纸资料外，</w:t>
      </w:r>
      <w:r>
        <w:rPr>
          <w:rFonts w:ascii="Times New Roman"/>
          <w:szCs w:val="21"/>
        </w:rPr>
        <w:t>还应提供下列资料，均为一式8份：</w:t>
      </w:r>
    </w:p>
    <w:p>
      <w:pPr>
        <w:adjustRightInd w:val="0"/>
        <w:snapToGrid w:val="0"/>
        <w:spacing w:line="360" w:lineRule="auto"/>
        <w:rPr>
          <w:kern w:val="0"/>
          <w:szCs w:val="21"/>
        </w:rPr>
      </w:pPr>
      <w:r>
        <w:rPr>
          <w:rFonts w:hint="eastAsia"/>
          <w:kern w:val="0"/>
          <w:szCs w:val="21"/>
        </w:rPr>
        <w:t>9.3.1 认可图</w:t>
      </w:r>
    </w:p>
    <w:p>
      <w:pPr>
        <w:adjustRightInd w:val="0"/>
        <w:snapToGrid w:val="0"/>
        <w:spacing w:line="360" w:lineRule="auto"/>
        <w:rPr>
          <w:kern w:val="0"/>
          <w:szCs w:val="21"/>
        </w:rPr>
      </w:pPr>
      <w:r>
        <w:rPr>
          <w:rFonts w:hint="eastAsia"/>
          <w:kern w:val="0"/>
          <w:szCs w:val="21"/>
        </w:rPr>
        <w:t>9.3.2 最终图</w:t>
      </w:r>
    </w:p>
    <w:p>
      <w:pPr>
        <w:adjustRightInd w:val="0"/>
        <w:snapToGrid w:val="0"/>
        <w:spacing w:line="360" w:lineRule="auto"/>
        <w:rPr>
          <w:kern w:val="0"/>
          <w:szCs w:val="21"/>
        </w:rPr>
      </w:pPr>
      <w:r>
        <w:rPr>
          <w:rFonts w:hint="eastAsia"/>
          <w:kern w:val="0"/>
          <w:szCs w:val="21"/>
        </w:rPr>
        <w:t>9.3.3 安装、运行、维护说明书及试验报告</w:t>
      </w:r>
    </w:p>
    <w:p>
      <w:pPr>
        <w:adjustRightInd w:val="0"/>
        <w:snapToGrid w:val="0"/>
        <w:spacing w:line="360" w:lineRule="auto"/>
        <w:rPr>
          <w:kern w:val="0"/>
          <w:szCs w:val="21"/>
        </w:rPr>
      </w:pPr>
      <w:r>
        <w:rPr>
          <w:rFonts w:hint="eastAsia"/>
          <w:kern w:val="0"/>
          <w:szCs w:val="21"/>
        </w:rPr>
        <w:t>9.3.4 需提供的互感器图纸</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1）总装图。</w:t>
      </w:r>
      <w:r>
        <w:rPr>
          <w:rFonts w:ascii="Times New Roman" w:eastAsia="宋体"/>
          <w:sz w:val="21"/>
          <w:szCs w:val="21"/>
        </w:rPr>
        <w:t xml:space="preserve"> </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2）基础安装尺寸图。</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3）电气原理图。</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4）吊装图。</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5）铭牌图。</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6）运输运装示意图，包括运输尺寸等。</w:t>
      </w:r>
      <w:r>
        <w:rPr>
          <w:rFonts w:ascii="Times New Roman" w:eastAsia="宋体"/>
          <w:sz w:val="21"/>
          <w:szCs w:val="21"/>
        </w:rPr>
        <w:t xml:space="preserve"> </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7）一次绕组和主绝缘的绝缘构造图。</w:t>
      </w:r>
      <w:r>
        <w:rPr>
          <w:rFonts w:ascii="Times New Roman" w:eastAsia="宋体"/>
          <w:sz w:val="21"/>
          <w:szCs w:val="21"/>
        </w:rPr>
        <w:t xml:space="preserve">    </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8）二次绕组接线和布置图</w:t>
      </w:r>
      <w:r>
        <w:rPr>
          <w:rFonts w:ascii="Times New Roman" w:eastAsia="宋体"/>
          <w:sz w:val="21"/>
          <w:szCs w:val="21"/>
        </w:rPr>
        <w:t xml:space="preserve"> </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9）二次端子箱端子接线图。</w:t>
      </w:r>
      <w:r>
        <w:rPr>
          <w:rFonts w:ascii="Times New Roman" w:eastAsia="宋体"/>
          <w:sz w:val="21"/>
          <w:szCs w:val="21"/>
        </w:rPr>
        <w:t xml:space="preserve"> </w:t>
      </w:r>
    </w:p>
    <w:p>
      <w:pPr>
        <w:pStyle w:val="83"/>
        <w:spacing w:line="360" w:lineRule="auto"/>
        <w:ind w:firstLine="420" w:firstLineChars="200"/>
        <w:rPr>
          <w:rFonts w:ascii="Times New Roman" w:eastAsia="宋体"/>
          <w:sz w:val="21"/>
          <w:szCs w:val="21"/>
        </w:rPr>
      </w:pPr>
      <w:r>
        <w:rPr>
          <w:rFonts w:hint="eastAsia" w:ascii="Times New Roman" w:eastAsia="宋体"/>
          <w:sz w:val="21"/>
          <w:szCs w:val="21"/>
        </w:rPr>
        <w:t>10）产品说明书（安装使用说明、技术条件、备件、装箱单）。</w:t>
      </w:r>
    </w:p>
    <w:p>
      <w:pPr>
        <w:pStyle w:val="83"/>
        <w:spacing w:line="360" w:lineRule="auto"/>
        <w:ind w:right="108"/>
        <w:rPr>
          <w:rFonts w:ascii="Times New Roman" w:cs="宋体"/>
          <w:sz w:val="21"/>
          <w:szCs w:val="21"/>
        </w:rPr>
      </w:pPr>
      <w:r>
        <w:rPr>
          <w:rFonts w:hint="eastAsia" w:ascii="Times New Roman" w:cs="宋体"/>
          <w:sz w:val="21"/>
          <w:szCs w:val="21"/>
        </w:rPr>
        <w:t>9.4</w:t>
      </w:r>
      <w:bookmarkEnd w:id="80"/>
      <w:bookmarkEnd w:id="81"/>
      <w:bookmarkEnd w:id="82"/>
      <w:bookmarkEnd w:id="83"/>
      <w:bookmarkStart w:id="85" w:name="_Toc277686885"/>
      <w:bookmarkStart w:id="86" w:name="_Toc282428316"/>
      <w:bookmarkStart w:id="87" w:name="_Toc283011676"/>
      <w:bookmarkStart w:id="88" w:name="_Toc282433724"/>
      <w:bookmarkStart w:id="89" w:name="_Toc283142582"/>
      <w:r>
        <w:rPr>
          <w:rFonts w:hint="eastAsia" w:ascii="Times New Roman" w:cs="宋体"/>
          <w:sz w:val="21"/>
          <w:szCs w:val="21"/>
        </w:rPr>
        <w:t xml:space="preserve"> 设计联络</w:t>
      </w:r>
      <w:bookmarkEnd w:id="85"/>
      <w:bookmarkEnd w:id="86"/>
      <w:bookmarkEnd w:id="87"/>
      <w:bookmarkEnd w:id="88"/>
      <w:bookmarkEnd w:id="89"/>
    </w:p>
    <w:p>
      <w:pPr>
        <w:spacing w:line="360" w:lineRule="auto"/>
        <w:ind w:firstLine="420" w:firstLineChars="200"/>
        <w:rPr>
          <w:szCs w:val="21"/>
        </w:rPr>
      </w:pPr>
      <w:r>
        <w:rPr>
          <w:rFonts w:hint="eastAsia"/>
          <w:szCs w:val="21"/>
        </w:rPr>
        <w:t>1）投标方应在技术协议签订后的</w:t>
      </w:r>
      <w:r>
        <w:rPr>
          <w:rFonts w:hint="eastAsia"/>
          <w:szCs w:val="21"/>
          <w:u w:val="single"/>
        </w:rPr>
        <w:t xml:space="preserve">     </w:t>
      </w:r>
      <w:r>
        <w:rPr>
          <w:rFonts w:hint="eastAsia"/>
          <w:szCs w:val="21"/>
        </w:rPr>
        <w:t>天内（项目单位填写）向招标方提供正式版的用于设计、设备监造和检验、现场安装和调试以及运行维护方面的图纸、说明书和有关技术资料，同时向招标方设计代表提供拷贝磁盘</w:t>
      </w:r>
      <w:r>
        <w:rPr>
          <w:szCs w:val="21"/>
        </w:rPr>
        <w:t>2</w:t>
      </w:r>
      <w:r>
        <w:rPr>
          <w:rFonts w:hint="eastAsia"/>
          <w:szCs w:val="21"/>
        </w:rPr>
        <w:t>份（图纸为A</w:t>
      </w:r>
      <w:r>
        <w:rPr>
          <w:szCs w:val="21"/>
        </w:rPr>
        <w:t>utoCAD R</w:t>
      </w:r>
      <w:r>
        <w:rPr>
          <w:rFonts w:hint="eastAsia"/>
          <w:szCs w:val="21"/>
        </w:rPr>
        <w:t>2000版、文字资料为Word97版）。</w:t>
      </w:r>
    </w:p>
    <w:p>
      <w:pPr>
        <w:spacing w:line="360" w:lineRule="auto"/>
        <w:ind w:firstLine="420" w:firstLineChars="200"/>
        <w:rPr>
          <w:szCs w:val="21"/>
        </w:rPr>
      </w:pPr>
      <w:r>
        <w:rPr>
          <w:rFonts w:hint="eastAsia"/>
          <w:szCs w:val="21"/>
        </w:rPr>
        <w:t>2）投标方应按设计需要随时开展设计联络工作，提供设计所需的相关资料，以保证招标方工期要求。</w:t>
      </w:r>
    </w:p>
    <w:p>
      <w:pPr>
        <w:spacing w:line="360" w:lineRule="auto"/>
        <w:ind w:firstLine="420" w:firstLineChars="200"/>
        <w:rPr>
          <w:szCs w:val="21"/>
        </w:rPr>
      </w:pPr>
      <w:r>
        <w:rPr>
          <w:rFonts w:hint="eastAsia"/>
          <w:szCs w:val="21"/>
        </w:rPr>
        <w:t>3）投标方提供的图纸必须经招标方代表确认。</w:t>
      </w:r>
    </w:p>
    <w:p>
      <w:pPr>
        <w:pStyle w:val="2"/>
        <w:numPr>
          <w:ilvl w:val="0"/>
          <w:numId w:val="0"/>
        </w:numPr>
        <w:adjustRightInd w:val="0"/>
        <w:spacing w:before="156" w:beforeLines="50"/>
        <w:rPr>
          <w:rFonts w:ascii="黑体" w:eastAsia="黑体"/>
          <w:b w:val="0"/>
        </w:rPr>
      </w:pPr>
      <w:bookmarkStart w:id="90" w:name="_Toc279695207"/>
      <w:bookmarkStart w:id="91" w:name="_Toc276492435"/>
      <w:bookmarkStart w:id="92" w:name="_Toc276490917"/>
      <w:bookmarkStart w:id="93" w:name="_Toc423550177"/>
      <w:r>
        <w:rPr>
          <w:rFonts w:hint="eastAsia" w:ascii="黑体" w:eastAsia="黑体"/>
          <w:b w:val="0"/>
        </w:rPr>
        <w:t>10 监造、包装、运输、安装</w:t>
      </w:r>
      <w:bookmarkEnd w:id="90"/>
      <w:bookmarkEnd w:id="91"/>
      <w:bookmarkEnd w:id="92"/>
      <w:r>
        <w:rPr>
          <w:rFonts w:hint="eastAsia" w:ascii="黑体" w:eastAsia="黑体"/>
          <w:b w:val="0"/>
        </w:rPr>
        <w:t>及质量保证</w:t>
      </w:r>
      <w:bookmarkEnd w:id="93"/>
    </w:p>
    <w:p>
      <w:pPr>
        <w:pStyle w:val="3"/>
        <w:numPr>
          <w:ilvl w:val="1"/>
          <w:numId w:val="6"/>
        </w:numPr>
        <w:rPr>
          <w:rFonts w:ascii="黑体" w:eastAsia="黑体"/>
        </w:rPr>
      </w:pPr>
      <w:bookmarkStart w:id="94" w:name="_Toc423550178"/>
      <w:bookmarkStart w:id="95" w:name="_Toc276492370"/>
      <w:bookmarkStart w:id="96" w:name="_Toc279695208"/>
      <w:bookmarkStart w:id="97" w:name="_Toc276490898"/>
      <w:bookmarkStart w:id="98" w:name="_Toc200531202"/>
      <w:bookmarkStart w:id="99" w:name="_Toc471528253"/>
      <w:bookmarkStart w:id="100" w:name="_Toc53672785"/>
      <w:bookmarkStart w:id="101" w:name="_Toc472997247"/>
      <w:r>
        <w:rPr>
          <w:rFonts w:hint="eastAsia" w:ascii="黑体" w:eastAsia="黑体"/>
        </w:rPr>
        <w:t>监造</w:t>
      </w:r>
      <w:bookmarkEnd w:id="94"/>
      <w:bookmarkEnd w:id="95"/>
      <w:bookmarkEnd w:id="96"/>
      <w:bookmarkEnd w:id="97"/>
    </w:p>
    <w:p>
      <w:pPr>
        <w:pStyle w:val="67"/>
        <w:spacing w:line="360" w:lineRule="auto"/>
        <w:ind w:firstLine="420" w:firstLineChars="200"/>
        <w:outlineLvl w:val="9"/>
        <w:rPr>
          <w:rFonts w:ascii="Times New Roman" w:eastAsia="宋体"/>
        </w:rPr>
      </w:pPr>
      <w:bookmarkStart w:id="102" w:name="_Toc276490918"/>
      <w:bookmarkStart w:id="103" w:name="_Toc276492436"/>
      <w:bookmarkStart w:id="104" w:name="_Toc276301528"/>
      <w:bookmarkStart w:id="105" w:name="_Toc279695209"/>
      <w:r>
        <w:rPr>
          <w:rFonts w:hint="eastAsia" w:ascii="Times New Roman" w:eastAsia="宋体"/>
        </w:rPr>
        <w:t>1</w:t>
      </w:r>
      <w:r>
        <w:rPr>
          <w:rFonts w:hint="eastAsia" w:ascii="Times New Roman" w:hAnsi="宋体" w:eastAsia="宋体"/>
        </w:rPr>
        <w:t>）</w:t>
      </w:r>
      <w:r>
        <w:rPr>
          <w:rFonts w:ascii="Times New Roman" w:hAnsi="宋体" w:eastAsia="宋体"/>
        </w:rPr>
        <w:t>投标方必须在签订合同后</w:t>
      </w:r>
      <w:r>
        <w:rPr>
          <w:rFonts w:ascii="Times New Roman" w:eastAsia="宋体"/>
        </w:rPr>
        <w:t>10</w:t>
      </w:r>
      <w:r>
        <w:rPr>
          <w:rFonts w:ascii="Times New Roman" w:hAnsi="宋体" w:eastAsia="宋体"/>
        </w:rPr>
        <w:t>天之内以书面形式提供</w:t>
      </w:r>
      <w:r>
        <w:rPr>
          <w:rFonts w:hint="eastAsia" w:ascii="Times New Roman" w:hAnsi="宋体" w:eastAsia="宋体"/>
        </w:rPr>
        <w:t>所供设备的</w:t>
      </w:r>
      <w:r>
        <w:rPr>
          <w:rFonts w:ascii="Times New Roman" w:hAnsi="宋体" w:eastAsia="宋体"/>
        </w:rPr>
        <w:t>制造进度表。按照《电力设备监造技术导则》的要求，招标方可随时进厂监造。监造和检验人员有权了解生产过程、查询质量记录和参加各种试验。</w:t>
      </w:r>
    </w:p>
    <w:p>
      <w:pPr>
        <w:pStyle w:val="67"/>
        <w:spacing w:line="360" w:lineRule="auto"/>
        <w:ind w:firstLine="420" w:firstLineChars="200"/>
        <w:outlineLvl w:val="9"/>
        <w:rPr>
          <w:rFonts w:ascii="Times New Roman" w:eastAsia="宋体"/>
        </w:rPr>
      </w:pPr>
      <w:r>
        <w:rPr>
          <w:rFonts w:hint="eastAsia" w:ascii="Times New Roman" w:eastAsia="宋体"/>
        </w:rPr>
        <w:t>2）监造范围包括设备的设计、加工、制造、储运、材料采购、组装和试验等重要过程，关键部件的质量控制，进行见证、检验和审核。</w:t>
      </w:r>
    </w:p>
    <w:p>
      <w:pPr>
        <w:pStyle w:val="67"/>
        <w:spacing w:line="360" w:lineRule="auto"/>
        <w:ind w:firstLine="420" w:firstLineChars="200"/>
        <w:outlineLvl w:val="9"/>
        <w:rPr>
          <w:rFonts w:ascii="Times New Roman" w:eastAsia="宋体"/>
        </w:rPr>
      </w:pPr>
      <w:r>
        <w:rPr>
          <w:rFonts w:hint="eastAsia" w:ascii="Times New Roman" w:eastAsia="宋体"/>
        </w:rPr>
        <w:t>3）运行单位的工厂监造和检验工作，不减少投标方对产品的质量责任，监造和检验人员不签署任何质量证明。</w:t>
      </w:r>
    </w:p>
    <w:p>
      <w:pPr>
        <w:pStyle w:val="67"/>
        <w:spacing w:line="360" w:lineRule="auto"/>
        <w:ind w:firstLine="420" w:firstLineChars="200"/>
        <w:outlineLvl w:val="9"/>
        <w:rPr>
          <w:rFonts w:ascii="Times New Roman" w:eastAsia="宋体"/>
        </w:rPr>
      </w:pPr>
      <w:r>
        <w:rPr>
          <w:rFonts w:hint="eastAsia" w:ascii="Times New Roman" w:eastAsia="宋体"/>
        </w:rPr>
        <w:t>4）投标方应在出厂前提前至少5个工作日书面通知招标方进行出厂试验监督。</w:t>
      </w:r>
    </w:p>
    <w:p>
      <w:pPr>
        <w:pStyle w:val="3"/>
        <w:numPr>
          <w:ilvl w:val="1"/>
          <w:numId w:val="6"/>
        </w:numPr>
        <w:rPr>
          <w:rFonts w:ascii="黑体" w:eastAsia="黑体"/>
        </w:rPr>
      </w:pPr>
      <w:bookmarkStart w:id="106" w:name="_Toc423550179"/>
      <w:r>
        <w:rPr>
          <w:rFonts w:hint="eastAsia" w:ascii="黑体" w:eastAsia="黑体"/>
        </w:rPr>
        <w:t>包装</w:t>
      </w:r>
      <w:bookmarkEnd w:id="98"/>
      <w:bookmarkEnd w:id="99"/>
      <w:bookmarkEnd w:id="100"/>
      <w:bookmarkEnd w:id="101"/>
      <w:bookmarkEnd w:id="102"/>
      <w:bookmarkEnd w:id="103"/>
      <w:bookmarkEnd w:id="104"/>
      <w:bookmarkEnd w:id="105"/>
      <w:bookmarkEnd w:id="106"/>
    </w:p>
    <w:p>
      <w:pPr>
        <w:adjustRightInd w:val="0"/>
        <w:snapToGrid w:val="0"/>
        <w:spacing w:line="360" w:lineRule="auto"/>
      </w:pPr>
      <w:bookmarkStart w:id="107" w:name="_Toc276301529"/>
      <w:bookmarkStart w:id="108" w:name="_Toc276490919"/>
      <w:bookmarkStart w:id="109" w:name="_Toc279695210"/>
      <w:bookmarkStart w:id="110" w:name="_Toc276492437"/>
      <w:r>
        <w:rPr>
          <w:rFonts w:hint="eastAsia"/>
        </w:rPr>
        <w:t>10.2.1 投标方应根据双方商定好的标准和招标方的实际运输条件</w:t>
      </w:r>
      <w:r>
        <w:t>，</w:t>
      </w:r>
      <w:r>
        <w:rPr>
          <w:rFonts w:hint="eastAsia"/>
        </w:rPr>
        <w:t>将互感器和所有零部件包装好</w:t>
      </w:r>
      <w:r>
        <w:t>，</w:t>
      </w:r>
      <w:r>
        <w:rPr>
          <w:rFonts w:hint="eastAsia"/>
        </w:rPr>
        <w:t>并将全套安装使用说明书</w:t>
      </w:r>
      <w:r>
        <w:t>，</w:t>
      </w:r>
      <w:r>
        <w:rPr>
          <w:rFonts w:hint="eastAsia"/>
        </w:rPr>
        <w:t>产品合格证明书、出厂试验记录、产品外形尺寸图、运输尺寸图、产品拆卸件一览表、装箱单、铭牌图或铭牌标志图及备件一览表等包装好</w:t>
      </w:r>
      <w:r>
        <w:t>，</w:t>
      </w:r>
      <w:r>
        <w:rPr>
          <w:rFonts w:hint="eastAsia"/>
        </w:rPr>
        <w:t>防止受潮。从投标方发货至招标方收到期间</w:t>
      </w:r>
      <w:r>
        <w:t>，</w:t>
      </w:r>
      <w:r>
        <w:rPr>
          <w:rFonts w:hint="eastAsia"/>
        </w:rPr>
        <w:t>设备和资料应完好无损。</w:t>
      </w:r>
    </w:p>
    <w:p>
      <w:pPr>
        <w:adjustRightInd w:val="0"/>
        <w:snapToGrid w:val="0"/>
        <w:spacing w:line="360" w:lineRule="auto"/>
        <w:ind w:firstLine="420" w:firstLineChars="200"/>
      </w:pPr>
      <w:r>
        <w:rPr>
          <w:rFonts w:hint="eastAsia"/>
        </w:rPr>
        <w:t>包装箱应连续编号</w:t>
      </w:r>
      <w:r>
        <w:t>，</w:t>
      </w:r>
      <w:r>
        <w:rPr>
          <w:rFonts w:hint="eastAsia"/>
        </w:rPr>
        <w:t>不能有重号。</w:t>
      </w:r>
    </w:p>
    <w:p>
      <w:pPr>
        <w:adjustRightInd w:val="0"/>
        <w:snapToGrid w:val="0"/>
        <w:spacing w:line="360" w:lineRule="auto"/>
      </w:pPr>
      <w:r>
        <w:rPr>
          <w:rFonts w:hint="eastAsia"/>
        </w:rPr>
        <w:t>10.2.2 设备、零部件、材料启运前投标方应按下述内容在箱面上写不褪色的醒目标志</w:t>
      </w:r>
      <w:r>
        <w:t>：</w:t>
      </w:r>
    </w:p>
    <w:p>
      <w:pPr>
        <w:adjustRightInd w:val="0"/>
        <w:snapToGrid w:val="0"/>
        <w:spacing w:line="360" w:lineRule="auto"/>
        <w:ind w:firstLine="420" w:firstLineChars="200"/>
      </w:pPr>
      <w:r>
        <w:rPr>
          <w:rFonts w:hint="eastAsia"/>
        </w:rPr>
        <w:t>1)合同号</w:t>
      </w:r>
      <w:r>
        <w:t>；</w:t>
      </w:r>
    </w:p>
    <w:p>
      <w:pPr>
        <w:adjustRightInd w:val="0"/>
        <w:snapToGrid w:val="0"/>
        <w:spacing w:line="360" w:lineRule="auto"/>
        <w:ind w:firstLine="420" w:firstLineChars="200"/>
      </w:pPr>
      <w:r>
        <w:rPr>
          <w:rFonts w:hint="eastAsia"/>
        </w:rPr>
        <w:t>2)装船</w:t>
      </w:r>
      <w:r>
        <w:t>(</w:t>
      </w:r>
      <w:r>
        <w:rPr>
          <w:rFonts w:hint="eastAsia"/>
        </w:rPr>
        <w:t>海运</w:t>
      </w:r>
      <w:r>
        <w:t>)</w:t>
      </w:r>
      <w:r>
        <w:rPr>
          <w:rFonts w:hint="eastAsia"/>
        </w:rPr>
        <w:t>标志</w:t>
      </w:r>
      <w:r>
        <w:t>；</w:t>
      </w:r>
    </w:p>
    <w:p>
      <w:pPr>
        <w:adjustRightInd w:val="0"/>
        <w:snapToGrid w:val="0"/>
        <w:spacing w:line="360" w:lineRule="auto"/>
        <w:ind w:firstLine="420" w:firstLineChars="200"/>
      </w:pPr>
      <w:r>
        <w:rPr>
          <w:rFonts w:hint="eastAsia"/>
        </w:rPr>
        <w:t>3)目的港</w:t>
      </w:r>
      <w:r>
        <w:t>(</w:t>
      </w:r>
      <w:r>
        <w:rPr>
          <w:rFonts w:hint="eastAsia"/>
        </w:rPr>
        <w:t>海运</w:t>
      </w:r>
      <w:r>
        <w:t>)</w:t>
      </w:r>
      <w:r>
        <w:rPr>
          <w:rFonts w:hint="eastAsia"/>
        </w:rPr>
        <w:t>或站名称</w:t>
      </w:r>
      <w:r>
        <w:t>；</w:t>
      </w:r>
    </w:p>
    <w:p>
      <w:pPr>
        <w:adjustRightInd w:val="0"/>
        <w:snapToGrid w:val="0"/>
        <w:spacing w:line="360" w:lineRule="auto"/>
        <w:ind w:firstLine="420" w:firstLineChars="200"/>
      </w:pPr>
      <w:r>
        <w:rPr>
          <w:rFonts w:hint="eastAsia"/>
        </w:rPr>
        <w:t>4)收货人及代码</w:t>
      </w:r>
      <w:r>
        <w:t>；</w:t>
      </w:r>
    </w:p>
    <w:p>
      <w:pPr>
        <w:adjustRightInd w:val="0"/>
        <w:snapToGrid w:val="0"/>
        <w:spacing w:line="360" w:lineRule="auto"/>
        <w:ind w:firstLine="420" w:firstLineChars="200"/>
      </w:pPr>
      <w:r>
        <w:rPr>
          <w:rFonts w:hint="eastAsia"/>
        </w:rPr>
        <w:t>5)设备名称和项目号</w:t>
      </w:r>
      <w:r>
        <w:t>；</w:t>
      </w:r>
    </w:p>
    <w:p>
      <w:pPr>
        <w:adjustRightInd w:val="0"/>
        <w:snapToGrid w:val="0"/>
        <w:spacing w:line="360" w:lineRule="auto"/>
        <w:ind w:firstLine="420" w:firstLineChars="200"/>
      </w:pPr>
      <w:r>
        <w:rPr>
          <w:rFonts w:hint="eastAsia"/>
        </w:rPr>
        <w:t>6)箱号</w:t>
      </w:r>
      <w:r>
        <w:t>；</w:t>
      </w:r>
    </w:p>
    <w:p>
      <w:pPr>
        <w:adjustRightInd w:val="0"/>
        <w:snapToGrid w:val="0"/>
        <w:spacing w:line="360" w:lineRule="auto"/>
        <w:ind w:firstLine="420" w:firstLineChars="200"/>
      </w:pPr>
      <w:r>
        <w:rPr>
          <w:rFonts w:hint="eastAsia"/>
        </w:rPr>
        <w:t>7)毛重与净重</w:t>
      </w:r>
      <w:r>
        <w:t>；</w:t>
      </w:r>
    </w:p>
    <w:p>
      <w:pPr>
        <w:adjustRightInd w:val="0"/>
        <w:snapToGrid w:val="0"/>
        <w:spacing w:line="360" w:lineRule="auto"/>
        <w:ind w:firstLine="420" w:firstLineChars="200"/>
      </w:pPr>
      <w:r>
        <w:rPr>
          <w:rFonts w:hint="eastAsia"/>
        </w:rPr>
        <w:t>8)外形尺寸</w:t>
      </w:r>
      <w:r>
        <w:t>；</w:t>
      </w:r>
    </w:p>
    <w:p>
      <w:pPr>
        <w:adjustRightInd w:val="0"/>
        <w:snapToGrid w:val="0"/>
        <w:spacing w:line="360" w:lineRule="auto"/>
        <w:ind w:firstLine="420" w:firstLineChars="200"/>
      </w:pPr>
      <w:r>
        <w:rPr>
          <w:rFonts w:hint="eastAsia"/>
        </w:rPr>
        <w:t>9)在设备的包装箱外面应标上“重心”、“起吊点”、“小心搬运”、“正面向上”、“防止受潮”、“勿倒”、“勿倾斜”、“防火”等字样。</w:t>
      </w:r>
    </w:p>
    <w:p>
      <w:pPr>
        <w:adjustRightInd w:val="0"/>
        <w:snapToGrid w:val="0"/>
        <w:spacing w:line="360" w:lineRule="auto"/>
      </w:pPr>
      <w:r>
        <w:rPr>
          <w:rFonts w:hint="eastAsia"/>
        </w:rPr>
        <w:t>10.2.3投标方提供的技术文件的包装内外表面上应有如下中文标志</w:t>
      </w:r>
      <w:r>
        <w:t>：</w:t>
      </w:r>
    </w:p>
    <w:p>
      <w:pPr>
        <w:adjustRightInd w:val="0"/>
        <w:snapToGrid w:val="0"/>
        <w:spacing w:line="360" w:lineRule="auto"/>
        <w:ind w:firstLine="420" w:firstLineChars="200"/>
      </w:pPr>
      <w:r>
        <w:rPr>
          <w:rFonts w:hint="eastAsia"/>
        </w:rPr>
        <w:t>1)合同号</w:t>
      </w:r>
      <w:r>
        <w:t>；</w:t>
      </w:r>
    </w:p>
    <w:p>
      <w:pPr>
        <w:adjustRightInd w:val="0"/>
        <w:snapToGrid w:val="0"/>
        <w:spacing w:line="360" w:lineRule="auto"/>
        <w:ind w:firstLine="420" w:firstLineChars="200"/>
      </w:pPr>
      <w:r>
        <w:rPr>
          <w:rFonts w:hint="eastAsia"/>
        </w:rPr>
        <w:t>2)收货人</w:t>
      </w:r>
      <w:r>
        <w:t>；</w:t>
      </w:r>
    </w:p>
    <w:p>
      <w:pPr>
        <w:adjustRightInd w:val="0"/>
        <w:snapToGrid w:val="0"/>
        <w:spacing w:line="360" w:lineRule="auto"/>
        <w:ind w:firstLine="420" w:firstLineChars="200"/>
      </w:pPr>
      <w:r>
        <w:rPr>
          <w:rFonts w:hint="eastAsia"/>
        </w:rPr>
        <w:t>3)目的地</w:t>
      </w:r>
      <w:r>
        <w:t>；</w:t>
      </w:r>
    </w:p>
    <w:p>
      <w:pPr>
        <w:adjustRightInd w:val="0"/>
        <w:snapToGrid w:val="0"/>
        <w:spacing w:line="360" w:lineRule="auto"/>
        <w:ind w:firstLine="420" w:firstLineChars="200"/>
      </w:pPr>
      <w:r>
        <w:rPr>
          <w:rFonts w:hint="eastAsia"/>
        </w:rPr>
        <w:t>4)毛重</w:t>
      </w:r>
      <w:r>
        <w:t>；</w:t>
      </w:r>
    </w:p>
    <w:p>
      <w:pPr>
        <w:adjustRightInd w:val="0"/>
        <w:snapToGrid w:val="0"/>
        <w:spacing w:line="360" w:lineRule="auto"/>
        <w:ind w:firstLine="420" w:firstLineChars="200"/>
      </w:pPr>
      <w:r>
        <w:rPr>
          <w:rFonts w:hint="eastAsia"/>
        </w:rPr>
        <w:t>5)箱号。</w:t>
      </w:r>
    </w:p>
    <w:p>
      <w:pPr>
        <w:adjustRightInd w:val="0"/>
        <w:snapToGrid w:val="0"/>
        <w:spacing w:line="360" w:lineRule="auto"/>
      </w:pPr>
      <w:r>
        <w:rPr>
          <w:rFonts w:hint="eastAsia"/>
        </w:rPr>
        <w:t>10.2.4 买卖双方应在合同中明确规定设备在运输时的状态</w:t>
      </w:r>
      <w:r>
        <w:t>，</w:t>
      </w:r>
      <w:r>
        <w:rPr>
          <w:rFonts w:hint="eastAsia"/>
        </w:rPr>
        <w:t>以及对检测仪表和检测数据变化范围的要求。互感器及其部件的保管期应在合同中明确规定。</w:t>
      </w:r>
    </w:p>
    <w:p>
      <w:pPr>
        <w:adjustRightInd w:val="0"/>
        <w:snapToGrid w:val="0"/>
        <w:spacing w:line="360" w:lineRule="auto"/>
      </w:pPr>
      <w:r>
        <w:rPr>
          <w:rFonts w:hint="eastAsia"/>
        </w:rPr>
        <w:t>在设备启运后一周内</w:t>
      </w:r>
      <w:r>
        <w:t>，</w:t>
      </w:r>
      <w:r>
        <w:rPr>
          <w:rFonts w:hint="eastAsia"/>
        </w:rPr>
        <w:t>投标方应以最快捷的方式通知招标方以下内容</w:t>
      </w:r>
      <w:r>
        <w:t>：</w:t>
      </w:r>
    </w:p>
    <w:p>
      <w:pPr>
        <w:adjustRightInd w:val="0"/>
        <w:snapToGrid w:val="0"/>
        <w:spacing w:line="360" w:lineRule="auto"/>
        <w:ind w:firstLine="420" w:firstLineChars="200"/>
      </w:pPr>
      <w:r>
        <w:rPr>
          <w:rFonts w:hint="eastAsia"/>
        </w:rPr>
        <w:t>1)设备名称</w:t>
      </w:r>
      <w:r>
        <w:t>；</w:t>
      </w:r>
    </w:p>
    <w:p>
      <w:pPr>
        <w:adjustRightInd w:val="0"/>
        <w:snapToGrid w:val="0"/>
        <w:spacing w:line="360" w:lineRule="auto"/>
        <w:ind w:firstLine="420" w:firstLineChars="200"/>
      </w:pPr>
      <w:r>
        <w:rPr>
          <w:rFonts w:hint="eastAsia"/>
        </w:rPr>
        <w:t>2)件数、件号、重量</w:t>
      </w:r>
      <w:r>
        <w:t>；</w:t>
      </w:r>
    </w:p>
    <w:p>
      <w:pPr>
        <w:adjustRightInd w:val="0"/>
        <w:snapToGrid w:val="0"/>
        <w:spacing w:line="360" w:lineRule="auto"/>
        <w:ind w:firstLine="420" w:firstLineChars="200"/>
      </w:pPr>
      <w:r>
        <w:rPr>
          <w:rFonts w:hint="eastAsia"/>
        </w:rPr>
        <w:t>3)合同号及货运单号；</w:t>
      </w:r>
    </w:p>
    <w:p>
      <w:pPr>
        <w:adjustRightInd w:val="0"/>
        <w:snapToGrid w:val="0"/>
        <w:spacing w:line="360" w:lineRule="auto"/>
        <w:ind w:firstLine="420" w:firstLineChars="200"/>
      </w:pPr>
      <w:r>
        <w:rPr>
          <w:rFonts w:hint="eastAsia"/>
        </w:rPr>
        <w:t>4)达到港</w:t>
      </w:r>
      <w:r>
        <w:t>(</w:t>
      </w:r>
      <w:r>
        <w:rPr>
          <w:rFonts w:hint="eastAsia"/>
        </w:rPr>
        <w:t>站</w:t>
      </w:r>
      <w:r>
        <w:t>)；</w:t>
      </w:r>
    </w:p>
    <w:p>
      <w:pPr>
        <w:adjustRightInd w:val="0"/>
        <w:snapToGrid w:val="0"/>
        <w:spacing w:line="360" w:lineRule="auto"/>
        <w:ind w:firstLine="420" w:firstLineChars="200"/>
      </w:pPr>
      <w:r>
        <w:rPr>
          <w:rFonts w:hint="eastAsia"/>
        </w:rPr>
        <w:t>5)设备发出日期。</w:t>
      </w:r>
    </w:p>
    <w:p>
      <w:pPr>
        <w:adjustRightInd w:val="0"/>
        <w:snapToGrid w:val="0"/>
        <w:spacing w:line="360" w:lineRule="auto"/>
      </w:pPr>
      <w:r>
        <w:rPr>
          <w:rFonts w:hint="eastAsia"/>
        </w:rPr>
        <w:t>10.2.5所有部件的装运方式均应便于卸货、操作和现场就位</w:t>
      </w:r>
      <w:r>
        <w:t>，</w:t>
      </w:r>
      <w:r>
        <w:rPr>
          <w:rFonts w:hint="eastAsia"/>
        </w:rPr>
        <w:t>标有千斤顶支架位置的起吊图和安装图</w:t>
      </w:r>
      <w:r>
        <w:t>，</w:t>
      </w:r>
      <w:r>
        <w:rPr>
          <w:rFonts w:hint="eastAsia"/>
        </w:rPr>
        <w:t>应与装运文件一起提供。</w:t>
      </w:r>
    </w:p>
    <w:p>
      <w:pPr>
        <w:adjustRightInd w:val="0"/>
        <w:snapToGrid w:val="0"/>
        <w:spacing w:line="360" w:lineRule="auto"/>
      </w:pPr>
      <w:r>
        <w:rPr>
          <w:rFonts w:hint="eastAsia"/>
        </w:rPr>
        <w:t>10.2.6任何在装运中可能丢失的成品应用箱式包装或捆成一束</w:t>
      </w:r>
      <w:r>
        <w:t>，</w:t>
      </w:r>
      <w:r>
        <w:rPr>
          <w:rFonts w:hint="eastAsia"/>
        </w:rPr>
        <w:t>并标志以清晰的记号以便识别。</w:t>
      </w:r>
    </w:p>
    <w:p>
      <w:pPr>
        <w:adjustRightInd w:val="0"/>
        <w:snapToGrid w:val="0"/>
        <w:spacing w:line="360" w:lineRule="auto"/>
      </w:pPr>
      <w:r>
        <w:rPr>
          <w:rFonts w:hint="eastAsia"/>
        </w:rPr>
        <w:t>10.2.7 运输、贮存直到安装时应保护互感器所有组、部件不得损坏、不得进水和受潮。</w:t>
      </w:r>
    </w:p>
    <w:p>
      <w:pPr>
        <w:pStyle w:val="3"/>
        <w:numPr>
          <w:ilvl w:val="1"/>
          <w:numId w:val="6"/>
        </w:numPr>
        <w:rPr>
          <w:rFonts w:ascii="黑体" w:eastAsia="黑体"/>
        </w:rPr>
      </w:pPr>
      <w:bookmarkStart w:id="111" w:name="_Toc423550180"/>
      <w:r>
        <w:rPr>
          <w:rFonts w:hint="eastAsia" w:ascii="黑体" w:eastAsia="黑体"/>
        </w:rPr>
        <w:t>运输</w:t>
      </w:r>
      <w:bookmarkEnd w:id="107"/>
      <w:bookmarkEnd w:id="108"/>
      <w:bookmarkEnd w:id="109"/>
      <w:bookmarkEnd w:id="110"/>
      <w:bookmarkEnd w:id="111"/>
    </w:p>
    <w:p>
      <w:pPr>
        <w:adjustRightInd w:val="0"/>
        <w:snapToGrid w:val="0"/>
        <w:spacing w:line="360" w:lineRule="auto"/>
        <w:rPr>
          <w:rFonts w:hAnsi="宋体"/>
          <w:spacing w:val="-2"/>
          <w:szCs w:val="21"/>
        </w:rPr>
      </w:pPr>
      <w:bookmarkStart w:id="112" w:name="_Toc276301530"/>
      <w:bookmarkStart w:id="113" w:name="_Toc279695211"/>
      <w:bookmarkStart w:id="114" w:name="_Toc276490920"/>
      <w:bookmarkStart w:id="115" w:name="_Toc276492438"/>
      <w:r>
        <w:rPr>
          <w:rFonts w:hint="eastAsia" w:hAnsi="宋体"/>
          <w:spacing w:val="-2"/>
          <w:szCs w:val="21"/>
        </w:rPr>
        <w:t>10.3.1产品经妥善包装或装箱后，在运输过程中应采取其它防护措施，以免散失损坏或丢失。10.3.2 包装应考虑便于现场卸货、搬运和安装。散件应装箱或捆扎，大件的包装箱上应有起吊图纸说明。各种包装应能确保各零部件在运输过程中不致遭到损坏、丢失、变形、受潮和腐蚀。</w:t>
      </w:r>
    </w:p>
    <w:p>
      <w:pPr>
        <w:adjustRightInd w:val="0"/>
        <w:snapToGrid w:val="0"/>
        <w:spacing w:line="360" w:lineRule="auto"/>
        <w:rPr>
          <w:rFonts w:hAnsi="宋体"/>
          <w:spacing w:val="-2"/>
          <w:szCs w:val="21"/>
        </w:rPr>
      </w:pPr>
      <w:r>
        <w:rPr>
          <w:rFonts w:hint="eastAsia" w:hAnsi="宋体"/>
          <w:spacing w:val="-2"/>
          <w:szCs w:val="21"/>
        </w:rPr>
        <w:t>10.3.3 所有包装上应有以下标志：</w:t>
      </w:r>
    </w:p>
    <w:p>
      <w:pPr>
        <w:adjustRightInd w:val="0"/>
        <w:snapToGrid w:val="0"/>
        <w:spacing w:line="360" w:lineRule="auto"/>
        <w:ind w:firstLine="412" w:firstLineChars="200"/>
        <w:rPr>
          <w:rFonts w:hAnsi="宋体"/>
          <w:spacing w:val="-2"/>
          <w:szCs w:val="21"/>
        </w:rPr>
      </w:pPr>
      <w:r>
        <w:rPr>
          <w:rFonts w:hint="eastAsia" w:hAnsi="宋体"/>
          <w:spacing w:val="-2"/>
          <w:szCs w:val="21"/>
        </w:rPr>
        <w:tab/>
      </w:r>
      <w:r>
        <w:rPr>
          <w:rFonts w:hint="eastAsia" w:hAnsi="宋体"/>
          <w:spacing w:val="-2"/>
          <w:szCs w:val="21"/>
        </w:rPr>
        <w:t>装运标志；</w:t>
      </w:r>
    </w:p>
    <w:p>
      <w:pPr>
        <w:adjustRightInd w:val="0"/>
        <w:snapToGrid w:val="0"/>
        <w:spacing w:line="360" w:lineRule="auto"/>
        <w:ind w:firstLine="412" w:firstLineChars="200"/>
        <w:rPr>
          <w:rFonts w:hAnsi="宋体"/>
          <w:spacing w:val="-2"/>
          <w:szCs w:val="21"/>
        </w:rPr>
      </w:pPr>
      <w:r>
        <w:rPr>
          <w:rFonts w:hint="eastAsia" w:hAnsi="宋体"/>
          <w:spacing w:val="-2"/>
          <w:szCs w:val="21"/>
        </w:rPr>
        <w:tab/>
      </w:r>
      <w:r>
        <w:rPr>
          <w:rFonts w:hint="eastAsia" w:hAnsi="宋体"/>
          <w:spacing w:val="-2"/>
          <w:szCs w:val="21"/>
        </w:rPr>
        <w:t>发货及到货地点、发货及收货单位、人；</w:t>
      </w:r>
    </w:p>
    <w:p>
      <w:pPr>
        <w:adjustRightInd w:val="0"/>
        <w:snapToGrid w:val="0"/>
        <w:spacing w:line="360" w:lineRule="auto"/>
        <w:ind w:firstLine="412" w:firstLineChars="200"/>
        <w:rPr>
          <w:rFonts w:hAnsi="宋体"/>
          <w:spacing w:val="-2"/>
          <w:szCs w:val="21"/>
        </w:rPr>
      </w:pPr>
      <w:r>
        <w:rPr>
          <w:rFonts w:hint="eastAsia" w:hAnsi="宋体"/>
          <w:spacing w:val="-2"/>
          <w:szCs w:val="21"/>
        </w:rPr>
        <w:tab/>
      </w:r>
      <w:r>
        <w:rPr>
          <w:rFonts w:hint="eastAsia" w:hAnsi="宋体"/>
          <w:spacing w:val="-2"/>
          <w:szCs w:val="21"/>
        </w:rPr>
        <w:t>设备名称和合同号、箱号；</w:t>
      </w:r>
    </w:p>
    <w:p>
      <w:pPr>
        <w:adjustRightInd w:val="0"/>
        <w:snapToGrid w:val="0"/>
        <w:spacing w:line="360" w:lineRule="auto"/>
        <w:ind w:firstLine="412" w:firstLineChars="200"/>
        <w:rPr>
          <w:rFonts w:hAnsi="宋体"/>
          <w:spacing w:val="-2"/>
          <w:szCs w:val="21"/>
        </w:rPr>
      </w:pPr>
      <w:r>
        <w:rPr>
          <w:rFonts w:hint="eastAsia" w:hAnsi="宋体"/>
          <w:spacing w:val="-2"/>
          <w:szCs w:val="21"/>
        </w:rPr>
        <w:tab/>
      </w:r>
      <w:r>
        <w:rPr>
          <w:rFonts w:hint="eastAsia" w:hAnsi="宋体"/>
          <w:spacing w:val="-2"/>
          <w:szCs w:val="21"/>
        </w:rPr>
        <w:t>外形尺寸、毛/净重量；</w:t>
      </w:r>
    </w:p>
    <w:p>
      <w:pPr>
        <w:adjustRightInd w:val="0"/>
        <w:snapToGrid w:val="0"/>
        <w:spacing w:line="360" w:lineRule="auto"/>
        <w:rPr>
          <w:rFonts w:hAnsi="宋体"/>
          <w:spacing w:val="-2"/>
          <w:szCs w:val="21"/>
        </w:rPr>
      </w:pPr>
      <w:r>
        <w:rPr>
          <w:rFonts w:hint="eastAsia" w:hAnsi="宋体"/>
          <w:spacing w:val="-2"/>
          <w:szCs w:val="21"/>
        </w:rPr>
        <w:t>10.3.4 运输</w:t>
      </w:r>
    </w:p>
    <w:p>
      <w:pPr>
        <w:adjustRightInd w:val="0"/>
        <w:snapToGrid w:val="0"/>
        <w:spacing w:line="360" w:lineRule="auto"/>
        <w:rPr>
          <w:rFonts w:hAnsi="宋体"/>
          <w:spacing w:val="-2"/>
          <w:szCs w:val="21"/>
        </w:rPr>
      </w:pPr>
      <w:r>
        <w:rPr>
          <w:rFonts w:hint="eastAsia" w:hAnsi="宋体"/>
          <w:spacing w:val="-2"/>
          <w:szCs w:val="21"/>
        </w:rPr>
        <w:t>10.3.4.1 运输手续（包括保险）由供方办理，途中押运由供方负责，运输费用由供方承担(即由供方送达需方指定地点)。</w:t>
      </w:r>
    </w:p>
    <w:p>
      <w:pPr>
        <w:adjustRightInd w:val="0"/>
        <w:snapToGrid w:val="0"/>
        <w:spacing w:line="360" w:lineRule="auto"/>
        <w:rPr>
          <w:spacing w:val="-2"/>
          <w:szCs w:val="21"/>
        </w:rPr>
      </w:pPr>
      <w:r>
        <w:rPr>
          <w:rFonts w:hint="eastAsia" w:hAnsi="宋体"/>
          <w:spacing w:val="-2"/>
          <w:szCs w:val="21"/>
        </w:rPr>
        <w:t>10.3.4.2 供方发货后3天内电告需方，并将发运提货等有关单据一式三份用快件寄给需方。需方接货时双方共同开箱清点，开箱中发现问题由供方负责处理。</w:t>
      </w:r>
    </w:p>
    <w:bookmarkEnd w:id="112"/>
    <w:bookmarkEnd w:id="113"/>
    <w:bookmarkEnd w:id="114"/>
    <w:bookmarkEnd w:id="115"/>
    <w:p>
      <w:pPr>
        <w:pStyle w:val="3"/>
        <w:numPr>
          <w:ilvl w:val="1"/>
          <w:numId w:val="6"/>
        </w:numPr>
        <w:rPr>
          <w:rFonts w:ascii="黑体" w:eastAsia="黑体"/>
        </w:rPr>
      </w:pPr>
      <w:bookmarkStart w:id="116" w:name="_Toc423550181"/>
      <w:r>
        <w:rPr>
          <w:rFonts w:hint="eastAsia" w:ascii="黑体" w:eastAsia="黑体"/>
        </w:rPr>
        <w:t>质量保证</w:t>
      </w:r>
      <w:bookmarkEnd w:id="116"/>
    </w:p>
    <w:p>
      <w:pPr>
        <w:pStyle w:val="67"/>
        <w:spacing w:line="360" w:lineRule="auto"/>
        <w:ind w:firstLine="420" w:firstLineChars="200"/>
        <w:outlineLvl w:val="9"/>
        <w:rPr>
          <w:rFonts w:ascii="Times New Roman" w:eastAsia="宋体"/>
        </w:rPr>
      </w:pPr>
      <w:r>
        <w:rPr>
          <w:rFonts w:hint="eastAsia" w:ascii="Times New Roman" w:eastAsia="宋体"/>
        </w:rPr>
        <w:t>1）全部设备必须是全新的, 持久耐用的,应满足作为一个完整产品所能满足的全部要求。投标方应保证设备在规定的使用条件下运行、并按使用说明书进行安装和维护、预期寿命应不少于30年</w:t>
      </w:r>
      <w:r>
        <w:rPr>
          <w:rFonts w:ascii="Times New Roman" w:eastAsia="宋体"/>
        </w:rPr>
        <w:t>。</w:t>
      </w:r>
    </w:p>
    <w:p>
      <w:pPr>
        <w:pStyle w:val="67"/>
        <w:spacing w:line="360" w:lineRule="auto"/>
        <w:ind w:firstLine="420" w:firstLineChars="200"/>
        <w:outlineLvl w:val="9"/>
        <w:rPr>
          <w:rFonts w:ascii="Times New Roman" w:eastAsia="宋体"/>
        </w:rPr>
      </w:pPr>
      <w:r>
        <w:rPr>
          <w:rFonts w:hint="eastAsia" w:ascii="Times New Roman" w:eastAsia="宋体"/>
        </w:rPr>
        <w:t>2）投标方应对其整组设备在到货后提供不少于三年的“三包”质量保证。之后如发生产品损坏，投标方应及时为本组装置提供维修部件，并按最近的投标价提供。</w:t>
      </w:r>
    </w:p>
    <w:p>
      <w:pPr>
        <w:pStyle w:val="67"/>
        <w:spacing w:line="360" w:lineRule="auto"/>
        <w:ind w:firstLine="420" w:firstLineChars="200"/>
        <w:outlineLvl w:val="9"/>
        <w:rPr>
          <w:rFonts w:ascii="Times New Roman" w:eastAsia="宋体"/>
        </w:rPr>
      </w:pPr>
      <w:r>
        <w:rPr>
          <w:rFonts w:hint="eastAsia" w:ascii="Times New Roman" w:eastAsia="宋体"/>
        </w:rPr>
        <w:t>3）订购的新型产品除应满足本标准外</w:t>
      </w:r>
      <w:r>
        <w:rPr>
          <w:rFonts w:ascii="Times New Roman" w:eastAsia="宋体"/>
        </w:rPr>
        <w:t xml:space="preserve">, </w:t>
      </w:r>
      <w:r>
        <w:rPr>
          <w:rFonts w:hint="eastAsia" w:ascii="Times New Roman" w:eastAsia="宋体"/>
        </w:rPr>
        <w:t>投标方还应提供该产品的鉴定证书。</w:t>
      </w:r>
    </w:p>
    <w:p>
      <w:pPr>
        <w:pStyle w:val="67"/>
        <w:spacing w:line="360" w:lineRule="auto"/>
        <w:ind w:firstLine="420" w:firstLineChars="200"/>
        <w:outlineLvl w:val="9"/>
        <w:rPr>
          <w:rFonts w:ascii="Times New Roman" w:eastAsia="宋体"/>
        </w:rPr>
      </w:pPr>
      <w:r>
        <w:rPr>
          <w:rFonts w:hint="eastAsia" w:ascii="Times New Roman" w:eastAsia="宋体"/>
        </w:rPr>
        <w:t>4）投标方应保证制造过程中的所有工艺、材料试验等</w:t>
      </w:r>
      <w:r>
        <w:rPr>
          <w:rFonts w:ascii="Times New Roman" w:eastAsia="宋体"/>
        </w:rPr>
        <w:t>(</w:t>
      </w:r>
      <w:r>
        <w:rPr>
          <w:rFonts w:hint="eastAsia" w:ascii="Times New Roman" w:eastAsia="宋体"/>
        </w:rPr>
        <w:t>包括投标方的外购件在内</w:t>
      </w:r>
      <w:r>
        <w:rPr>
          <w:rFonts w:ascii="Times New Roman" w:eastAsia="宋体"/>
        </w:rPr>
        <w:t>)</w:t>
      </w:r>
      <w:r>
        <w:rPr>
          <w:rFonts w:hint="eastAsia" w:ascii="Times New Roman" w:eastAsia="宋体"/>
        </w:rPr>
        <w:t>均应符合本标准的规定。若招标方根据运行经验指定投标方提供某种外购零部件</w:t>
      </w:r>
      <w:r>
        <w:rPr>
          <w:rFonts w:ascii="Times New Roman" w:eastAsia="宋体"/>
        </w:rPr>
        <w:t xml:space="preserve">, </w:t>
      </w:r>
      <w:r>
        <w:rPr>
          <w:rFonts w:hint="eastAsia" w:ascii="Times New Roman" w:eastAsia="宋体"/>
        </w:rPr>
        <w:t>投标方应积极配合。</w:t>
      </w:r>
    </w:p>
    <w:p>
      <w:pPr>
        <w:pStyle w:val="67"/>
        <w:spacing w:line="360" w:lineRule="auto"/>
        <w:ind w:firstLine="420" w:firstLineChars="200"/>
        <w:outlineLvl w:val="9"/>
        <w:rPr>
          <w:rFonts w:ascii="Times New Roman" w:eastAsia="宋体"/>
        </w:rPr>
      </w:pPr>
      <w:r>
        <w:rPr>
          <w:rFonts w:hint="eastAsia" w:ascii="Times New Roman" w:eastAsia="宋体"/>
        </w:rPr>
        <w:t>5）附属及配套设备必须满足有关行业标准的要求</w:t>
      </w:r>
      <w:r>
        <w:rPr>
          <w:rFonts w:ascii="Times New Roman" w:eastAsia="宋体"/>
        </w:rPr>
        <w:t xml:space="preserve">, </w:t>
      </w:r>
      <w:r>
        <w:rPr>
          <w:rFonts w:hint="eastAsia" w:ascii="Times New Roman" w:eastAsia="宋体"/>
        </w:rPr>
        <w:t>并提供试验报告和产品合格证。</w:t>
      </w:r>
    </w:p>
    <w:p>
      <w:pPr>
        <w:rPr>
          <w:rFonts w:hint="eastAsia"/>
        </w:rPr>
      </w:pPr>
    </w:p>
    <w:p>
      <w:pPr>
        <w:rPr>
          <w:rFonts w:hint="eastAsia"/>
        </w:rPr>
      </w:pPr>
    </w:p>
    <w:p>
      <w:r>
        <w:rPr>
          <w:rFonts w:hint="eastAsia"/>
          <w:lang w:val="en-US" w:eastAsia="zh-CN"/>
        </w:rPr>
        <w:t>项目联系人</w:t>
      </w:r>
      <w:r>
        <w:rPr>
          <w:rFonts w:hint="eastAsia"/>
        </w:rPr>
        <w:t>陈聪13457719711</w:t>
      </w:r>
      <w:bookmarkStart w:id="117" w:name="_GoBack"/>
      <w:bookmarkEnd w:id="117"/>
    </w:p>
    <w:sectPr>
      <w:headerReference r:id="rId10" w:type="default"/>
      <w:footerReference r:id="rId11"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28"/>
      </w:rPr>
    </w:pPr>
    <w:r>
      <w:rPr>
        <w:rStyle w:val="28"/>
      </w:rPr>
      <w:fldChar w:fldCharType="begin"/>
    </w:r>
    <w:r>
      <w:rPr>
        <w:rStyle w:val="28"/>
      </w:rPr>
      <w:instrText xml:space="preserve">PAGE  </w:instrText>
    </w:r>
    <w:r>
      <w:rPr>
        <w:rStyle w:val="28"/>
      </w:rPr>
      <w:fldChar w:fldCharType="separate"/>
    </w:r>
    <w:r>
      <w:rPr>
        <w:rStyle w:val="28"/>
      </w:rPr>
      <w:t>2</w:t>
    </w:r>
    <w:r>
      <w:rPr>
        <w:rStyle w:val="28"/>
      </w:rPr>
      <w:fldChar w:fldCharType="end"/>
    </w:r>
  </w:p>
  <w:p>
    <w:pPr>
      <w:pStyle w:val="95"/>
      <w:ind w:right="360" w:firstLine="360"/>
      <w:rPr>
        <w:rStyle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4"/>
      <w:ind w:right="360" w:firstLine="360"/>
      <w:jc w:val="center"/>
      <w:rPr>
        <w:rStyle w:val="28"/>
      </w:rPr>
    </w:pPr>
    <w:r>
      <w:rPr>
        <w:rStyle w:val="28"/>
        <w:kern w:val="2"/>
        <w:szCs w:val="18"/>
      </w:rPr>
      <w:fldChar w:fldCharType="begin"/>
    </w:r>
    <w:r>
      <w:rPr>
        <w:rStyle w:val="28"/>
        <w:kern w:val="2"/>
        <w:szCs w:val="18"/>
      </w:rPr>
      <w:instrText xml:space="preserve"> PAGE </w:instrText>
    </w:r>
    <w:r>
      <w:rPr>
        <w:rStyle w:val="28"/>
        <w:kern w:val="2"/>
        <w:szCs w:val="18"/>
      </w:rPr>
      <w:fldChar w:fldCharType="separate"/>
    </w:r>
    <w:r>
      <w:rPr>
        <w:rStyle w:val="28"/>
        <w:kern w:val="2"/>
        <w:szCs w:val="18"/>
      </w:rPr>
      <w:t>4</w:t>
    </w:r>
    <w:r>
      <w:rPr>
        <w:rStyle w:val="28"/>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8"/>
      <w:tabs>
        <w:tab w:val="clear" w:pos="36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r>
      <w:rPr>
        <w:rFonts w:hint="eastAsia"/>
      </w:rPr>
      <w:t xml:space="preserve">                          第</w:t>
    </w:r>
    <w:r>
      <w:rPr>
        <w:rStyle w:val="28"/>
      </w:rPr>
      <w:fldChar w:fldCharType="begin"/>
    </w:r>
    <w:r>
      <w:rPr>
        <w:rStyle w:val="28"/>
      </w:rPr>
      <w:instrText xml:space="preserve"> PAGE </w:instrText>
    </w:r>
    <w:r>
      <w:rPr>
        <w:rStyle w:val="28"/>
      </w:rPr>
      <w:fldChar w:fldCharType="separate"/>
    </w:r>
    <w:r>
      <w:rPr>
        <w:rStyle w:val="28"/>
      </w:rPr>
      <w:t>2</w:t>
    </w:r>
    <w:r>
      <w:rPr>
        <w:rStyle w:val="28"/>
      </w:rPr>
      <w:fldChar w:fldCharType="end"/>
    </w:r>
    <w:r>
      <w:rPr>
        <w:rFonts w:hint="eastAsia"/>
      </w:rPr>
      <w:t xml:space="preserve">页 /  共15页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0"/>
        <w:u w:val="none" w:color="000000"/>
        <w:shd w:val="clear" w:color="auto" w:fill="auto"/>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1"/>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21"/>
        <w:u w:val="none" w:color="000000"/>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2C1C585D"/>
    <w:multiLevelType w:val="singleLevel"/>
    <w:tmpl w:val="2C1C585D"/>
    <w:lvl w:ilvl="0" w:tentative="0">
      <w:start w:val="1"/>
      <w:numFmt w:val="decimal"/>
      <w:pStyle w:val="69"/>
      <w:lvlText w:val="(%1)"/>
      <w:lvlJc w:val="left"/>
      <w:pPr>
        <w:tabs>
          <w:tab w:val="left" w:pos="678"/>
        </w:tabs>
        <w:ind w:left="678" w:hanging="468"/>
      </w:pPr>
      <w:rPr>
        <w:rFonts w:hint="eastAsia"/>
      </w:rPr>
    </w:lvl>
  </w:abstractNum>
  <w:abstractNum w:abstractNumId="2">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3AF50C93"/>
    <w:multiLevelType w:val="multilevel"/>
    <w:tmpl w:val="3AF50C93"/>
    <w:lvl w:ilvl="0" w:tentative="0">
      <w:start w:val="10"/>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6"/>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2"/>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5BA62895"/>
    <w:multiLevelType w:val="multilevel"/>
    <w:tmpl w:val="5BA62895"/>
    <w:lvl w:ilvl="0" w:tentative="0">
      <w:start w:val="1"/>
      <w:numFmt w:val="decimal"/>
      <w:pStyle w:val="86"/>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7B8"/>
    <w:rsid w:val="00000AA4"/>
    <w:rsid w:val="000019C0"/>
    <w:rsid w:val="00013365"/>
    <w:rsid w:val="00013E43"/>
    <w:rsid w:val="00017D43"/>
    <w:rsid w:val="00022005"/>
    <w:rsid w:val="00022C45"/>
    <w:rsid w:val="000354EC"/>
    <w:rsid w:val="000400F0"/>
    <w:rsid w:val="00044240"/>
    <w:rsid w:val="00056A5D"/>
    <w:rsid w:val="00057312"/>
    <w:rsid w:val="000672C4"/>
    <w:rsid w:val="000762D5"/>
    <w:rsid w:val="00077FB0"/>
    <w:rsid w:val="0008089D"/>
    <w:rsid w:val="000900D3"/>
    <w:rsid w:val="0009059F"/>
    <w:rsid w:val="00095DD0"/>
    <w:rsid w:val="000961F2"/>
    <w:rsid w:val="000970CD"/>
    <w:rsid w:val="000C7548"/>
    <w:rsid w:val="000C7D2B"/>
    <w:rsid w:val="000D04C0"/>
    <w:rsid w:val="000D2D34"/>
    <w:rsid w:val="000D6930"/>
    <w:rsid w:val="000F30DC"/>
    <w:rsid w:val="000F7D60"/>
    <w:rsid w:val="001112C4"/>
    <w:rsid w:val="00112B1A"/>
    <w:rsid w:val="00120158"/>
    <w:rsid w:val="00124D9A"/>
    <w:rsid w:val="00130FD7"/>
    <w:rsid w:val="00131756"/>
    <w:rsid w:val="00134603"/>
    <w:rsid w:val="001550DF"/>
    <w:rsid w:val="001555F3"/>
    <w:rsid w:val="001620AF"/>
    <w:rsid w:val="00164DA3"/>
    <w:rsid w:val="00166309"/>
    <w:rsid w:val="001744E2"/>
    <w:rsid w:val="0017701E"/>
    <w:rsid w:val="00180794"/>
    <w:rsid w:val="00181E1B"/>
    <w:rsid w:val="00186086"/>
    <w:rsid w:val="00186C82"/>
    <w:rsid w:val="00190DE7"/>
    <w:rsid w:val="00194B6C"/>
    <w:rsid w:val="001A742C"/>
    <w:rsid w:val="001B3EFE"/>
    <w:rsid w:val="001B5017"/>
    <w:rsid w:val="001B7AE0"/>
    <w:rsid w:val="001D27A5"/>
    <w:rsid w:val="001E2382"/>
    <w:rsid w:val="00214647"/>
    <w:rsid w:val="00231931"/>
    <w:rsid w:val="00233A19"/>
    <w:rsid w:val="002447B3"/>
    <w:rsid w:val="002623A8"/>
    <w:rsid w:val="00263A43"/>
    <w:rsid w:val="00286421"/>
    <w:rsid w:val="00292983"/>
    <w:rsid w:val="002963D6"/>
    <w:rsid w:val="002B0208"/>
    <w:rsid w:val="002B0836"/>
    <w:rsid w:val="002B37ED"/>
    <w:rsid w:val="002C3B5D"/>
    <w:rsid w:val="002D05C1"/>
    <w:rsid w:val="002E0202"/>
    <w:rsid w:val="002E3393"/>
    <w:rsid w:val="002E50B5"/>
    <w:rsid w:val="002E55A5"/>
    <w:rsid w:val="002F178A"/>
    <w:rsid w:val="00301900"/>
    <w:rsid w:val="00302EED"/>
    <w:rsid w:val="0031200B"/>
    <w:rsid w:val="00327DCD"/>
    <w:rsid w:val="00330F45"/>
    <w:rsid w:val="003375D1"/>
    <w:rsid w:val="00341342"/>
    <w:rsid w:val="003444A4"/>
    <w:rsid w:val="00346785"/>
    <w:rsid w:val="003517A0"/>
    <w:rsid w:val="00352504"/>
    <w:rsid w:val="003543BA"/>
    <w:rsid w:val="00360A6D"/>
    <w:rsid w:val="00367AE5"/>
    <w:rsid w:val="0037411E"/>
    <w:rsid w:val="00374C0D"/>
    <w:rsid w:val="003812D7"/>
    <w:rsid w:val="0039095C"/>
    <w:rsid w:val="00391A2F"/>
    <w:rsid w:val="003979D4"/>
    <w:rsid w:val="003B4432"/>
    <w:rsid w:val="003B448F"/>
    <w:rsid w:val="003C4206"/>
    <w:rsid w:val="003C7C3F"/>
    <w:rsid w:val="003D0B06"/>
    <w:rsid w:val="003D5BB7"/>
    <w:rsid w:val="003E7B4D"/>
    <w:rsid w:val="00400C58"/>
    <w:rsid w:val="0040661E"/>
    <w:rsid w:val="00421F01"/>
    <w:rsid w:val="004243CF"/>
    <w:rsid w:val="0044211D"/>
    <w:rsid w:val="00461A00"/>
    <w:rsid w:val="00463FD7"/>
    <w:rsid w:val="004653CF"/>
    <w:rsid w:val="00470F31"/>
    <w:rsid w:val="004736EE"/>
    <w:rsid w:val="00495598"/>
    <w:rsid w:val="004A2F46"/>
    <w:rsid w:val="004B4524"/>
    <w:rsid w:val="004C04D5"/>
    <w:rsid w:val="004C3C17"/>
    <w:rsid w:val="004C4F5E"/>
    <w:rsid w:val="004C76FC"/>
    <w:rsid w:val="004D1224"/>
    <w:rsid w:val="004E7F35"/>
    <w:rsid w:val="004F1CBF"/>
    <w:rsid w:val="004F7D34"/>
    <w:rsid w:val="005002F4"/>
    <w:rsid w:val="0050191C"/>
    <w:rsid w:val="00515F2F"/>
    <w:rsid w:val="005247D6"/>
    <w:rsid w:val="00530DB0"/>
    <w:rsid w:val="0053615E"/>
    <w:rsid w:val="00540CC3"/>
    <w:rsid w:val="00542695"/>
    <w:rsid w:val="00561233"/>
    <w:rsid w:val="00570085"/>
    <w:rsid w:val="005845CE"/>
    <w:rsid w:val="005B42AE"/>
    <w:rsid w:val="005B7BB0"/>
    <w:rsid w:val="005E3C04"/>
    <w:rsid w:val="005E55BE"/>
    <w:rsid w:val="005F15E6"/>
    <w:rsid w:val="005F23DD"/>
    <w:rsid w:val="005F7125"/>
    <w:rsid w:val="00604DCD"/>
    <w:rsid w:val="00612370"/>
    <w:rsid w:val="00620E28"/>
    <w:rsid w:val="00622635"/>
    <w:rsid w:val="00623279"/>
    <w:rsid w:val="00630D77"/>
    <w:rsid w:val="00655840"/>
    <w:rsid w:val="006663E3"/>
    <w:rsid w:val="00666967"/>
    <w:rsid w:val="006735C2"/>
    <w:rsid w:val="00673F9B"/>
    <w:rsid w:val="00677912"/>
    <w:rsid w:val="0068499D"/>
    <w:rsid w:val="0068692A"/>
    <w:rsid w:val="0069114E"/>
    <w:rsid w:val="0069364D"/>
    <w:rsid w:val="006A2388"/>
    <w:rsid w:val="006A74FB"/>
    <w:rsid w:val="006B0991"/>
    <w:rsid w:val="006C13F0"/>
    <w:rsid w:val="006C2612"/>
    <w:rsid w:val="006D0BB5"/>
    <w:rsid w:val="006E0043"/>
    <w:rsid w:val="006E7C22"/>
    <w:rsid w:val="006F411A"/>
    <w:rsid w:val="006F4D15"/>
    <w:rsid w:val="006F5DFD"/>
    <w:rsid w:val="00700261"/>
    <w:rsid w:val="00706A85"/>
    <w:rsid w:val="00712718"/>
    <w:rsid w:val="00714352"/>
    <w:rsid w:val="00714553"/>
    <w:rsid w:val="0071470A"/>
    <w:rsid w:val="007160C6"/>
    <w:rsid w:val="007257AF"/>
    <w:rsid w:val="00727F15"/>
    <w:rsid w:val="007410B4"/>
    <w:rsid w:val="00742527"/>
    <w:rsid w:val="00750CC2"/>
    <w:rsid w:val="00766E3E"/>
    <w:rsid w:val="00775178"/>
    <w:rsid w:val="00780E76"/>
    <w:rsid w:val="0078515A"/>
    <w:rsid w:val="007857A0"/>
    <w:rsid w:val="00793824"/>
    <w:rsid w:val="007A3C95"/>
    <w:rsid w:val="007A58DA"/>
    <w:rsid w:val="007A6433"/>
    <w:rsid w:val="007B1D69"/>
    <w:rsid w:val="007B7198"/>
    <w:rsid w:val="007B73AC"/>
    <w:rsid w:val="007C0FD8"/>
    <w:rsid w:val="007C52F7"/>
    <w:rsid w:val="007E6AE3"/>
    <w:rsid w:val="007F1749"/>
    <w:rsid w:val="007F61A4"/>
    <w:rsid w:val="007F65AF"/>
    <w:rsid w:val="00801BBC"/>
    <w:rsid w:val="0080584B"/>
    <w:rsid w:val="00807139"/>
    <w:rsid w:val="00821652"/>
    <w:rsid w:val="008319C3"/>
    <w:rsid w:val="00854141"/>
    <w:rsid w:val="00856694"/>
    <w:rsid w:val="00856AD9"/>
    <w:rsid w:val="008733AB"/>
    <w:rsid w:val="0088191D"/>
    <w:rsid w:val="0088394F"/>
    <w:rsid w:val="00885CD2"/>
    <w:rsid w:val="008871E2"/>
    <w:rsid w:val="008951DD"/>
    <w:rsid w:val="008B0BB4"/>
    <w:rsid w:val="008B1840"/>
    <w:rsid w:val="008B2002"/>
    <w:rsid w:val="008C1E3D"/>
    <w:rsid w:val="008C21CC"/>
    <w:rsid w:val="008C2BB8"/>
    <w:rsid w:val="008C2CC6"/>
    <w:rsid w:val="008D2ADB"/>
    <w:rsid w:val="00902260"/>
    <w:rsid w:val="00914DFF"/>
    <w:rsid w:val="00916F2E"/>
    <w:rsid w:val="0092261C"/>
    <w:rsid w:val="009252FC"/>
    <w:rsid w:val="00935BBE"/>
    <w:rsid w:val="009408C7"/>
    <w:rsid w:val="009458FF"/>
    <w:rsid w:val="00951145"/>
    <w:rsid w:val="00953B02"/>
    <w:rsid w:val="00961274"/>
    <w:rsid w:val="009623A2"/>
    <w:rsid w:val="00962F99"/>
    <w:rsid w:val="00967954"/>
    <w:rsid w:val="00971B5D"/>
    <w:rsid w:val="0097459A"/>
    <w:rsid w:val="00974AEF"/>
    <w:rsid w:val="0098024F"/>
    <w:rsid w:val="009B4841"/>
    <w:rsid w:val="009D7D89"/>
    <w:rsid w:val="009E0AF7"/>
    <w:rsid w:val="009E2690"/>
    <w:rsid w:val="009E461B"/>
    <w:rsid w:val="009E7DFD"/>
    <w:rsid w:val="009F039F"/>
    <w:rsid w:val="009F7456"/>
    <w:rsid w:val="00A017AA"/>
    <w:rsid w:val="00A01CD9"/>
    <w:rsid w:val="00A045F2"/>
    <w:rsid w:val="00A05590"/>
    <w:rsid w:val="00A1146E"/>
    <w:rsid w:val="00A13C30"/>
    <w:rsid w:val="00A16486"/>
    <w:rsid w:val="00A2060B"/>
    <w:rsid w:val="00A36B3D"/>
    <w:rsid w:val="00A45911"/>
    <w:rsid w:val="00A50B31"/>
    <w:rsid w:val="00A71A2D"/>
    <w:rsid w:val="00A74C12"/>
    <w:rsid w:val="00A81601"/>
    <w:rsid w:val="00A86055"/>
    <w:rsid w:val="00A8666B"/>
    <w:rsid w:val="00A957D2"/>
    <w:rsid w:val="00A960F0"/>
    <w:rsid w:val="00AA2729"/>
    <w:rsid w:val="00AA5024"/>
    <w:rsid w:val="00AB0921"/>
    <w:rsid w:val="00AB4D6D"/>
    <w:rsid w:val="00AC2EF6"/>
    <w:rsid w:val="00AC6186"/>
    <w:rsid w:val="00AE4D2E"/>
    <w:rsid w:val="00AF0DB6"/>
    <w:rsid w:val="00AF5DB7"/>
    <w:rsid w:val="00AF7D65"/>
    <w:rsid w:val="00B02AE5"/>
    <w:rsid w:val="00B072FF"/>
    <w:rsid w:val="00B12740"/>
    <w:rsid w:val="00B17C5A"/>
    <w:rsid w:val="00B327F2"/>
    <w:rsid w:val="00B33B57"/>
    <w:rsid w:val="00B41721"/>
    <w:rsid w:val="00B41F82"/>
    <w:rsid w:val="00B44044"/>
    <w:rsid w:val="00B46ED2"/>
    <w:rsid w:val="00B54E2A"/>
    <w:rsid w:val="00B61DAB"/>
    <w:rsid w:val="00B6209F"/>
    <w:rsid w:val="00B645DE"/>
    <w:rsid w:val="00B667B8"/>
    <w:rsid w:val="00B72BA7"/>
    <w:rsid w:val="00B72D20"/>
    <w:rsid w:val="00B73873"/>
    <w:rsid w:val="00B82F22"/>
    <w:rsid w:val="00BA7838"/>
    <w:rsid w:val="00BB0583"/>
    <w:rsid w:val="00BB4A5C"/>
    <w:rsid w:val="00BC3526"/>
    <w:rsid w:val="00BC5F3B"/>
    <w:rsid w:val="00BC6DA4"/>
    <w:rsid w:val="00BD1DED"/>
    <w:rsid w:val="00BD7236"/>
    <w:rsid w:val="00BE6323"/>
    <w:rsid w:val="00BF701A"/>
    <w:rsid w:val="00C15CEC"/>
    <w:rsid w:val="00C20FBD"/>
    <w:rsid w:val="00C25C47"/>
    <w:rsid w:val="00C34A7C"/>
    <w:rsid w:val="00C34C63"/>
    <w:rsid w:val="00C35C81"/>
    <w:rsid w:val="00C425C9"/>
    <w:rsid w:val="00C427AF"/>
    <w:rsid w:val="00C45B36"/>
    <w:rsid w:val="00C51E0E"/>
    <w:rsid w:val="00C5453C"/>
    <w:rsid w:val="00C848E3"/>
    <w:rsid w:val="00C916FF"/>
    <w:rsid w:val="00CA4743"/>
    <w:rsid w:val="00CB1AAC"/>
    <w:rsid w:val="00CB6C44"/>
    <w:rsid w:val="00CC0386"/>
    <w:rsid w:val="00CC09C5"/>
    <w:rsid w:val="00CD40DD"/>
    <w:rsid w:val="00CD4FB0"/>
    <w:rsid w:val="00CE02A6"/>
    <w:rsid w:val="00CE6B1D"/>
    <w:rsid w:val="00D111DB"/>
    <w:rsid w:val="00D165AB"/>
    <w:rsid w:val="00D16CC7"/>
    <w:rsid w:val="00D209E7"/>
    <w:rsid w:val="00D22599"/>
    <w:rsid w:val="00D26DFE"/>
    <w:rsid w:val="00D34277"/>
    <w:rsid w:val="00D37226"/>
    <w:rsid w:val="00D37523"/>
    <w:rsid w:val="00D40500"/>
    <w:rsid w:val="00D47EDF"/>
    <w:rsid w:val="00D51BC0"/>
    <w:rsid w:val="00D523D5"/>
    <w:rsid w:val="00D5297E"/>
    <w:rsid w:val="00D60BC5"/>
    <w:rsid w:val="00D63446"/>
    <w:rsid w:val="00D732BE"/>
    <w:rsid w:val="00D84C44"/>
    <w:rsid w:val="00D86AB3"/>
    <w:rsid w:val="00DA1962"/>
    <w:rsid w:val="00DA1D1B"/>
    <w:rsid w:val="00DA4314"/>
    <w:rsid w:val="00DC5C1A"/>
    <w:rsid w:val="00DC5E28"/>
    <w:rsid w:val="00DD1C6A"/>
    <w:rsid w:val="00DD461B"/>
    <w:rsid w:val="00DE4B7C"/>
    <w:rsid w:val="00DE5C7D"/>
    <w:rsid w:val="00DE6D9B"/>
    <w:rsid w:val="00E02C30"/>
    <w:rsid w:val="00E11358"/>
    <w:rsid w:val="00E203C6"/>
    <w:rsid w:val="00E37C96"/>
    <w:rsid w:val="00E40ADC"/>
    <w:rsid w:val="00E418B9"/>
    <w:rsid w:val="00E53B72"/>
    <w:rsid w:val="00E6071E"/>
    <w:rsid w:val="00E654F6"/>
    <w:rsid w:val="00E65F29"/>
    <w:rsid w:val="00E778B8"/>
    <w:rsid w:val="00E80237"/>
    <w:rsid w:val="00E803A8"/>
    <w:rsid w:val="00E87DED"/>
    <w:rsid w:val="00E90209"/>
    <w:rsid w:val="00E91E1D"/>
    <w:rsid w:val="00EB12EF"/>
    <w:rsid w:val="00EC5DF8"/>
    <w:rsid w:val="00ED5FD7"/>
    <w:rsid w:val="00EE34BC"/>
    <w:rsid w:val="00EF154B"/>
    <w:rsid w:val="00EF2588"/>
    <w:rsid w:val="00F20238"/>
    <w:rsid w:val="00F23E70"/>
    <w:rsid w:val="00F35BEC"/>
    <w:rsid w:val="00F3675A"/>
    <w:rsid w:val="00F375CE"/>
    <w:rsid w:val="00F42000"/>
    <w:rsid w:val="00F446F5"/>
    <w:rsid w:val="00F44AF3"/>
    <w:rsid w:val="00F52C49"/>
    <w:rsid w:val="00F67918"/>
    <w:rsid w:val="00F853C8"/>
    <w:rsid w:val="00F85A08"/>
    <w:rsid w:val="00F94A38"/>
    <w:rsid w:val="00FB0019"/>
    <w:rsid w:val="00FE7870"/>
    <w:rsid w:val="0E463A1D"/>
    <w:rsid w:val="19CF09D4"/>
    <w:rsid w:val="21643669"/>
    <w:rsid w:val="21940692"/>
    <w:rsid w:val="334832B6"/>
    <w:rsid w:val="351E7473"/>
    <w:rsid w:val="36F357BA"/>
    <w:rsid w:val="3945662F"/>
    <w:rsid w:val="3CF04CAC"/>
    <w:rsid w:val="3DAD71A4"/>
    <w:rsid w:val="540108F1"/>
    <w:rsid w:val="61884113"/>
    <w:rsid w:val="689D3E92"/>
    <w:rsid w:val="68EC1885"/>
    <w:rsid w:val="7C536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qFormat="1" w:unhideWhenUsed="0" w:uiPriority="0"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36"/>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link w:val="37"/>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8"/>
    <w:qFormat/>
    <w:uiPriority w:val="0"/>
    <w:pPr>
      <w:spacing w:line="360" w:lineRule="auto"/>
      <w:outlineLvl w:val="3"/>
    </w:pPr>
    <w:rPr>
      <w:rFonts w:ascii="宋体"/>
      <w:bCs/>
      <w:szCs w:val="21"/>
    </w:rPr>
  </w:style>
  <w:style w:type="paragraph" w:styleId="6">
    <w:name w:val="heading 5"/>
    <w:basedOn w:val="1"/>
    <w:next w:val="1"/>
    <w:link w:val="39"/>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link w:val="40"/>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41"/>
    <w:qFormat/>
    <w:uiPriority w:val="0"/>
    <w:pPr>
      <w:keepNext/>
      <w:keepLines/>
      <w:spacing w:before="240" w:after="64" w:line="320" w:lineRule="auto"/>
      <w:outlineLvl w:val="6"/>
    </w:pPr>
    <w:rPr>
      <w:b/>
      <w:bCs/>
      <w:sz w:val="24"/>
    </w:rPr>
  </w:style>
  <w:style w:type="paragraph" w:styleId="9">
    <w:name w:val="heading 8"/>
    <w:basedOn w:val="1"/>
    <w:next w:val="1"/>
    <w:link w:val="42"/>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43"/>
    <w:qFormat/>
    <w:uiPriority w:val="0"/>
    <w:pPr>
      <w:keepNext/>
      <w:keepLines/>
      <w:spacing w:before="240" w:after="64" w:line="320" w:lineRule="auto"/>
      <w:outlineLvl w:val="8"/>
    </w:pPr>
    <w:rPr>
      <w:rFonts w:ascii="Arial" w:hAnsi="Arial" w:eastAsia="黑体"/>
      <w:szCs w:val="21"/>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0"/>
    <w:qFormat/>
    <w:uiPriority w:val="0"/>
    <w:pPr>
      <w:spacing w:line="360" w:lineRule="auto"/>
      <w:ind w:firstLine="420" w:firstLineChars="200"/>
    </w:pPr>
  </w:style>
  <w:style w:type="paragraph" w:styleId="12">
    <w:name w:val="Document Map"/>
    <w:basedOn w:val="1"/>
    <w:link w:val="97"/>
    <w:semiHidden/>
    <w:qFormat/>
    <w:uiPriority w:val="0"/>
    <w:pPr>
      <w:shd w:val="clear" w:color="auto" w:fill="000080"/>
    </w:pPr>
  </w:style>
  <w:style w:type="paragraph" w:styleId="13">
    <w:name w:val="annotation text"/>
    <w:basedOn w:val="1"/>
    <w:link w:val="56"/>
    <w:semiHidden/>
    <w:qFormat/>
    <w:uiPriority w:val="0"/>
    <w:pPr>
      <w:jc w:val="left"/>
    </w:pPr>
  </w:style>
  <w:style w:type="paragraph" w:styleId="14">
    <w:name w:val="toc 3"/>
    <w:basedOn w:val="1"/>
    <w:next w:val="1"/>
    <w:semiHidden/>
    <w:qFormat/>
    <w:uiPriority w:val="0"/>
    <w:pPr>
      <w:tabs>
        <w:tab w:val="left" w:pos="1620"/>
        <w:tab w:val="right" w:leader="dot" w:pos="8296"/>
      </w:tabs>
    </w:pPr>
  </w:style>
  <w:style w:type="paragraph" w:styleId="15">
    <w:name w:val="Plain Text"/>
    <w:basedOn w:val="1"/>
    <w:link w:val="73"/>
    <w:qFormat/>
    <w:uiPriority w:val="0"/>
    <w:rPr>
      <w:rFonts w:ascii="宋体" w:hAnsi="Courier New"/>
    </w:rPr>
  </w:style>
  <w:style w:type="paragraph" w:styleId="16">
    <w:name w:val="Body Text Indent 2"/>
    <w:basedOn w:val="1"/>
    <w:link w:val="60"/>
    <w:qFormat/>
    <w:uiPriority w:val="0"/>
    <w:pPr>
      <w:adjustRightInd w:val="0"/>
      <w:spacing w:before="120" w:line="300" w:lineRule="auto"/>
      <w:ind w:firstLine="480"/>
      <w:jc w:val="left"/>
      <w:textAlignment w:val="baseline"/>
    </w:pPr>
    <w:rPr>
      <w:rFonts w:eastAsia="仿宋_GB2312"/>
      <w:kern w:val="0"/>
      <w:sz w:val="28"/>
      <w:szCs w:val="20"/>
    </w:rPr>
  </w:style>
  <w:style w:type="paragraph" w:styleId="17">
    <w:name w:val="Balloon Text"/>
    <w:basedOn w:val="1"/>
    <w:link w:val="57"/>
    <w:semiHidden/>
    <w:qFormat/>
    <w:uiPriority w:val="0"/>
    <w:rPr>
      <w:sz w:val="18"/>
      <w:szCs w:val="18"/>
    </w:rPr>
  </w:style>
  <w:style w:type="paragraph" w:styleId="18">
    <w:name w:val="footer"/>
    <w:basedOn w:val="1"/>
    <w:link w:val="34"/>
    <w:unhideWhenUsed/>
    <w:qFormat/>
    <w:uiPriority w:val="0"/>
    <w:pPr>
      <w:tabs>
        <w:tab w:val="center" w:pos="4153"/>
        <w:tab w:val="right" w:pos="8306"/>
      </w:tabs>
      <w:snapToGrid w:val="0"/>
      <w:jc w:val="left"/>
    </w:pPr>
    <w:rPr>
      <w:sz w:val="18"/>
      <w:szCs w:val="18"/>
    </w:rPr>
  </w:style>
  <w:style w:type="paragraph" w:styleId="19">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b/>
      <w:bCs/>
      <w:caps/>
      <w:sz w:val="20"/>
      <w:szCs w:val="20"/>
    </w:rPr>
  </w:style>
  <w:style w:type="paragraph" w:styleId="21">
    <w:name w:val="toc 4"/>
    <w:basedOn w:val="1"/>
    <w:next w:val="1"/>
    <w:semiHidden/>
    <w:qFormat/>
    <w:uiPriority w:val="0"/>
    <w:pPr>
      <w:ind w:left="1260" w:leftChars="600"/>
    </w:pPr>
  </w:style>
  <w:style w:type="paragraph" w:styleId="22">
    <w:name w:val="toc 2"/>
    <w:basedOn w:val="1"/>
    <w:next w:val="1"/>
    <w:qFormat/>
    <w:uiPriority w:val="39"/>
    <w:pPr>
      <w:tabs>
        <w:tab w:val="left" w:pos="900"/>
        <w:tab w:val="right" w:leader="dot" w:pos="8296"/>
      </w:tabs>
      <w:ind w:left="420" w:leftChars="200"/>
    </w:pPr>
  </w:style>
  <w:style w:type="paragraph" w:styleId="23">
    <w:name w:val="Title"/>
    <w:basedOn w:val="1"/>
    <w:link w:val="84"/>
    <w:qFormat/>
    <w:uiPriority w:val="0"/>
    <w:pPr>
      <w:spacing w:before="240" w:after="60"/>
      <w:jc w:val="center"/>
      <w:outlineLvl w:val="0"/>
    </w:pPr>
    <w:rPr>
      <w:rFonts w:ascii="Arial" w:hAnsi="Arial" w:cs="Arial"/>
      <w:b/>
      <w:bCs/>
      <w:sz w:val="32"/>
      <w:szCs w:val="32"/>
    </w:rPr>
  </w:style>
  <w:style w:type="paragraph" w:styleId="24">
    <w:name w:val="annotation subject"/>
    <w:basedOn w:val="13"/>
    <w:next w:val="13"/>
    <w:link w:val="75"/>
    <w:semiHidden/>
    <w:qFormat/>
    <w:uiPriority w:val="0"/>
    <w:rPr>
      <w:b/>
      <w:bCs/>
    </w:rPr>
  </w:style>
  <w:style w:type="table" w:styleId="26">
    <w:name w:val="Table Grid"/>
    <w:basedOn w:val="2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Emphasis"/>
    <w:qFormat/>
    <w:uiPriority w:val="0"/>
    <w:rPr>
      <w:color w:val="CC0000"/>
    </w:rPr>
  </w:style>
  <w:style w:type="character" w:styleId="30">
    <w:name w:val="HTML Definition"/>
    <w:semiHidden/>
    <w:qFormat/>
    <w:uiPriority w:val="0"/>
    <w:rPr>
      <w:i/>
      <w:iCs/>
    </w:rPr>
  </w:style>
  <w:style w:type="character" w:styleId="31">
    <w:name w:val="Hyperlink"/>
    <w:qFormat/>
    <w:uiPriority w:val="99"/>
    <w:rPr>
      <w:color w:val="0000FF"/>
      <w:u w:val="single"/>
    </w:rPr>
  </w:style>
  <w:style w:type="character" w:styleId="32">
    <w:name w:val="annotation reference"/>
    <w:semiHidden/>
    <w:qFormat/>
    <w:uiPriority w:val="0"/>
    <w:rPr>
      <w:sz w:val="21"/>
      <w:szCs w:val="21"/>
    </w:rPr>
  </w:style>
  <w:style w:type="character" w:customStyle="1" w:styleId="33">
    <w:name w:val="页眉 Char"/>
    <w:basedOn w:val="27"/>
    <w:link w:val="19"/>
    <w:qFormat/>
    <w:uiPriority w:val="99"/>
    <w:rPr>
      <w:sz w:val="18"/>
      <w:szCs w:val="18"/>
    </w:rPr>
  </w:style>
  <w:style w:type="character" w:customStyle="1" w:styleId="34">
    <w:name w:val="页脚 Char"/>
    <w:basedOn w:val="27"/>
    <w:link w:val="18"/>
    <w:qFormat/>
    <w:uiPriority w:val="0"/>
    <w:rPr>
      <w:sz w:val="18"/>
      <w:szCs w:val="18"/>
    </w:rPr>
  </w:style>
  <w:style w:type="character" w:customStyle="1" w:styleId="35">
    <w:name w:val="标题 1 Char"/>
    <w:basedOn w:val="27"/>
    <w:link w:val="2"/>
    <w:qFormat/>
    <w:uiPriority w:val="0"/>
    <w:rPr>
      <w:rFonts w:ascii="宋体" w:hAnsi="Times New Roman" w:eastAsia="宋体" w:cs="Times New Roman"/>
      <w:b/>
      <w:bCs/>
      <w:kern w:val="44"/>
      <w:szCs w:val="21"/>
    </w:rPr>
  </w:style>
  <w:style w:type="character" w:customStyle="1" w:styleId="36">
    <w:name w:val="标题 2 Char"/>
    <w:basedOn w:val="27"/>
    <w:link w:val="3"/>
    <w:qFormat/>
    <w:uiPriority w:val="0"/>
    <w:rPr>
      <w:rFonts w:ascii="宋体" w:hAnsi="Times New Roman" w:eastAsia="宋体" w:cs="Times New Roman"/>
      <w:bCs/>
      <w:szCs w:val="21"/>
    </w:rPr>
  </w:style>
  <w:style w:type="character" w:customStyle="1" w:styleId="37">
    <w:name w:val="标题 3 Char"/>
    <w:basedOn w:val="27"/>
    <w:link w:val="4"/>
    <w:qFormat/>
    <w:uiPriority w:val="0"/>
    <w:rPr>
      <w:rFonts w:ascii="宋体" w:hAnsi="Times New Roman" w:eastAsia="宋体" w:cs="Times New Roman"/>
      <w:bCs/>
      <w:szCs w:val="21"/>
    </w:rPr>
  </w:style>
  <w:style w:type="character" w:customStyle="1" w:styleId="38">
    <w:name w:val="标题 4 Char"/>
    <w:basedOn w:val="27"/>
    <w:link w:val="5"/>
    <w:qFormat/>
    <w:uiPriority w:val="0"/>
    <w:rPr>
      <w:rFonts w:ascii="宋体" w:hAnsi="Times New Roman" w:eastAsia="宋体" w:cs="Times New Roman"/>
      <w:bCs/>
      <w:szCs w:val="21"/>
    </w:rPr>
  </w:style>
  <w:style w:type="character" w:customStyle="1" w:styleId="39">
    <w:name w:val="标题 5 Char"/>
    <w:basedOn w:val="27"/>
    <w:link w:val="6"/>
    <w:qFormat/>
    <w:uiPriority w:val="0"/>
    <w:rPr>
      <w:rFonts w:ascii="Times New Roman" w:hAnsi="Times New Roman" w:eastAsia="宋体" w:cs="宋体"/>
      <w:bCs/>
      <w:kern w:val="0"/>
      <w:szCs w:val="21"/>
    </w:rPr>
  </w:style>
  <w:style w:type="character" w:customStyle="1" w:styleId="40">
    <w:name w:val="标题 6 Char"/>
    <w:basedOn w:val="27"/>
    <w:link w:val="7"/>
    <w:qFormat/>
    <w:uiPriority w:val="0"/>
    <w:rPr>
      <w:rFonts w:ascii="Arial" w:hAnsi="Arial" w:eastAsia="黑体" w:cs="Times New Roman"/>
      <w:b/>
      <w:bCs/>
      <w:sz w:val="24"/>
      <w:szCs w:val="24"/>
    </w:rPr>
  </w:style>
  <w:style w:type="character" w:customStyle="1" w:styleId="41">
    <w:name w:val="标题 7 Char"/>
    <w:basedOn w:val="27"/>
    <w:link w:val="8"/>
    <w:qFormat/>
    <w:uiPriority w:val="0"/>
    <w:rPr>
      <w:rFonts w:ascii="Times New Roman" w:hAnsi="Times New Roman" w:eastAsia="宋体" w:cs="Times New Roman"/>
      <w:b/>
      <w:bCs/>
      <w:sz w:val="24"/>
      <w:szCs w:val="24"/>
    </w:rPr>
  </w:style>
  <w:style w:type="character" w:customStyle="1" w:styleId="42">
    <w:name w:val="标题 8 Char"/>
    <w:basedOn w:val="27"/>
    <w:link w:val="9"/>
    <w:qFormat/>
    <w:uiPriority w:val="0"/>
    <w:rPr>
      <w:rFonts w:ascii="Arial" w:hAnsi="Arial" w:eastAsia="黑体" w:cs="Times New Roman"/>
      <w:sz w:val="24"/>
      <w:szCs w:val="24"/>
    </w:rPr>
  </w:style>
  <w:style w:type="character" w:customStyle="1" w:styleId="43">
    <w:name w:val="标题 9 Char"/>
    <w:basedOn w:val="27"/>
    <w:link w:val="10"/>
    <w:qFormat/>
    <w:uiPriority w:val="0"/>
    <w:rPr>
      <w:rFonts w:ascii="Arial" w:hAnsi="Arial" w:eastAsia="黑体" w:cs="Times New Roman"/>
      <w:szCs w:val="21"/>
    </w:rPr>
  </w:style>
  <w:style w:type="character" w:customStyle="1" w:styleId="44">
    <w:name w:val="首行缩进 Char"/>
    <w:link w:val="45"/>
    <w:qFormat/>
    <w:uiPriority w:val="0"/>
    <w:rPr>
      <w:rFonts w:eastAsia="方正书宋简体" w:cs="宋体"/>
    </w:rPr>
  </w:style>
  <w:style w:type="paragraph" w:customStyle="1" w:styleId="45">
    <w:name w:val="首行缩进"/>
    <w:basedOn w:val="1"/>
    <w:link w:val="44"/>
    <w:qFormat/>
    <w:uiPriority w:val="0"/>
    <w:pPr>
      <w:spacing w:line="300" w:lineRule="auto"/>
      <w:ind w:firstLine="420" w:firstLineChars="200"/>
    </w:pPr>
    <w:rPr>
      <w:rFonts w:eastAsia="方正书宋简体" w:cs="宋体" w:asciiTheme="minorHAnsi" w:hAnsiTheme="minorHAnsi"/>
      <w:szCs w:val="22"/>
    </w:rPr>
  </w:style>
  <w:style w:type="character" w:customStyle="1" w:styleId="46">
    <w:name w:val="表内居中小五 Char"/>
    <w:link w:val="47"/>
    <w:qFormat/>
    <w:uiPriority w:val="0"/>
    <w:rPr>
      <w:rFonts w:eastAsia="宋体" w:cs="宋体"/>
      <w:sz w:val="18"/>
      <w:szCs w:val="18"/>
    </w:rPr>
  </w:style>
  <w:style w:type="paragraph" w:customStyle="1" w:styleId="47">
    <w:name w:val="表内居中小五"/>
    <w:basedOn w:val="1"/>
    <w:link w:val="46"/>
    <w:qFormat/>
    <w:uiPriority w:val="0"/>
    <w:pPr>
      <w:jc w:val="center"/>
    </w:pPr>
    <w:rPr>
      <w:rFonts w:cs="宋体" w:asciiTheme="minorHAnsi" w:hAnsiTheme="minorHAnsi"/>
      <w:sz w:val="18"/>
      <w:szCs w:val="18"/>
    </w:rPr>
  </w:style>
  <w:style w:type="character" w:customStyle="1" w:styleId="48">
    <w:name w:val="表内居两端对齐 Char"/>
    <w:basedOn w:val="46"/>
    <w:link w:val="49"/>
    <w:qFormat/>
    <w:uiPriority w:val="0"/>
    <w:rPr>
      <w:rFonts w:eastAsia="宋体" w:cs="宋体"/>
      <w:sz w:val="18"/>
      <w:szCs w:val="18"/>
    </w:rPr>
  </w:style>
  <w:style w:type="paragraph" w:customStyle="1" w:styleId="49">
    <w:name w:val="表内居两端对齐"/>
    <w:basedOn w:val="47"/>
    <w:link w:val="48"/>
    <w:qFormat/>
    <w:uiPriority w:val="0"/>
    <w:pPr>
      <w:jc w:val="both"/>
    </w:pPr>
  </w:style>
  <w:style w:type="character" w:customStyle="1" w:styleId="50">
    <w:name w:val="正文缩进 Char"/>
    <w:link w:val="11"/>
    <w:qFormat/>
    <w:uiPriority w:val="0"/>
    <w:rPr>
      <w:rFonts w:ascii="Times New Roman" w:hAnsi="Times New Roman" w:eastAsia="宋体" w:cs="Times New Roman"/>
      <w:szCs w:val="24"/>
    </w:rPr>
  </w:style>
  <w:style w:type="paragraph" w:customStyle="1" w:styleId="51">
    <w:name w:val="样式 标题 3 + 宋体"/>
    <w:basedOn w:val="4"/>
    <w:link w:val="52"/>
    <w:qFormat/>
    <w:uiPriority w:val="0"/>
    <w:rPr>
      <w:rFonts w:hAnsi="宋体"/>
      <w:bCs w:val="0"/>
    </w:rPr>
  </w:style>
  <w:style w:type="character" w:customStyle="1" w:styleId="52">
    <w:name w:val="样式 标题 3 + 宋体 Char"/>
    <w:link w:val="51"/>
    <w:qFormat/>
    <w:uiPriority w:val="0"/>
    <w:rPr>
      <w:rFonts w:ascii="宋体" w:hAnsi="宋体" w:eastAsia="宋体" w:cs="Times New Roman"/>
      <w:szCs w:val="21"/>
    </w:rPr>
  </w:style>
  <w:style w:type="paragraph" w:customStyle="1" w:styleId="53">
    <w:name w:val="样式 标题 4 + (符号) 宋体"/>
    <w:basedOn w:val="5"/>
    <w:link w:val="54"/>
    <w:qFormat/>
    <w:uiPriority w:val="0"/>
    <w:pPr>
      <w:adjustRightInd w:val="0"/>
      <w:snapToGrid w:val="0"/>
    </w:pPr>
    <w:rPr>
      <w:bCs w:val="0"/>
    </w:rPr>
  </w:style>
  <w:style w:type="character" w:customStyle="1" w:styleId="54">
    <w:name w:val="样式 标题 4 + (符号) 宋体 Char"/>
    <w:basedOn w:val="38"/>
    <w:link w:val="53"/>
    <w:qFormat/>
    <w:uiPriority w:val="0"/>
    <w:rPr>
      <w:rFonts w:ascii="宋体" w:hAnsi="Times New Roman" w:eastAsia="宋体" w:cs="Times New Roman"/>
      <w:bCs w:val="0"/>
      <w:szCs w:val="21"/>
    </w:rPr>
  </w:style>
  <w:style w:type="paragraph" w:customStyle="1" w:styleId="55">
    <w:name w:val="前言首行"/>
    <w:basedOn w:val="1"/>
    <w:qFormat/>
    <w:uiPriority w:val="0"/>
    <w:pPr>
      <w:spacing w:after="120"/>
      <w:jc w:val="center"/>
    </w:pPr>
    <w:rPr>
      <w:rFonts w:eastAsia="黑体" w:cs="宋体"/>
      <w:b/>
      <w:bCs/>
      <w:sz w:val="32"/>
      <w:szCs w:val="20"/>
    </w:rPr>
  </w:style>
  <w:style w:type="character" w:customStyle="1" w:styleId="56">
    <w:name w:val="批注文字 Char"/>
    <w:basedOn w:val="27"/>
    <w:link w:val="13"/>
    <w:semiHidden/>
    <w:qFormat/>
    <w:uiPriority w:val="0"/>
    <w:rPr>
      <w:rFonts w:ascii="Times New Roman" w:hAnsi="Times New Roman" w:eastAsia="宋体" w:cs="Times New Roman"/>
      <w:szCs w:val="24"/>
    </w:rPr>
  </w:style>
  <w:style w:type="character" w:customStyle="1" w:styleId="57">
    <w:name w:val="批注框文本 Char"/>
    <w:basedOn w:val="27"/>
    <w:link w:val="17"/>
    <w:semiHidden/>
    <w:qFormat/>
    <w:uiPriority w:val="0"/>
    <w:rPr>
      <w:rFonts w:ascii="Times New Roman" w:hAnsi="Times New Roman" w:eastAsia="宋体" w:cs="Times New Roman"/>
      <w:sz w:val="18"/>
      <w:szCs w:val="18"/>
    </w:rPr>
  </w:style>
  <w:style w:type="paragraph" w:customStyle="1" w:styleId="58">
    <w:name w:val="段"/>
    <w:qFormat/>
    <w:uiPriority w:val="0"/>
    <w:pPr>
      <w:ind w:firstLine="200" w:firstLineChars="200"/>
      <w:jc w:val="both"/>
    </w:pPr>
    <w:rPr>
      <w:rFonts w:ascii="宋体" w:hAnsi="Times New Roman" w:eastAsia="宋体" w:cs="Times New Roman"/>
      <w:kern w:val="0"/>
      <w:sz w:val="21"/>
      <w:szCs w:val="20"/>
      <w:lang w:val="en-US" w:eastAsia="zh-CN" w:bidi="ar-SA"/>
    </w:rPr>
  </w:style>
  <w:style w:type="paragraph" w:customStyle="1" w:styleId="59">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60">
    <w:name w:val="正文文本缩进 2 Char"/>
    <w:basedOn w:val="27"/>
    <w:link w:val="16"/>
    <w:uiPriority w:val="0"/>
    <w:rPr>
      <w:rFonts w:ascii="Times New Roman" w:hAnsi="Times New Roman" w:eastAsia="仿宋_GB2312" w:cs="Times New Roman"/>
      <w:kern w:val="0"/>
      <w:sz w:val="28"/>
      <w:szCs w:val="20"/>
    </w:rPr>
  </w:style>
  <w:style w:type="paragraph" w:customStyle="1" w:styleId="61">
    <w:name w:val="样式1"/>
    <w:basedOn w:val="5"/>
    <w:qFormat/>
    <w:uiPriority w:val="0"/>
    <w:pPr>
      <w:numPr>
        <w:ilvl w:val="3"/>
        <w:numId w:val="1"/>
      </w:numPr>
      <w:tabs>
        <w:tab w:val="left" w:pos="360"/>
      </w:tabs>
    </w:pPr>
    <w:rPr>
      <w:rFonts w:hAnsi="宋体"/>
      <w:bCs w:val="0"/>
    </w:rPr>
  </w:style>
  <w:style w:type="paragraph" w:customStyle="1" w:styleId="62">
    <w:name w:val="样式 标题 5 + 右侧:  1 字符"/>
    <w:basedOn w:val="6"/>
    <w:qFormat/>
    <w:uiPriority w:val="0"/>
    <w:pPr>
      <w:ind w:right="210"/>
    </w:pPr>
    <w:rPr>
      <w:bCs w:val="0"/>
      <w:szCs w:val="20"/>
    </w:rPr>
  </w:style>
  <w:style w:type="paragraph" w:customStyle="1" w:styleId="63">
    <w:name w:val="Char"/>
    <w:basedOn w:val="1"/>
    <w:qFormat/>
    <w:uiPriority w:val="0"/>
    <w:pPr>
      <w:spacing w:line="360" w:lineRule="auto"/>
    </w:pPr>
    <w:rPr>
      <w:rFonts w:ascii="Tahoma" w:hAnsi="Tahoma"/>
      <w:sz w:val="24"/>
      <w:szCs w:val="20"/>
    </w:rPr>
  </w:style>
  <w:style w:type="paragraph" w:customStyle="1" w:styleId="64">
    <w:name w:val="Char Char Char Char Char Char Char Char Char Char Char Char"/>
    <w:basedOn w:val="1"/>
    <w:qFormat/>
    <w:uiPriority w:val="0"/>
    <w:pPr>
      <w:spacing w:line="360" w:lineRule="auto"/>
    </w:pPr>
    <w:rPr>
      <w:rFonts w:ascii="Tahoma" w:hAnsi="Tahoma"/>
      <w:sz w:val="24"/>
      <w:szCs w:val="20"/>
    </w:rPr>
  </w:style>
  <w:style w:type="paragraph" w:customStyle="1" w:styleId="65">
    <w:name w:val="章标题"/>
    <w:next w:val="58"/>
    <w:qFormat/>
    <w:uiPriority w:val="0"/>
    <w:p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66">
    <w:name w:val="标准书眉_奇数页"/>
    <w:next w:val="1"/>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67">
    <w:name w:val="二级条标题"/>
    <w:basedOn w:val="1"/>
    <w:next w:val="58"/>
    <w:link w:val="68"/>
    <w:uiPriority w:val="0"/>
    <w:pPr>
      <w:widowControl/>
      <w:outlineLvl w:val="3"/>
    </w:pPr>
    <w:rPr>
      <w:rFonts w:ascii="黑体" w:eastAsia="黑体"/>
      <w:kern w:val="0"/>
      <w:szCs w:val="20"/>
    </w:rPr>
  </w:style>
  <w:style w:type="character" w:customStyle="1" w:styleId="68">
    <w:name w:val="二级条标题 Char"/>
    <w:link w:val="67"/>
    <w:qFormat/>
    <w:uiPriority w:val="0"/>
    <w:rPr>
      <w:rFonts w:ascii="黑体" w:hAnsi="Times New Roman" w:eastAsia="黑体" w:cs="Times New Roman"/>
      <w:kern w:val="0"/>
      <w:szCs w:val="20"/>
    </w:rPr>
  </w:style>
  <w:style w:type="paragraph" w:customStyle="1" w:styleId="69">
    <w:name w:val="正文表标题"/>
    <w:next w:val="58"/>
    <w:qFormat/>
    <w:uiPriority w:val="0"/>
    <w:pPr>
      <w:numPr>
        <w:ilvl w:val="0"/>
        <w:numId w:val="3"/>
      </w:numPr>
      <w:tabs>
        <w:tab w:val="left" w:pos="360"/>
      </w:tabs>
      <w:jc w:val="center"/>
    </w:pPr>
    <w:rPr>
      <w:rFonts w:ascii="黑体" w:hAnsi="Times New Roman" w:eastAsia="黑体" w:cs="Times New Roman"/>
      <w:kern w:val="0"/>
      <w:sz w:val="21"/>
      <w:szCs w:val="20"/>
      <w:lang w:val="en-US" w:eastAsia="zh-CN" w:bidi="ar-SA"/>
    </w:rPr>
  </w:style>
  <w:style w:type="paragraph" w:customStyle="1" w:styleId="70">
    <w:name w:val="一级条标题"/>
    <w:basedOn w:val="65"/>
    <w:next w:val="58"/>
    <w:link w:val="71"/>
    <w:qFormat/>
    <w:uiPriority w:val="0"/>
    <w:pPr>
      <w:spacing w:before="0" w:beforeLines="0" w:after="0" w:afterLines="0"/>
      <w:outlineLvl w:val="2"/>
    </w:pPr>
  </w:style>
  <w:style w:type="character" w:customStyle="1" w:styleId="71">
    <w:name w:val="一级条标题 Char"/>
    <w:link w:val="70"/>
    <w:qFormat/>
    <w:uiPriority w:val="0"/>
    <w:rPr>
      <w:rFonts w:ascii="黑体" w:hAnsi="Times New Roman" w:eastAsia="黑体" w:cs="Times New Roman"/>
      <w:kern w:val="0"/>
      <w:szCs w:val="20"/>
    </w:rPr>
  </w:style>
  <w:style w:type="paragraph" w:customStyle="1" w:styleId="72">
    <w:name w:val="三级条标题"/>
    <w:basedOn w:val="67"/>
    <w:next w:val="58"/>
    <w:qFormat/>
    <w:uiPriority w:val="0"/>
    <w:pPr>
      <w:numPr>
        <w:ilvl w:val="4"/>
        <w:numId w:val="4"/>
      </w:numPr>
      <w:tabs>
        <w:tab w:val="left" w:pos="360"/>
      </w:tabs>
      <w:outlineLvl w:val="4"/>
    </w:pPr>
  </w:style>
  <w:style w:type="character" w:customStyle="1" w:styleId="73">
    <w:name w:val="纯文本 Char"/>
    <w:basedOn w:val="27"/>
    <w:link w:val="15"/>
    <w:qFormat/>
    <w:uiPriority w:val="0"/>
    <w:rPr>
      <w:rFonts w:ascii="宋体" w:hAnsi="Courier New" w:eastAsia="宋体" w:cs="Times New Roman"/>
      <w:szCs w:val="24"/>
    </w:rPr>
  </w:style>
  <w:style w:type="paragraph" w:customStyle="1" w:styleId="74">
    <w:name w:val="五级条标题"/>
    <w:basedOn w:val="1"/>
    <w:next w:val="58"/>
    <w:uiPriority w:val="0"/>
    <w:pPr>
      <w:widowControl/>
      <w:outlineLvl w:val="6"/>
    </w:pPr>
    <w:rPr>
      <w:rFonts w:ascii="黑体" w:eastAsia="黑体"/>
      <w:kern w:val="0"/>
      <w:szCs w:val="20"/>
    </w:rPr>
  </w:style>
  <w:style w:type="character" w:customStyle="1" w:styleId="75">
    <w:name w:val="批注主题 Char"/>
    <w:basedOn w:val="56"/>
    <w:link w:val="24"/>
    <w:semiHidden/>
    <w:qFormat/>
    <w:uiPriority w:val="0"/>
    <w:rPr>
      <w:rFonts w:ascii="Times New Roman" w:hAnsi="Times New Roman" w:eastAsia="宋体" w:cs="Times New Roman"/>
      <w:b/>
      <w:bCs/>
      <w:szCs w:val="24"/>
    </w:rPr>
  </w:style>
  <w:style w:type="paragraph" w:customStyle="1" w:styleId="76">
    <w:name w:val="CM5"/>
    <w:basedOn w:val="59"/>
    <w:next w:val="59"/>
    <w:qFormat/>
    <w:uiPriority w:val="0"/>
    <w:pPr>
      <w:spacing w:line="471" w:lineRule="atLeast"/>
    </w:pPr>
    <w:rPr>
      <w:rFonts w:ascii="黑体" w:eastAsia="黑体" w:cs="Times New Roman"/>
      <w:color w:val="auto"/>
    </w:rPr>
  </w:style>
  <w:style w:type="paragraph" w:customStyle="1" w:styleId="77">
    <w:name w:val="CM3"/>
    <w:basedOn w:val="59"/>
    <w:next w:val="59"/>
    <w:qFormat/>
    <w:uiPriority w:val="0"/>
    <w:pPr>
      <w:spacing w:line="468" w:lineRule="atLeast"/>
    </w:pPr>
    <w:rPr>
      <w:rFonts w:ascii="黑体" w:eastAsia="黑体" w:cs="Times New Roman"/>
      <w:color w:val="auto"/>
    </w:rPr>
  </w:style>
  <w:style w:type="paragraph" w:customStyle="1" w:styleId="78">
    <w:name w:val="CM33"/>
    <w:basedOn w:val="59"/>
    <w:next w:val="59"/>
    <w:qFormat/>
    <w:uiPriority w:val="0"/>
    <w:pPr>
      <w:spacing w:after="205"/>
    </w:pPr>
    <w:rPr>
      <w:rFonts w:ascii="黑体" w:eastAsia="黑体" w:cs="Times New Roman"/>
      <w:color w:val="auto"/>
    </w:rPr>
  </w:style>
  <w:style w:type="paragraph" w:customStyle="1" w:styleId="79">
    <w:name w:val="CM9"/>
    <w:basedOn w:val="59"/>
    <w:next w:val="59"/>
    <w:qFormat/>
    <w:uiPriority w:val="0"/>
    <w:pPr>
      <w:spacing w:line="468" w:lineRule="atLeast"/>
    </w:pPr>
    <w:rPr>
      <w:rFonts w:ascii="黑体" w:eastAsia="黑体" w:cs="Times New Roman"/>
      <w:color w:val="auto"/>
    </w:rPr>
  </w:style>
  <w:style w:type="paragraph" w:customStyle="1" w:styleId="80">
    <w:name w:val="CM10"/>
    <w:basedOn w:val="59"/>
    <w:next w:val="59"/>
    <w:qFormat/>
    <w:uiPriority w:val="0"/>
    <w:pPr>
      <w:spacing w:line="468" w:lineRule="atLeast"/>
    </w:pPr>
    <w:rPr>
      <w:rFonts w:ascii="黑体" w:eastAsia="黑体" w:cs="Times New Roman"/>
      <w:color w:val="auto"/>
    </w:rPr>
  </w:style>
  <w:style w:type="paragraph" w:customStyle="1" w:styleId="81">
    <w:name w:val="CM22"/>
    <w:basedOn w:val="59"/>
    <w:next w:val="59"/>
    <w:qFormat/>
    <w:uiPriority w:val="0"/>
    <w:pPr>
      <w:spacing w:line="468" w:lineRule="atLeast"/>
    </w:pPr>
    <w:rPr>
      <w:rFonts w:ascii="黑体" w:eastAsia="黑体" w:cs="Times New Roman"/>
      <w:color w:val="auto"/>
    </w:rPr>
  </w:style>
  <w:style w:type="paragraph" w:customStyle="1" w:styleId="82">
    <w:name w:val="CM23"/>
    <w:basedOn w:val="59"/>
    <w:next w:val="59"/>
    <w:qFormat/>
    <w:uiPriority w:val="0"/>
    <w:pPr>
      <w:spacing w:line="468" w:lineRule="atLeast"/>
    </w:pPr>
    <w:rPr>
      <w:rFonts w:ascii="黑体" w:eastAsia="黑体" w:cs="Times New Roman"/>
      <w:color w:val="auto"/>
    </w:rPr>
  </w:style>
  <w:style w:type="paragraph" w:customStyle="1" w:styleId="83">
    <w:name w:val="CM17"/>
    <w:basedOn w:val="59"/>
    <w:next w:val="59"/>
    <w:qFormat/>
    <w:uiPriority w:val="0"/>
    <w:pPr>
      <w:spacing w:line="468" w:lineRule="atLeast"/>
    </w:pPr>
    <w:rPr>
      <w:rFonts w:ascii="黑体" w:eastAsia="黑体" w:cs="Times New Roman"/>
      <w:color w:val="auto"/>
    </w:rPr>
  </w:style>
  <w:style w:type="character" w:customStyle="1" w:styleId="84">
    <w:name w:val="标题 Char"/>
    <w:basedOn w:val="27"/>
    <w:link w:val="23"/>
    <w:qFormat/>
    <w:uiPriority w:val="0"/>
    <w:rPr>
      <w:rFonts w:ascii="Arial" w:hAnsi="Arial" w:eastAsia="宋体" w:cs="Arial"/>
      <w:b/>
      <w:bCs/>
      <w:sz w:val="32"/>
      <w:szCs w:val="32"/>
    </w:rPr>
  </w:style>
  <w:style w:type="paragraph" w:customStyle="1" w:styleId="85">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86">
    <w:name w:val="前言、引言标题"/>
    <w:next w:val="1"/>
    <w:qFormat/>
    <w:uiPriority w:val="0"/>
    <w:pPr>
      <w:numPr>
        <w:ilvl w:val="0"/>
        <w:numId w:val="5"/>
      </w:numPr>
      <w:shd w:val="clear" w:color="FFFFFF" w:fill="FFFFFF"/>
      <w:spacing w:before="640" w:after="560"/>
      <w:jc w:val="center"/>
      <w:outlineLvl w:val="0"/>
    </w:pPr>
    <w:rPr>
      <w:rFonts w:ascii="黑体" w:hAnsi="Times New Roman" w:eastAsia="黑体" w:cs="Times New Roman"/>
      <w:kern w:val="0"/>
      <w:sz w:val="32"/>
      <w:szCs w:val="20"/>
      <w:lang w:val="en-US" w:eastAsia="zh-CN" w:bidi="ar-SA"/>
    </w:rPr>
  </w:style>
  <w:style w:type="paragraph" w:customStyle="1" w:styleId="87">
    <w:name w:val="四级条标题"/>
    <w:basedOn w:val="72"/>
    <w:next w:val="58"/>
    <w:qFormat/>
    <w:uiPriority w:val="0"/>
    <w:pPr>
      <w:numPr>
        <w:ilvl w:val="0"/>
        <w:numId w:val="0"/>
      </w:numPr>
      <w:outlineLvl w:val="5"/>
    </w:pPr>
  </w:style>
  <w:style w:type="paragraph" w:customStyle="1" w:styleId="88">
    <w:name w:val="标准书眉一"/>
    <w:qFormat/>
    <w:uiPriority w:val="0"/>
    <w:pPr>
      <w:tabs>
        <w:tab w:val="left" w:pos="360"/>
      </w:tabs>
      <w:jc w:val="both"/>
    </w:pPr>
    <w:rPr>
      <w:rFonts w:ascii="Times New Roman" w:hAnsi="Times New Roman" w:eastAsia="宋体" w:cs="Times New Roman"/>
      <w:kern w:val="0"/>
      <w:sz w:val="20"/>
      <w:szCs w:val="20"/>
      <w:lang w:val="en-US" w:eastAsia="zh-CN" w:bidi="ar-SA"/>
    </w:rPr>
  </w:style>
  <w:style w:type="paragraph" w:customStyle="1" w:styleId="89">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0">
    <w:name w:val="数字编号列项（二级）"/>
    <w:qFormat/>
    <w:uiPriority w:val="0"/>
    <w:pPr>
      <w:jc w:val="both"/>
    </w:pPr>
    <w:rPr>
      <w:rFonts w:ascii="宋体" w:hAnsi="Times New Roman" w:eastAsia="宋体" w:cs="Times New Roman"/>
      <w:kern w:val="0"/>
      <w:sz w:val="21"/>
      <w:szCs w:val="20"/>
      <w:lang w:val="en-US" w:eastAsia="zh-CN" w:bidi="ar-SA"/>
    </w:rPr>
  </w:style>
  <w:style w:type="paragraph" w:customStyle="1" w:styleId="91">
    <w:name w:val="无标题条"/>
    <w:next w:val="58"/>
    <w:qFormat/>
    <w:uiPriority w:val="0"/>
    <w:pPr>
      <w:jc w:val="both"/>
    </w:pPr>
    <w:rPr>
      <w:rFonts w:ascii="Times New Roman" w:hAnsi="Times New Roman" w:eastAsia="宋体" w:cs="Times New Roman"/>
      <w:kern w:val="0"/>
      <w:sz w:val="21"/>
      <w:szCs w:val="20"/>
      <w:lang w:val="en-US" w:eastAsia="zh-CN" w:bidi="ar-SA"/>
    </w:rPr>
  </w:style>
  <w:style w:type="paragraph" w:customStyle="1" w:styleId="92">
    <w:name w:val="封面标准文稿编辑信息"/>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93">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94">
    <w:name w:val="标准书脚_偶数页"/>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95">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96">
    <w:name w:val="目次、标准名称标题"/>
    <w:basedOn w:val="86"/>
    <w:next w:val="58"/>
    <w:qFormat/>
    <w:uiPriority w:val="0"/>
    <w:pPr>
      <w:numPr>
        <w:numId w:val="0"/>
      </w:numPr>
      <w:tabs>
        <w:tab w:val="left" w:pos="1140"/>
      </w:tabs>
      <w:spacing w:line="460" w:lineRule="exact"/>
    </w:pPr>
  </w:style>
  <w:style w:type="character" w:customStyle="1" w:styleId="97">
    <w:name w:val="文档结构图 Char"/>
    <w:basedOn w:val="27"/>
    <w:link w:val="12"/>
    <w:semiHidden/>
    <w:qFormat/>
    <w:uiPriority w:val="0"/>
    <w:rPr>
      <w:rFonts w:ascii="Times New Roman" w:hAnsi="Times New Roman" w:eastAsia="宋体" w:cs="Times New Roman"/>
      <w:szCs w:val="24"/>
      <w:shd w:val="clear" w:color="auto" w:fill="000080"/>
    </w:rPr>
  </w:style>
  <w:style w:type="paragraph" w:customStyle="1" w:styleId="98">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3.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oleObject" Target="embeddings/oleObject4.bin"/><Relationship Id="rId17" Type="http://schemas.openxmlformats.org/officeDocument/2006/relationships/oleObject" Target="embeddings/oleObject3.bin"/><Relationship Id="rId16" Type="http://schemas.openxmlformats.org/officeDocument/2006/relationships/oleObject" Target="embeddings/oleObject2.bin"/><Relationship Id="rId15" Type="http://schemas.openxmlformats.org/officeDocument/2006/relationships/image" Target="media/image2.wmf"/><Relationship Id="rId14" Type="http://schemas.openxmlformats.org/officeDocument/2006/relationships/oleObject" Target="embeddings/oleObject1.bin"/><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1917</Words>
  <Characters>10927</Characters>
  <Lines>91</Lines>
  <Paragraphs>25</Paragraphs>
  <TotalTime>3</TotalTime>
  <ScaleCrop>false</ScaleCrop>
  <LinksUpToDate>false</LinksUpToDate>
  <CharactersWithSpaces>12819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2015-07-03T09:21:00Z</dcterms:created>
  <dc:creator>蒙春雨</dc:creator>
  <cp:lastModifiedBy>陆晓燕</cp:lastModifiedBy>
  <dcterms:modified xsi:type="dcterms:W3CDTF">2025-12-12T02:26:28Z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C43EC50408BB42FB989FE8B29C379921</vt:lpwstr>
  </property>
</Properties>
</file>