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87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b w:val="0"/>
          <w:bCs w:val="0"/>
          <w:sz w:val="44"/>
          <w:szCs w:val="44"/>
          <w:lang w:val="en-US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鲁厂2025年3宗房屋工程测绘、不动产测绘服务项目技术规范书</w:t>
      </w:r>
    </w:p>
    <w:tbl>
      <w:tblPr>
        <w:tblStyle w:val="6"/>
        <w:tblW w:w="10740" w:type="dxa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0"/>
      </w:tblGrid>
      <w:tr w14:paraId="151F0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D017A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 w14:paraId="4AF44F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 w14:paraId="21B8B515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一、检测单位资质要求</w:t>
            </w:r>
          </w:p>
          <w:p w14:paraId="13FE2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（1）合同签订后，需在“贵州省测绘地理信息市场服务与监督平”台上完成“鲁厂2025年3宗房屋工程测绘、不动产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测绘服务项目”备案，并提供备案回执单。</w:t>
            </w:r>
          </w:p>
          <w:p w14:paraId="4C6B1D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（2）至少需有在贵州省兴义市辖区内单笔费用不少于2.2万的工程测绘、不动产测绘工作业绩3项。</w:t>
            </w:r>
          </w:p>
          <w:p w14:paraId="65EDE8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（3）具备乙级及以上测绘资质。</w:t>
            </w:r>
          </w:p>
          <w:p w14:paraId="3D0BC90F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二、项目情况</w:t>
            </w:r>
          </w:p>
          <w:p w14:paraId="657CCE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  <w:t>（一）房屋基本情况</w:t>
            </w:r>
          </w:p>
          <w:p w14:paraId="431AE51C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本项目涉及3宗房屋，房屋基本情况详见下表：</w:t>
            </w:r>
          </w:p>
          <w:tbl>
            <w:tblPr>
              <w:tblStyle w:val="7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02"/>
              <w:gridCol w:w="1257"/>
              <w:gridCol w:w="1049"/>
              <w:gridCol w:w="1350"/>
              <w:gridCol w:w="2244"/>
              <w:gridCol w:w="1342"/>
              <w:gridCol w:w="1261"/>
            </w:tblGrid>
            <w:tr w14:paraId="00F1803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802" w:type="dxa"/>
                </w:tcPr>
                <w:p w14:paraId="3DBC295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default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序号</w:t>
                  </w:r>
                </w:p>
              </w:tc>
              <w:tc>
                <w:tcPr>
                  <w:tcW w:w="1257" w:type="dxa"/>
                </w:tcPr>
                <w:p w14:paraId="44A33C5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default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房屋名称</w:t>
                  </w:r>
                </w:p>
              </w:tc>
              <w:tc>
                <w:tcPr>
                  <w:tcW w:w="1049" w:type="dxa"/>
                </w:tcPr>
                <w:p w14:paraId="48D10FB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default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楼层</w:t>
                  </w:r>
                </w:p>
              </w:tc>
              <w:tc>
                <w:tcPr>
                  <w:tcW w:w="1350" w:type="dxa"/>
                </w:tcPr>
                <w:p w14:paraId="40D1893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jc w:val="center"/>
                    <w:textAlignment w:val="auto"/>
                    <w:outlineLvl w:val="9"/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建筑面</w:t>
                  </w:r>
                </w:p>
                <w:p w14:paraId="1A1AA4B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jc w:val="center"/>
                    <w:textAlignment w:val="auto"/>
                    <w:outlineLvl w:val="9"/>
                    <w:rPr>
                      <w:rFonts w:hint="default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积(㎡）</w:t>
                  </w:r>
                </w:p>
              </w:tc>
              <w:tc>
                <w:tcPr>
                  <w:tcW w:w="2244" w:type="dxa"/>
                </w:tcPr>
                <w:p w14:paraId="5535A3E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jc w:val="center"/>
                    <w:textAlignment w:val="auto"/>
                    <w:outlineLvl w:val="9"/>
                    <w:rPr>
                      <w:rFonts w:hint="default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建设年代</w:t>
                  </w:r>
                </w:p>
              </w:tc>
              <w:tc>
                <w:tcPr>
                  <w:tcW w:w="1342" w:type="dxa"/>
                </w:tcPr>
                <w:p w14:paraId="25A5C94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jc w:val="center"/>
                    <w:textAlignment w:val="auto"/>
                    <w:outlineLvl w:val="9"/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所在宗地</w:t>
                  </w:r>
                </w:p>
              </w:tc>
              <w:tc>
                <w:tcPr>
                  <w:tcW w:w="1261" w:type="dxa"/>
                </w:tcPr>
                <w:p w14:paraId="78BBAE8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jc w:val="center"/>
                    <w:textAlignment w:val="auto"/>
                    <w:outlineLvl w:val="9"/>
                    <w:rPr>
                      <w:rFonts w:hint="default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color w:val="0000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宗地面积</w:t>
                  </w:r>
                </w:p>
              </w:tc>
            </w:tr>
            <w:tr w14:paraId="0908DF4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802" w:type="dxa"/>
                  <w:vAlign w:val="center"/>
                </w:tcPr>
                <w:p w14:paraId="56E7F9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257" w:type="dxa"/>
                  <w:vAlign w:val="center"/>
                </w:tcPr>
                <w:p w14:paraId="4510667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2"/>
                      <w:sz w:val="16"/>
                      <w:szCs w:val="16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大坝值班休息室</w:t>
                  </w:r>
                </w:p>
              </w:tc>
              <w:tc>
                <w:tcPr>
                  <w:tcW w:w="1049" w:type="dxa"/>
                  <w:vAlign w:val="center"/>
                </w:tcPr>
                <w:p w14:paraId="7C00E4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3层</w:t>
                  </w:r>
                </w:p>
              </w:tc>
              <w:tc>
                <w:tcPr>
                  <w:tcW w:w="1350" w:type="dxa"/>
                  <w:vAlign w:val="center"/>
                </w:tcPr>
                <w:p w14:paraId="4666D6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635</w:t>
                  </w:r>
                </w:p>
              </w:tc>
              <w:tc>
                <w:tcPr>
                  <w:tcW w:w="2244" w:type="dxa"/>
                </w:tcPr>
                <w:p w14:paraId="524E608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default" w:ascii="黑体" w:hAnsi="黑体" w:eastAsia="黑体" w:cs="黑体"/>
                      <w:b w:val="0"/>
                      <w:bCs w:val="0"/>
                      <w:sz w:val="32"/>
                      <w:szCs w:val="3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1992年</w:t>
                  </w:r>
                </w:p>
              </w:tc>
              <w:tc>
                <w:tcPr>
                  <w:tcW w:w="1342" w:type="dxa"/>
                  <w:vMerge w:val="restart"/>
                  <w:vAlign w:val="center"/>
                </w:tcPr>
                <w:p w14:paraId="06D7455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jc w:val="center"/>
                    <w:textAlignment w:val="auto"/>
                    <w:outlineLvl w:val="9"/>
                    <w:rPr>
                      <w:rFonts w:hint="default" w:ascii="黑体" w:hAnsi="黑体" w:eastAsia="黑体" w:cs="黑体"/>
                      <w:b w:val="0"/>
                      <w:bCs w:val="0"/>
                      <w:sz w:val="32"/>
                      <w:szCs w:val="3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鲁布革电厂11号宗地</w:t>
                  </w:r>
                </w:p>
              </w:tc>
              <w:tc>
                <w:tcPr>
                  <w:tcW w:w="1261" w:type="dxa"/>
                  <w:vMerge w:val="restart"/>
                  <w:vAlign w:val="center"/>
                </w:tcPr>
                <w:p w14:paraId="1DADFD8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default" w:ascii="黑体" w:hAnsi="黑体" w:eastAsia="黑体" w:cs="黑体"/>
                      <w:b w:val="0"/>
                      <w:bCs w:val="0"/>
                      <w:sz w:val="32"/>
                      <w:szCs w:val="3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167606.75㎡</w:t>
                  </w:r>
                </w:p>
              </w:tc>
            </w:tr>
            <w:tr w14:paraId="0E454E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802" w:type="dxa"/>
                  <w:vAlign w:val="center"/>
                </w:tcPr>
                <w:p w14:paraId="5B3A894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1257" w:type="dxa"/>
                  <w:vAlign w:val="center"/>
                </w:tcPr>
                <w:p w14:paraId="2D83C48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16"/>
                      <w:szCs w:val="16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大坝值班室</w:t>
                  </w:r>
                </w:p>
              </w:tc>
              <w:tc>
                <w:tcPr>
                  <w:tcW w:w="1049" w:type="dxa"/>
                  <w:vAlign w:val="center"/>
                </w:tcPr>
                <w:p w14:paraId="603CE8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3层</w:t>
                  </w:r>
                </w:p>
              </w:tc>
              <w:tc>
                <w:tcPr>
                  <w:tcW w:w="1350" w:type="dxa"/>
                  <w:vAlign w:val="center"/>
                </w:tcPr>
                <w:p w14:paraId="0C2E0C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325</w:t>
                  </w:r>
                </w:p>
              </w:tc>
              <w:tc>
                <w:tcPr>
                  <w:tcW w:w="2244" w:type="dxa"/>
                </w:tcPr>
                <w:p w14:paraId="5922FCB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eastAsia" w:ascii="黑体" w:hAnsi="黑体" w:eastAsia="黑体" w:cs="黑体"/>
                      <w:b w:val="0"/>
                      <w:bCs w:val="0"/>
                      <w:sz w:val="32"/>
                      <w:szCs w:val="3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1992年</w:t>
                  </w:r>
                </w:p>
              </w:tc>
              <w:tc>
                <w:tcPr>
                  <w:tcW w:w="1342" w:type="dxa"/>
                  <w:vMerge w:val="continue"/>
                </w:tcPr>
                <w:p w14:paraId="5A3FF52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eastAsia" w:ascii="黑体" w:hAnsi="黑体" w:eastAsia="黑体" w:cs="黑体"/>
                      <w:b w:val="0"/>
                      <w:bCs w:val="0"/>
                      <w:sz w:val="32"/>
                      <w:szCs w:val="32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261" w:type="dxa"/>
                  <w:vMerge w:val="continue"/>
                </w:tcPr>
                <w:p w14:paraId="12703F4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both"/>
                    <w:textAlignment w:val="auto"/>
                    <w:outlineLvl w:val="9"/>
                    <w:rPr>
                      <w:rFonts w:hint="eastAsia" w:ascii="黑体" w:hAnsi="黑体" w:eastAsia="黑体" w:cs="黑体"/>
                      <w:b w:val="0"/>
                      <w:bCs w:val="0"/>
                      <w:sz w:val="32"/>
                      <w:szCs w:val="32"/>
                      <w:vertAlign w:val="baseline"/>
                      <w:lang w:val="en-US" w:eastAsia="zh-CN"/>
                    </w:rPr>
                  </w:pPr>
                </w:p>
              </w:tc>
            </w:tr>
            <w:tr w14:paraId="2481130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802" w:type="dxa"/>
                  <w:vAlign w:val="center"/>
                </w:tcPr>
                <w:p w14:paraId="4D37FEE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1257" w:type="dxa"/>
                  <w:vAlign w:val="center"/>
                </w:tcPr>
                <w:p w14:paraId="5A9A87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乃格透平油库</w:t>
                  </w:r>
                </w:p>
              </w:tc>
              <w:tc>
                <w:tcPr>
                  <w:tcW w:w="1049" w:type="dxa"/>
                  <w:vAlign w:val="center"/>
                </w:tcPr>
                <w:p w14:paraId="6D1D8E2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1层</w:t>
                  </w:r>
                </w:p>
              </w:tc>
              <w:tc>
                <w:tcPr>
                  <w:tcW w:w="1350" w:type="dxa"/>
                  <w:vAlign w:val="center"/>
                </w:tcPr>
                <w:p w14:paraId="73CDD1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303</w:t>
                  </w:r>
                </w:p>
              </w:tc>
              <w:tc>
                <w:tcPr>
                  <w:tcW w:w="2244" w:type="dxa"/>
                </w:tcPr>
                <w:p w14:paraId="00F2546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560" w:lineRule="exact"/>
                    <w:jc w:val="center"/>
                    <w:textAlignment w:val="auto"/>
                    <w:outlineLvl w:val="9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2009年</w:t>
                  </w:r>
                </w:p>
              </w:tc>
              <w:tc>
                <w:tcPr>
                  <w:tcW w:w="1342" w:type="dxa"/>
                  <w:vAlign w:val="top"/>
                </w:tcPr>
                <w:p w14:paraId="299C653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ind w:left="0" w:leftChars="0" w:firstLine="0" w:firstLineChars="0"/>
                    <w:jc w:val="center"/>
                    <w:textAlignment w:val="auto"/>
                    <w:outlineLvl w:val="9"/>
                    <w:rPr>
                      <w:rFonts w:hint="eastAsia" w:ascii="黑体" w:hAnsi="黑体" w:eastAsia="黑体" w:cs="黑体"/>
                      <w:b w:val="0"/>
                      <w:bCs w:val="0"/>
                      <w:kern w:val="2"/>
                      <w:sz w:val="32"/>
                      <w:szCs w:val="32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鲁布革电厂4号宗地</w:t>
                  </w:r>
                </w:p>
              </w:tc>
              <w:tc>
                <w:tcPr>
                  <w:tcW w:w="1261" w:type="dxa"/>
                  <w:vAlign w:val="top"/>
                </w:tcPr>
                <w:p w14:paraId="2A4671C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-1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exact"/>
                    <w:ind w:left="0" w:leftChars="0" w:firstLine="0" w:firstLineChars="0"/>
                    <w:jc w:val="both"/>
                    <w:textAlignment w:val="auto"/>
                    <w:outlineLvl w:val="9"/>
                    <w:rPr>
                      <w:rFonts w:hint="default" w:ascii="黑体" w:hAnsi="黑体" w:eastAsia="黑体" w:cs="黑体"/>
                      <w:b w:val="0"/>
                      <w:bCs w:val="0"/>
                      <w:kern w:val="2"/>
                      <w:sz w:val="32"/>
                      <w:szCs w:val="32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16"/>
                      <w:szCs w:val="16"/>
                      <w:u w:val="none"/>
                      <w:lang w:val="en-US" w:eastAsia="zh-CN" w:bidi="ar"/>
                    </w:rPr>
                    <w:t>304512.82㎡</w:t>
                  </w:r>
                </w:p>
              </w:tc>
            </w:tr>
          </w:tbl>
          <w:p w14:paraId="4DE51F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  <w:t>（二）项目服务内容</w:t>
            </w:r>
          </w:p>
          <w:p w14:paraId="3663E05D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1.房屋</w:t>
            </w:r>
            <w:r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工程测绘</w:t>
            </w:r>
          </w:p>
          <w:p w14:paraId="105108AD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需对上表3宗房屋开展房屋工程测绘，用于补办规划许可手续。在合同签订后3日即到现场开展工程测绘，并在完成现场工作后3个工作日出具工程测绘报告，其中以“宗地”为单位出具2份工程测绘报告（2宗土地已办理不动产权证），一是鲁布革电厂11号宗地工程测绘报告需要包含11号宗地、大坝值班休息室、大坝值班室的边界坐标；鲁布革电厂4号宗地工程测绘报告需要包含4号宗地、乃格透平油库的边界坐标。</w:t>
            </w:r>
          </w:p>
          <w:p w14:paraId="35FEC924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需配合甲方持续调整修改房屋工程测绘报告，直至满足兴义市自然资源局规划执行股要求。</w:t>
            </w:r>
          </w:p>
          <w:p w14:paraId="4C8D7898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2.房屋</w:t>
            </w:r>
            <w:r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不动产测绘</w:t>
            </w:r>
          </w:p>
          <w:p w14:paraId="21CF9A61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2023年，鲁布革电厂已委托千景空间规划科技有限公司完成3宗房屋面积测绘，并出具面积测绘报告，因到兴义市政务服务中心咨询不满足办理不动产登记要求，特开展此次房屋不动产测绘工作。需对上表3宗房屋开展房屋不动产测绘，用于提供给兴义市政务服务中心办理3宗房屋不动产权登记。与开展房屋工程测绘同步开展，并在完成现场工作后3个工作日出具房屋不动产测绘报告，其中以“房屋”为单位出具3份房屋不动产测绘报告，分别是大坝值班休息室、大坝值班室、乃格透平油库的不动产测绘报告。</w:t>
            </w:r>
          </w:p>
          <w:p w14:paraId="66BEF9CD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需配合甲方持续调整修改房屋不动产测绘报告，直至满足兴义市自然资源局不动产登记要求。</w:t>
            </w:r>
          </w:p>
          <w:p w14:paraId="755C7A20"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三、提交成果有关要求</w:t>
            </w:r>
          </w:p>
          <w:p w14:paraId="68BEBBC3">
            <w:pPr>
              <w:ind w:firstLine="64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1.按国家有关技术规范、规程的要求和本技术规范书约定的检测项目进行检测，保证检测范围和数量达到国家相关要求。</w:t>
            </w:r>
          </w:p>
          <w:p w14:paraId="756A4511">
            <w:pPr>
              <w:ind w:firstLine="64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2、现场检测工作完成后，3个工作日内提交检测报告，报告一式4份。</w:t>
            </w:r>
          </w:p>
          <w:p w14:paraId="4F37EEA4">
            <w:pPr>
              <w:pStyle w:val="2"/>
              <w:ind w:firstLine="640" w:firstLineChars="200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3、对所出具检测报告或检测结果数据真实性负责，保证报告的有效性、客观性及真实性。</w:t>
            </w:r>
          </w:p>
          <w:p w14:paraId="7DAC63C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3CAC5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30F9CBC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3F91A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7F0"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 w14:paraId="4A2FC3B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4ZGY3MmJlZTU4ODdhNDAwNDFkNjdjNzM3Y2UzMWQifQ=="/>
  </w:docVars>
  <w:rsids>
    <w:rsidRoot w:val="00000000"/>
    <w:rsid w:val="170148CE"/>
    <w:rsid w:val="23EF0297"/>
    <w:rsid w:val="28312E15"/>
    <w:rsid w:val="295243BF"/>
    <w:rsid w:val="2F6B5A71"/>
    <w:rsid w:val="2F7B1E23"/>
    <w:rsid w:val="3639187B"/>
    <w:rsid w:val="3F743477"/>
    <w:rsid w:val="44667764"/>
    <w:rsid w:val="4E8D3292"/>
    <w:rsid w:val="508F120F"/>
    <w:rsid w:val="56CF2E49"/>
    <w:rsid w:val="588F43B7"/>
    <w:rsid w:val="5A9B0827"/>
    <w:rsid w:val="64E74212"/>
    <w:rsid w:val="6DF126F2"/>
    <w:rsid w:val="7F82491F"/>
    <w:rsid w:val="7FD5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1852</Words>
  <Characters>2052</Characters>
  <Lines>0</Lines>
  <Paragraphs>0</Paragraphs>
  <TotalTime>146</TotalTime>
  <ScaleCrop>false</ScaleCrop>
  <LinksUpToDate>false</LinksUpToDate>
  <CharactersWithSpaces>2114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2023-07-17T01:23:00Z</dcterms:created>
  <dc:creator>Win10</dc:creator>
  <cp:lastModifiedBy>师远明</cp:lastModifiedBy>
  <cp:lastPrinted>2025-12-10T02:35:00Z</cp:lastPrinted>
  <dcterms:modified xsi:type="dcterms:W3CDTF">2025-12-10T11:20:59Z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73F7843085334A9EB1D153FB68C65F27_13</vt:lpwstr>
  </property>
</Properties>
</file>