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57A56708">
      <w:pPr>
        <w:spacing w:beforeLines="200" w:line="360" w:lineRule="auto"/>
        <w:rPr>
          <w:rFonts w:asciiTheme="minorEastAsia" w:hAnsiTheme="minorEastAsia" w:eastAsiaTheme="minorEastAsia"/>
        </w:rPr>
      </w:pPr>
      <w:r>
        <w:rPr>
          <w:rFonts w:asciiTheme="minorEastAsia" w:hAnsiTheme="minorEastAsia" w:eastAsiaTheme="minorEastAsia"/>
          <w:b/>
          <w:sz w:val="52"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-1139190</wp:posOffset>
            </wp:positionH>
            <wp:positionV relativeFrom="paragraph">
              <wp:posOffset>-955040</wp:posOffset>
            </wp:positionV>
            <wp:extent cx="8915400" cy="2736850"/>
            <wp:effectExtent l="0" t="0" r="0" b="6350"/>
            <wp:wrapTight wrapText="bothSides">
              <wp:wrapPolygon>
                <wp:start x="-23" y="0"/>
                <wp:lineTo x="-23" y="21525"/>
                <wp:lineTo x="21600" y="21525"/>
                <wp:lineTo x="21600" y="0"/>
                <wp:lineTo x="-23" y="0"/>
              </wp:wrapPolygon>
            </wp:wrapTight>
            <wp:docPr id="2" name="Picture 68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8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915400" cy="2736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27C40A55">
      <w:pPr>
        <w:tabs>
          <w:tab w:val="left" w:pos="480"/>
        </w:tabs>
        <w:adjustRightInd w:val="0"/>
        <w:snapToGrid w:val="0"/>
        <w:spacing w:line="360" w:lineRule="auto"/>
        <w:jc w:val="center"/>
        <w:rPr>
          <w:rFonts w:hint="eastAsia" w:asciiTheme="minorEastAsia" w:hAnsiTheme="minorEastAsia" w:eastAsiaTheme="minorEastAsia"/>
          <w:b/>
          <w:bCs/>
          <w:sz w:val="44"/>
          <w:szCs w:val="44"/>
        </w:rPr>
      </w:pPr>
      <w:r>
        <w:rPr>
          <w:rFonts w:hint="eastAsia" w:asciiTheme="minorEastAsia" w:hAnsiTheme="minorEastAsia" w:eastAsiaTheme="minorEastAsia"/>
          <w:b/>
          <w:bCs/>
          <w:sz w:val="44"/>
          <w:szCs w:val="44"/>
          <w:lang w:val="en-US" w:eastAsia="zh-CN"/>
        </w:rPr>
        <w:t>河源</w:t>
      </w:r>
      <w:r>
        <w:rPr>
          <w:rFonts w:hint="eastAsia" w:asciiTheme="minorEastAsia" w:hAnsiTheme="minorEastAsia" w:eastAsiaTheme="minorEastAsia"/>
          <w:b/>
          <w:bCs/>
          <w:sz w:val="44"/>
          <w:szCs w:val="44"/>
        </w:rPr>
        <w:t>供电局</w:t>
      </w:r>
    </w:p>
    <w:p w14:paraId="1930ED12">
      <w:pPr>
        <w:tabs>
          <w:tab w:val="left" w:pos="480"/>
        </w:tabs>
        <w:adjustRightInd w:val="0"/>
        <w:snapToGrid w:val="0"/>
        <w:spacing w:line="360" w:lineRule="auto"/>
        <w:jc w:val="center"/>
        <w:rPr>
          <w:rFonts w:hint="default" w:asciiTheme="minorEastAsia" w:hAnsiTheme="minorEastAsia" w:eastAsiaTheme="minorEastAsia"/>
          <w:b/>
          <w:bCs/>
          <w:sz w:val="44"/>
          <w:szCs w:val="44"/>
          <w:lang w:val="en-US"/>
        </w:rPr>
      </w:pPr>
      <w:r>
        <w:rPr>
          <w:rFonts w:hint="eastAsia" w:asciiTheme="minorEastAsia" w:hAnsiTheme="minorEastAsia" w:eastAsiaTheme="minorEastAsia"/>
          <w:b/>
          <w:bCs/>
          <w:sz w:val="44"/>
          <w:szCs w:val="44"/>
        </w:rPr>
        <w:t>202</w:t>
      </w:r>
      <w:r>
        <w:rPr>
          <w:rFonts w:hint="eastAsia" w:asciiTheme="minorEastAsia" w:hAnsiTheme="minorEastAsia" w:eastAsiaTheme="minorEastAsia"/>
          <w:b/>
          <w:bCs/>
          <w:sz w:val="44"/>
          <w:szCs w:val="44"/>
          <w:lang w:val="en-US" w:eastAsia="zh-CN"/>
        </w:rPr>
        <w:t>5一种安装方便、耐用、无附加损伤、可调节适应多尺寸线缆的专用紧线器所需材料采购</w:t>
      </w:r>
    </w:p>
    <w:p w14:paraId="378C501F">
      <w:pPr>
        <w:pStyle w:val="2"/>
        <w:spacing w:line="360" w:lineRule="auto"/>
        <w:ind w:right="210"/>
        <w:jc w:val="center"/>
        <w:rPr>
          <w:rFonts w:asciiTheme="minorEastAsia" w:hAnsiTheme="minorEastAsia" w:eastAsiaTheme="minorEastAsia"/>
          <w:sz w:val="44"/>
          <w:szCs w:val="44"/>
        </w:rPr>
      </w:pPr>
      <w:bookmarkStart w:id="0" w:name="_Toc490836508"/>
      <w:bookmarkStart w:id="1" w:name="_Toc529463209"/>
      <w:bookmarkStart w:id="2" w:name="_Toc490836987"/>
      <w:bookmarkStart w:id="3" w:name="_Toc490828342"/>
      <w:bookmarkStart w:id="4" w:name="_Toc490836196"/>
      <w:bookmarkStart w:id="5" w:name="_Toc490992882"/>
      <w:bookmarkStart w:id="6" w:name="_Toc490833902"/>
      <w:bookmarkStart w:id="7" w:name="_Toc490993881"/>
      <w:bookmarkStart w:id="8" w:name="_Toc490993917"/>
      <w:bookmarkStart w:id="9" w:name="_Toc490994883"/>
      <w:bookmarkStart w:id="10" w:name="_Toc490827275"/>
      <w:bookmarkStart w:id="11" w:name="_Toc490836685"/>
      <w:bookmarkStart w:id="12" w:name="_Toc490828824"/>
      <w:r>
        <w:rPr>
          <w:rFonts w:asciiTheme="minorEastAsia" w:hAnsiTheme="minorEastAsia" w:eastAsiaTheme="minorEastAsia"/>
          <w:sz w:val="44"/>
          <w:szCs w:val="44"/>
        </w:rPr>
        <w:t>技术</w:t>
      </w:r>
      <w:r>
        <w:rPr>
          <w:rFonts w:hint="eastAsia" w:asciiTheme="minorEastAsia" w:hAnsiTheme="minorEastAsia" w:eastAsiaTheme="minorEastAsia"/>
          <w:sz w:val="44"/>
          <w:szCs w:val="44"/>
        </w:rPr>
        <w:t>规范书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14:paraId="56239A73">
      <w:pPr>
        <w:spacing w:beforeLines="200"/>
        <w:rPr>
          <w:rFonts w:asciiTheme="minorEastAsia" w:hAnsiTheme="minorEastAsia" w:eastAsiaTheme="minorEastAsia"/>
          <w:b/>
          <w:sz w:val="52"/>
          <w:szCs w:val="22"/>
        </w:rPr>
      </w:pPr>
    </w:p>
    <w:p w14:paraId="4938C191">
      <w:pPr>
        <w:spacing w:beforeLines="200"/>
        <w:rPr>
          <w:rFonts w:asciiTheme="minorEastAsia" w:hAnsiTheme="minorEastAsia" w:eastAsiaTheme="minorEastAsia"/>
          <w:b/>
          <w:sz w:val="52"/>
          <w:szCs w:val="22"/>
        </w:rPr>
      </w:pPr>
    </w:p>
    <w:p w14:paraId="0B7298F7">
      <w:pPr>
        <w:jc w:val="center"/>
        <w:rPr>
          <w:rFonts w:hint="eastAsia"/>
          <w:b/>
          <w:sz w:val="30"/>
          <w:szCs w:val="30"/>
          <w:lang w:eastAsia="zh-CN"/>
        </w:rPr>
      </w:pPr>
      <w:r>
        <w:rPr>
          <w:rFonts w:hint="eastAsia"/>
          <w:b/>
          <w:sz w:val="30"/>
          <w:szCs w:val="30"/>
          <w:lang w:val="en-US" w:eastAsia="zh-CN"/>
        </w:rPr>
        <w:t>河源</w:t>
      </w:r>
      <w:r>
        <w:rPr>
          <w:rFonts w:hint="eastAsia"/>
          <w:b/>
          <w:sz w:val="30"/>
          <w:szCs w:val="30"/>
          <w:lang w:eastAsia="zh-CN"/>
        </w:rPr>
        <w:t>供电局</w:t>
      </w:r>
    </w:p>
    <w:p w14:paraId="406FCBC7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二〇</w:t>
      </w:r>
      <w:r>
        <w:rPr>
          <w:rFonts w:hint="eastAsia"/>
          <w:b/>
          <w:sz w:val="30"/>
          <w:szCs w:val="30"/>
          <w:lang w:eastAsia="zh-CN"/>
        </w:rPr>
        <w:t>二</w:t>
      </w:r>
      <w:r>
        <w:rPr>
          <w:rFonts w:hint="eastAsia"/>
          <w:b/>
          <w:sz w:val="30"/>
          <w:szCs w:val="30"/>
          <w:lang w:val="en-US" w:eastAsia="zh-CN"/>
        </w:rPr>
        <w:t>五</w:t>
      </w:r>
      <w:r>
        <w:rPr>
          <w:b/>
          <w:sz w:val="30"/>
          <w:szCs w:val="30"/>
        </w:rPr>
        <w:t>年</w:t>
      </w:r>
      <w:r>
        <w:rPr>
          <w:rFonts w:hint="eastAsia"/>
          <w:b/>
          <w:sz w:val="30"/>
          <w:szCs w:val="30"/>
          <w:lang w:val="en-US" w:eastAsia="zh-CN"/>
        </w:rPr>
        <w:t>十二</w:t>
      </w:r>
      <w:r>
        <w:rPr>
          <w:b/>
          <w:sz w:val="30"/>
          <w:szCs w:val="30"/>
        </w:rPr>
        <w:t>月</w:t>
      </w:r>
    </w:p>
    <w:p w14:paraId="44301817">
      <w:pPr>
        <w:jc w:val="center"/>
        <w:rPr>
          <w:rFonts w:hint="default" w:eastAsia="宋体"/>
          <w:b/>
          <w:sz w:val="30"/>
          <w:szCs w:val="30"/>
          <w:lang w:val="en-US" w:eastAsia="zh-CN"/>
        </w:rPr>
      </w:pPr>
      <w:r>
        <w:rPr>
          <w:rFonts w:hint="eastAsia"/>
          <w:b/>
          <w:sz w:val="30"/>
          <w:szCs w:val="30"/>
          <w:lang w:val="en-US" w:eastAsia="zh-CN"/>
        </w:rPr>
        <w:t>项目负责人：</w:t>
      </w:r>
      <w:r>
        <w:rPr>
          <w:rFonts w:hint="eastAsia"/>
          <w:b/>
          <w:sz w:val="30"/>
          <w:szCs w:val="30"/>
          <w:u w:val="single"/>
          <w:lang w:val="en-US" w:eastAsia="zh-CN"/>
        </w:rPr>
        <w:t xml:space="preserve">       </w:t>
      </w:r>
      <w:r>
        <w:rPr>
          <w:rFonts w:hint="eastAsia"/>
          <w:b/>
          <w:sz w:val="30"/>
          <w:szCs w:val="30"/>
          <w:lang w:val="en-US" w:eastAsia="zh-CN"/>
        </w:rPr>
        <w:t>（签名）</w:t>
      </w:r>
    </w:p>
    <w:p w14:paraId="6A57BA0B">
      <w:pPr>
        <w:rPr>
          <w:rFonts w:hint="eastAsia"/>
        </w:rPr>
      </w:pPr>
      <w:bookmarkStart w:id="13" w:name="_Toc490993882"/>
    </w:p>
    <w:p w14:paraId="09691703">
      <w:pPr>
        <w:pStyle w:val="20"/>
        <w:rPr>
          <w:rFonts w:hint="eastAsia"/>
        </w:rPr>
      </w:pPr>
    </w:p>
    <w:p w14:paraId="76A42C6F">
      <w:pPr>
        <w:pStyle w:val="2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sz w:val="32"/>
          <w:szCs w:val="32"/>
        </w:rPr>
      </w:pPr>
      <w:bookmarkStart w:id="14" w:name="_Toc529463210"/>
      <w:r>
        <w:rPr>
          <w:rFonts w:hint="eastAsia"/>
          <w:sz w:val="32"/>
          <w:szCs w:val="32"/>
        </w:rPr>
        <w:t>1.总则</w:t>
      </w:r>
      <w:bookmarkEnd w:id="13"/>
      <w:bookmarkEnd w:id="14"/>
    </w:p>
    <w:p w14:paraId="46F1F82A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本技术规范书适用于一种安装方便、耐用、无附加损伤、可调节适应多尺寸线缆的专用紧线器的研发项目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所需材料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。</w:t>
      </w:r>
    </w:p>
    <w:p w14:paraId="4BDC19D6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1.1本技术规范书规定了一种安装方便、耐用、无附加损伤、可调节适应多尺寸线缆的专用紧线器的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所需材料的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界限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技术要求、安全要求等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具体内容。</w:t>
      </w:r>
    </w:p>
    <w:p w14:paraId="5755768D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本技术规范书提出的技术要求。除技术规范书中规定的技术参数和要求外，其余均遵循最新版本的国家标准（GB）、电力行业标准（DL）、IEC标准和国际单位（SI）。</w:t>
      </w:r>
    </w:p>
    <w:p w14:paraId="70132504">
      <w:pPr>
        <w:pStyle w:val="2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sz w:val="32"/>
          <w:szCs w:val="32"/>
        </w:rPr>
      </w:pPr>
      <w:bookmarkStart w:id="15" w:name="_Toc490993883"/>
      <w:bookmarkStart w:id="16" w:name="_Toc529463211"/>
      <w:r>
        <w:rPr>
          <w:rFonts w:hint="eastAsia"/>
          <w:sz w:val="32"/>
          <w:szCs w:val="32"/>
        </w:rPr>
        <w:t>2.</w:t>
      </w:r>
      <w:bookmarkEnd w:id="15"/>
      <w:bookmarkStart w:id="17" w:name="_Toc476060462"/>
      <w:bookmarkStart w:id="18" w:name="_Toc445396910"/>
      <w:bookmarkStart w:id="19" w:name="_Toc351722589"/>
      <w:r>
        <w:rPr>
          <w:rFonts w:hint="eastAsia"/>
          <w:sz w:val="32"/>
          <w:szCs w:val="32"/>
        </w:rPr>
        <w:t>项目目标</w:t>
      </w:r>
      <w:bookmarkEnd w:id="16"/>
      <w:bookmarkEnd w:id="17"/>
      <w:bookmarkEnd w:id="18"/>
      <w:bookmarkEnd w:id="19"/>
    </w:p>
    <w:p w14:paraId="115D800A">
      <w:pPr>
        <w:spacing w:line="360" w:lineRule="auto"/>
        <w:ind w:firstLine="480" w:firstLineChars="200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bookmarkStart w:id="20" w:name="_Toc291690055"/>
      <w:bookmarkStart w:id="21" w:name="_Toc351722590"/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本项目是研制一种</w:t>
      </w: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可以抱紧</w:t>
      </w:r>
      <w:r>
        <w:rPr>
          <w:rFonts w:hint="eastAsia" w:ascii="宋体" w:hAnsi="宋体" w:eastAsia="宋体" w:cs="Times New Roman"/>
          <w:sz w:val="24"/>
          <w:szCs w:val="24"/>
          <w:lang w:eastAsia="zh-CN"/>
        </w:rPr>
        <w:t>线缆、绝缘子</w:t>
      </w: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瓷瓶</w:t>
      </w:r>
      <w:r>
        <w:rPr>
          <w:rFonts w:hint="eastAsia" w:ascii="宋体" w:hAnsi="宋体" w:eastAsia="宋体" w:cs="Times New Roman"/>
          <w:sz w:val="24"/>
          <w:szCs w:val="24"/>
          <w:lang w:eastAsia="zh-CN"/>
        </w:rPr>
        <w:t>，实现线路</w:t>
      </w: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快速</w:t>
      </w:r>
      <w:r>
        <w:rPr>
          <w:rFonts w:hint="eastAsia" w:ascii="宋体" w:hAnsi="宋体" w:eastAsia="宋体" w:cs="Times New Roman"/>
          <w:sz w:val="24"/>
          <w:szCs w:val="24"/>
          <w:lang w:eastAsia="zh-CN"/>
        </w:rPr>
        <w:t>拉紧和固定</w:t>
      </w: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的紧线器，</w:t>
      </w:r>
      <w:bookmarkStart w:id="27" w:name="_GoBack"/>
      <w:r>
        <w:rPr>
          <w:rFonts w:hint="eastAsia" w:ascii="宋体" w:hAnsi="宋体"/>
          <w:sz w:val="24"/>
          <w:lang w:eastAsia="zh-CN"/>
        </w:rPr>
        <w:t>安装方便、耐用、无附加损伤、可调节适应多尺寸线缆的专用紧线器，</w:t>
      </w:r>
      <w:r>
        <w:rPr>
          <w:rFonts w:hint="eastAsia" w:ascii="宋体" w:hAnsi="宋体" w:eastAsia="宋体" w:cs="Times New Roman"/>
          <w:sz w:val="24"/>
          <w:szCs w:val="24"/>
        </w:rPr>
        <w:t>能够满足电力系统中线路施工和维护的多种需求</w:t>
      </w:r>
      <w:r>
        <w:rPr>
          <w:rFonts w:hint="eastAsia" w:ascii="宋体" w:hAnsi="宋体" w:eastAsia="宋体" w:cs="Times New Roman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提升作业人员的工作效率和线路运行安全</w:t>
      </w:r>
      <w:r>
        <w:rPr>
          <w:rFonts w:hint="eastAsia" w:ascii="宋体" w:hAnsi="宋体" w:eastAsia="宋体" w:cs="Times New Roman"/>
          <w:sz w:val="24"/>
          <w:szCs w:val="24"/>
        </w:rPr>
        <w:t>。</w:t>
      </w:r>
    </w:p>
    <w:bookmarkEnd w:id="27"/>
    <w:p w14:paraId="09B21A64">
      <w:pPr>
        <w:pStyle w:val="2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/>
          <w:lang w:eastAsia="zh-CN"/>
        </w:rPr>
      </w:pPr>
      <w:bookmarkStart w:id="22" w:name="_Toc445396911"/>
      <w:bookmarkStart w:id="23" w:name="_Toc476060463"/>
      <w:bookmarkStart w:id="24" w:name="_Toc529463212"/>
      <w:r>
        <w:rPr>
          <w:rFonts w:hint="eastAsia"/>
          <w:sz w:val="32"/>
          <w:szCs w:val="32"/>
          <w:lang w:val="en-US" w:eastAsia="zh-CN"/>
        </w:rPr>
        <w:t>3.</w:t>
      </w:r>
      <w:r>
        <w:rPr>
          <w:rFonts w:hint="eastAsia"/>
          <w:sz w:val="32"/>
          <w:szCs w:val="32"/>
        </w:rPr>
        <w:t>服务</w:t>
      </w:r>
      <w:bookmarkEnd w:id="20"/>
      <w:bookmarkEnd w:id="21"/>
      <w:bookmarkEnd w:id="22"/>
      <w:bookmarkEnd w:id="23"/>
      <w:bookmarkEnd w:id="24"/>
      <w:r>
        <w:rPr>
          <w:rFonts w:hint="eastAsia"/>
          <w:sz w:val="32"/>
          <w:szCs w:val="32"/>
          <w:lang w:eastAsia="zh-CN"/>
        </w:rPr>
        <w:t>要求</w:t>
      </w:r>
    </w:p>
    <w:p w14:paraId="7BA8D29E">
      <w:pPr>
        <w:pStyle w:val="45"/>
        <w:widowControl/>
        <w:numPr>
          <w:ilvl w:val="0"/>
          <w:numId w:val="0"/>
        </w:numPr>
        <w:shd w:val="clear" w:color="auto" w:fill="FFFFFF"/>
        <w:tabs>
          <w:tab w:val="left" w:pos="0"/>
        </w:tabs>
        <w:spacing w:before="105" w:beforeAutospacing="0" w:after="105" w:afterAutospacing="0"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本服务要求中标单位做好研制过程中的材料供应和质量控制，使得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安装方便、耐用、无附加损伤、可调节适应多尺寸线缆的专用紧线器</w:t>
      </w: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符合高效精准作业、安全保障升级、成本优化测试和场景适配性测试</w:t>
      </w:r>
      <w:bookmarkStart w:id="25" w:name="_Toc529463214"/>
      <w:bookmarkStart w:id="26" w:name="_Toc490993885"/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。</w:t>
      </w:r>
    </w:p>
    <w:p w14:paraId="0AB01EBD">
      <w:pPr>
        <w:pStyle w:val="2"/>
        <w:pageBreakBefore w:val="0"/>
        <w:numPr>
          <w:ilvl w:val="0"/>
          <w:numId w:val="2"/>
        </w:numPr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技术要求</w:t>
      </w:r>
      <w:bookmarkEnd w:id="25"/>
      <w:bookmarkEnd w:id="26"/>
    </w:p>
    <w:p w14:paraId="32D03BBA">
      <w:pPr>
        <w:pStyle w:val="45"/>
        <w:numPr>
          <w:ilvl w:val="0"/>
          <w:numId w:val="3"/>
        </w:numPr>
        <w:shd w:val="clear" w:color="auto" w:fill="FFFFFF"/>
        <w:tabs>
          <w:tab w:val="left" w:pos="0"/>
        </w:tabs>
        <w:spacing w:before="105" w:beforeAutospacing="0" w:after="105" w:afterAutospacing="0" w:line="435" w:lineRule="atLeast"/>
        <w:ind w:left="0" w:leftChars="0" w:firstLine="403" w:firstLineChars="0"/>
        <w:rPr>
          <w:rFonts w:hint="eastAsia" w:asciiTheme="minorEastAsia" w:hAnsiTheme="minorEastAsia" w:eastAsiaTheme="minorEastAsia" w:cstheme="minorEastAsia"/>
          <w:sz w:val="24"/>
          <w:szCs w:val="32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 xml:space="preserve"> </w:t>
      </w: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破坏载荷≥3kN；</w:t>
      </w:r>
    </w:p>
    <w:p w14:paraId="15F81426">
      <w:pPr>
        <w:pStyle w:val="45"/>
        <w:numPr>
          <w:ilvl w:val="0"/>
          <w:numId w:val="3"/>
        </w:numPr>
        <w:shd w:val="clear" w:color="auto" w:fill="FFFFFF"/>
        <w:tabs>
          <w:tab w:val="left" w:pos="0"/>
        </w:tabs>
        <w:spacing w:before="105" w:beforeAutospacing="0" w:after="105" w:afterAutospacing="0" w:line="435" w:lineRule="atLeast"/>
        <w:ind w:left="0" w:leftChars="0" w:firstLine="403" w:firstLineChars="0"/>
        <w:rPr>
          <w:rFonts w:hint="eastAsia" w:asciiTheme="minorEastAsia" w:hAnsiTheme="minorEastAsia" w:eastAsiaTheme="minorEastAsia" w:cstheme="minorEastAsia"/>
          <w:sz w:val="24"/>
          <w:szCs w:val="32"/>
        </w:rPr>
      </w:pPr>
      <w:r>
        <w:rPr>
          <w:rFonts w:hint="eastAsia" w:cs="Times New Roman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工作温度范围：-40℃~+80℃</w:t>
      </w:r>
      <w:r>
        <w:rPr>
          <w:rFonts w:hint="eastAsia" w:cs="Times New Roman"/>
          <w:sz w:val="24"/>
          <w:szCs w:val="24"/>
          <w:lang w:val="en-US" w:eastAsia="zh-CN"/>
        </w:rPr>
        <w:t>；</w:t>
      </w:r>
    </w:p>
    <w:p w14:paraId="1C0E605B">
      <w:pPr>
        <w:pStyle w:val="45"/>
        <w:numPr>
          <w:ilvl w:val="0"/>
          <w:numId w:val="3"/>
        </w:numPr>
        <w:shd w:val="clear" w:color="auto" w:fill="FFFFFF"/>
        <w:tabs>
          <w:tab w:val="left" w:pos="0"/>
        </w:tabs>
        <w:spacing w:before="105" w:beforeAutospacing="0" w:after="105" w:afterAutospacing="0" w:line="435" w:lineRule="atLeast"/>
        <w:ind w:left="0" w:leftChars="0" w:firstLine="403" w:firstLineChars="0"/>
        <w:rPr>
          <w:rFonts w:hint="eastAsia" w:asciiTheme="minorEastAsia" w:hAnsiTheme="minorEastAsia" w:eastAsiaTheme="minorEastAsia" w:cstheme="minorEastAsia"/>
          <w:sz w:val="24"/>
          <w:szCs w:val="32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 xml:space="preserve"> </w:t>
      </w: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适用导线截面积：50~300平方毫米。</w:t>
      </w:r>
    </w:p>
    <w:p w14:paraId="297842F6">
      <w:pPr>
        <w:pStyle w:val="2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5</w:t>
      </w:r>
      <w:r>
        <w:rPr>
          <w:rFonts w:hint="eastAsia"/>
          <w:sz w:val="32"/>
          <w:szCs w:val="32"/>
        </w:rPr>
        <w:t>.</w:t>
      </w:r>
      <w:r>
        <w:rPr>
          <w:rFonts w:hint="eastAsia"/>
          <w:sz w:val="32"/>
          <w:szCs w:val="32"/>
          <w:lang w:eastAsia="zh-CN"/>
        </w:rPr>
        <w:t>安全责任</w:t>
      </w:r>
      <w:r>
        <w:rPr>
          <w:rFonts w:hint="eastAsia"/>
          <w:sz w:val="32"/>
          <w:szCs w:val="32"/>
        </w:rPr>
        <w:t>要求</w:t>
      </w:r>
    </w:p>
    <w:p w14:paraId="675EFC24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contextualSpacing/>
        <w:rPr>
          <w:rFonts w:hint="eastAsia" w:asciiTheme="minorEastAsia" w:hAnsiTheme="minorEastAsia" w:eastAsiaTheme="minorEastAsia" w:cstheme="minorEastAsia"/>
          <w:kern w:val="0"/>
          <w:sz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lang w:val="en-US" w:eastAsia="zh-CN"/>
        </w:rPr>
        <w:t>在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专用紧线器</w:t>
      </w:r>
      <w:r>
        <w:rPr>
          <w:rFonts w:hint="eastAsia" w:asciiTheme="minorEastAsia" w:hAnsiTheme="minorEastAsia" w:eastAsiaTheme="minorEastAsia" w:cstheme="minorEastAsia"/>
          <w:kern w:val="0"/>
          <w:sz w:val="24"/>
          <w:lang w:val="en-US" w:eastAsia="zh-CN"/>
        </w:rPr>
        <w:t>所需材料供应过程中，需要供应符合技术要求、质量要求的优质材料，确保最终成品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安装方便、耐用、无附加损伤、可调节适应多尺寸线缆的专用紧线器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的质量和安全使用</w:t>
      </w:r>
      <w:r>
        <w:rPr>
          <w:rFonts w:hint="eastAsia" w:asciiTheme="minorEastAsia" w:hAnsiTheme="minorEastAsia" w:eastAsiaTheme="minorEastAsia" w:cstheme="minorEastAsia"/>
          <w:kern w:val="0"/>
          <w:sz w:val="24"/>
          <w:lang w:val="en-US" w:eastAsia="zh-CN"/>
        </w:rPr>
        <w:t>。</w:t>
      </w:r>
    </w:p>
    <w:sectPr>
      <w:headerReference r:id="rId3" w:type="default"/>
      <w:footerReference r:id="rId4" w:type="default"/>
      <w:pgSz w:w="11906" w:h="16838"/>
      <w:pgMar w:top="1670" w:right="1800" w:bottom="1440" w:left="1800" w:header="1135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F1D9E1">
    <w:pPr>
      <w:pStyle w:val="40"/>
      <w:rPr>
        <w:sz w:val="21"/>
        <w:szCs w:val="21"/>
      </w:rPr>
    </w:pPr>
    <w:r>
      <w:rPr>
        <w:rFonts w:hint="eastAsia"/>
      </w:rPr>
      <w:t xml:space="preserve"> </w:t>
    </w:r>
    <w:r>
      <w:t xml:space="preserve">                     </w:t>
    </w:r>
    <w:r>
      <w:rPr>
        <w:sz w:val="21"/>
        <w:szCs w:val="21"/>
      </w:rPr>
      <w:t xml:space="preserve"> </w:t>
    </w:r>
    <w:r>
      <w:rPr>
        <w:sz w:val="21"/>
        <w:szCs w:val="21"/>
        <w:lang w:val="zh-CN"/>
      </w:rPr>
      <w:t xml:space="preserve">~ </w:t>
    </w:r>
    <w:r>
      <w:rPr>
        <w:rFonts w:asciiTheme="minorHAnsi" w:hAnsiTheme="minorHAnsi" w:eastAsiaTheme="minorEastAsia" w:cstheme="minorBidi"/>
        <w:sz w:val="21"/>
        <w:szCs w:val="21"/>
      </w:rPr>
      <w:fldChar w:fldCharType="begin"/>
    </w:r>
    <w:r>
      <w:rPr>
        <w:sz w:val="21"/>
        <w:szCs w:val="21"/>
      </w:rPr>
      <w:instrText xml:space="preserve">PAGE    \* MERGEFORMAT</w:instrText>
    </w:r>
    <w:r>
      <w:rPr>
        <w:rFonts w:asciiTheme="minorHAnsi" w:hAnsiTheme="minorHAnsi" w:eastAsiaTheme="minorEastAsia" w:cstheme="minorBidi"/>
        <w:sz w:val="21"/>
        <w:szCs w:val="21"/>
      </w:rPr>
      <w:fldChar w:fldCharType="separate"/>
    </w:r>
    <w:r>
      <w:rPr>
        <w:sz w:val="21"/>
        <w:szCs w:val="21"/>
        <w:lang w:val="zh-CN"/>
      </w:rPr>
      <w:t>1</w:t>
    </w:r>
    <w:r>
      <w:rPr>
        <w:sz w:val="21"/>
        <w:szCs w:val="21"/>
      </w:rPr>
      <w:fldChar w:fldCharType="end"/>
    </w:r>
    <w:r>
      <w:rPr>
        <w:sz w:val="21"/>
        <w:szCs w:val="21"/>
        <w:lang w:val="zh-CN"/>
      </w:rPr>
      <w:t xml:space="preserve"> ~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6E5E63">
    <w:pPr>
      <w:pStyle w:val="16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A5CBF1A"/>
    <w:multiLevelType w:val="singleLevel"/>
    <w:tmpl w:val="8A5CBF1A"/>
    <w:lvl w:ilvl="0" w:tentative="0">
      <w:start w:val="4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6C603DE"/>
    <w:multiLevelType w:val="singleLevel"/>
    <w:tmpl w:val="C6C603DE"/>
    <w:lvl w:ilvl="0" w:tentative="0">
      <w:start w:val="1"/>
      <w:numFmt w:val="decimal"/>
      <w:suff w:val="nothing"/>
      <w:lvlText w:val="4.%1"/>
      <w:lvlJc w:val="left"/>
      <w:pPr>
        <w:ind w:left="0" w:firstLine="403"/>
      </w:pPr>
      <w:rPr>
        <w:rFonts w:hint="default"/>
      </w:rPr>
    </w:lvl>
  </w:abstractNum>
  <w:abstractNum w:abstractNumId="2">
    <w:nsid w:val="00000013"/>
    <w:multiLevelType w:val="multilevel"/>
    <w:tmpl w:val="00000013"/>
    <w:lvl w:ilvl="0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8"/>
      </w:rPr>
    </w:lvl>
    <w:lvl w:ilvl="1" w:tentative="0">
      <w:start w:val="1"/>
      <w:numFmt w:val="decimal"/>
      <w:pStyle w:val="34"/>
      <w:lvlText w:val="%1%2"/>
      <w:lvlJc w:val="left"/>
      <w:pPr>
        <w:tabs>
          <w:tab w:val="left" w:pos="360"/>
        </w:tabs>
        <w:ind w:left="0" w:firstLine="0"/>
      </w:pPr>
      <w:rPr>
        <w:rFonts w:hint="eastAsia" w:ascii="黑体" w:hAnsi="Times New Roman" w:eastAsia="黑体"/>
        <w:b/>
        <w:i w:val="0"/>
        <w:sz w:val="20"/>
      </w:rPr>
    </w:lvl>
    <w:lvl w:ilvl="2" w:tentative="0">
      <w:start w:val="1"/>
      <w:numFmt w:val="decimal"/>
      <w:pStyle w:val="33"/>
      <w:lvlText w:val="%1%2.%3"/>
      <w:lvlJc w:val="left"/>
      <w:pPr>
        <w:tabs>
          <w:tab w:val="left" w:pos="72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3" w:tentative="0">
      <w:start w:val="1"/>
      <w:numFmt w:val="decimal"/>
      <w:lvlText w:val="%1%2.%3.%4"/>
      <w:lvlJc w:val="left"/>
      <w:pPr>
        <w:tabs>
          <w:tab w:val="left" w:pos="72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4" w:tentative="0">
      <w:start w:val="1"/>
      <w:numFmt w:val="decimal"/>
      <w:lvlText w:val="%2.%3.%4.%5"/>
      <w:lvlJc w:val="left"/>
      <w:pPr>
        <w:tabs>
          <w:tab w:val="left" w:pos="108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5" w:tentative="0">
      <w:start w:val="1"/>
      <w:numFmt w:val="decimal"/>
      <w:lvlText w:val="%2.%3.%4.%5.%6"/>
      <w:lvlJc w:val="left"/>
      <w:pPr>
        <w:tabs>
          <w:tab w:val="left" w:pos="1021"/>
        </w:tabs>
        <w:ind w:left="1021" w:hanging="1021"/>
      </w:pPr>
      <w:rPr>
        <w:rFonts w:hint="eastAsia" w:ascii="黑体" w:hAnsi="Times New Roman" w:eastAsia="黑体"/>
        <w:b/>
        <w:i w:val="0"/>
        <w:sz w:val="21"/>
      </w:rPr>
    </w:lvl>
    <w:lvl w:ilvl="6" w:tentative="0">
      <w:start w:val="1"/>
      <w:numFmt w:val="decimal"/>
      <w:lvlRestart w:val="5"/>
      <w:lvlText w:val="%2.%3.%4.%5.%6.%7"/>
      <w:lvlJc w:val="left"/>
      <w:pPr>
        <w:tabs>
          <w:tab w:val="left" w:pos="144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7" w:tentative="0">
      <w:start w:val="1"/>
      <w:numFmt w:val="decimal"/>
      <w:lvlRestart w:val="5"/>
      <w:lvlText w:val="图 %2.0.%5 -%8"/>
      <w:lvlJc w:val="left"/>
      <w:pPr>
        <w:tabs>
          <w:tab w:val="left" w:pos="1440"/>
        </w:tabs>
        <w:ind w:left="0" w:firstLine="0"/>
      </w:pPr>
      <w:rPr>
        <w:rFonts w:hint="eastAsia" w:ascii="黑体" w:eastAsia="黑体"/>
        <w:b/>
        <w:i w:val="0"/>
        <w:sz w:val="21"/>
      </w:rPr>
    </w:lvl>
    <w:lvl w:ilvl="8" w:tentative="0">
      <w:start w:val="1"/>
      <w:numFmt w:val="decimal"/>
      <w:lvlRestart w:val="6"/>
      <w:lvlText w:val="      %9)"/>
      <w:lvlJc w:val="left"/>
      <w:pPr>
        <w:tabs>
          <w:tab w:val="left" w:pos="1080"/>
        </w:tabs>
        <w:ind w:left="0" w:firstLine="0"/>
      </w:pPr>
      <w:rPr>
        <w:rFonts w:hint="eastAsia" w:ascii="黑体" w:hAnsi="华文细黑" w:eastAsia="黑体"/>
        <w:b/>
        <w:i w:val="0"/>
        <w:sz w:val="21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embedSystemFonts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doNotExpandShiftReturn/>
    <w:adjustLineHeightInTable/>
    <w:doNotWrapTextWithPunct/>
    <w:doNotUseEastAsianBreakRules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180014"/>
    <w:rsid w:val="000130DC"/>
    <w:rsid w:val="00013BEA"/>
    <w:rsid w:val="00017942"/>
    <w:rsid w:val="0002391A"/>
    <w:rsid w:val="00050526"/>
    <w:rsid w:val="00076B1C"/>
    <w:rsid w:val="00085CFF"/>
    <w:rsid w:val="000A7712"/>
    <w:rsid w:val="000D737C"/>
    <w:rsid w:val="00107F72"/>
    <w:rsid w:val="00132756"/>
    <w:rsid w:val="00172B95"/>
    <w:rsid w:val="001859E9"/>
    <w:rsid w:val="00185AA2"/>
    <w:rsid w:val="001A6D90"/>
    <w:rsid w:val="001C2E12"/>
    <w:rsid w:val="001C72F7"/>
    <w:rsid w:val="001D2314"/>
    <w:rsid w:val="001D3301"/>
    <w:rsid w:val="002100E8"/>
    <w:rsid w:val="00225A3C"/>
    <w:rsid w:val="00247834"/>
    <w:rsid w:val="00262BDA"/>
    <w:rsid w:val="00273884"/>
    <w:rsid w:val="00290A6F"/>
    <w:rsid w:val="00290F7D"/>
    <w:rsid w:val="002A538F"/>
    <w:rsid w:val="002F124B"/>
    <w:rsid w:val="0031179A"/>
    <w:rsid w:val="00347DDA"/>
    <w:rsid w:val="00383BE1"/>
    <w:rsid w:val="00384DA6"/>
    <w:rsid w:val="003A2B05"/>
    <w:rsid w:val="003A5992"/>
    <w:rsid w:val="003B1A44"/>
    <w:rsid w:val="003C0E5F"/>
    <w:rsid w:val="003D2ACE"/>
    <w:rsid w:val="00416E50"/>
    <w:rsid w:val="0042357C"/>
    <w:rsid w:val="004254C0"/>
    <w:rsid w:val="004544A0"/>
    <w:rsid w:val="0048080D"/>
    <w:rsid w:val="004D3D3B"/>
    <w:rsid w:val="004D7F27"/>
    <w:rsid w:val="004E63D7"/>
    <w:rsid w:val="004E6699"/>
    <w:rsid w:val="00541C16"/>
    <w:rsid w:val="005558F8"/>
    <w:rsid w:val="00591249"/>
    <w:rsid w:val="005D5321"/>
    <w:rsid w:val="005F6B46"/>
    <w:rsid w:val="00603106"/>
    <w:rsid w:val="00617DE6"/>
    <w:rsid w:val="00621AF7"/>
    <w:rsid w:val="00692926"/>
    <w:rsid w:val="00694FCF"/>
    <w:rsid w:val="006B0925"/>
    <w:rsid w:val="006B19F7"/>
    <w:rsid w:val="006B1FEE"/>
    <w:rsid w:val="006E0D21"/>
    <w:rsid w:val="006E4024"/>
    <w:rsid w:val="00712AEF"/>
    <w:rsid w:val="007410A1"/>
    <w:rsid w:val="00786671"/>
    <w:rsid w:val="007A14DC"/>
    <w:rsid w:val="007C2DAF"/>
    <w:rsid w:val="007E7481"/>
    <w:rsid w:val="007F34ED"/>
    <w:rsid w:val="007F7D2A"/>
    <w:rsid w:val="0080340F"/>
    <w:rsid w:val="008272FB"/>
    <w:rsid w:val="00840277"/>
    <w:rsid w:val="008463BB"/>
    <w:rsid w:val="008620D3"/>
    <w:rsid w:val="00885ABC"/>
    <w:rsid w:val="008B6C01"/>
    <w:rsid w:val="00903D7C"/>
    <w:rsid w:val="00906157"/>
    <w:rsid w:val="009103FD"/>
    <w:rsid w:val="00941A0A"/>
    <w:rsid w:val="00941E94"/>
    <w:rsid w:val="009505D1"/>
    <w:rsid w:val="00953977"/>
    <w:rsid w:val="00996538"/>
    <w:rsid w:val="009A7DBE"/>
    <w:rsid w:val="009D39F9"/>
    <w:rsid w:val="00A3574F"/>
    <w:rsid w:val="00A41CA2"/>
    <w:rsid w:val="00A43D49"/>
    <w:rsid w:val="00A521AC"/>
    <w:rsid w:val="00A548F0"/>
    <w:rsid w:val="00A6074C"/>
    <w:rsid w:val="00A64A3E"/>
    <w:rsid w:val="00A7401E"/>
    <w:rsid w:val="00AA194B"/>
    <w:rsid w:val="00AC5547"/>
    <w:rsid w:val="00AC5590"/>
    <w:rsid w:val="00AF2444"/>
    <w:rsid w:val="00B40611"/>
    <w:rsid w:val="00B42A4C"/>
    <w:rsid w:val="00B467BA"/>
    <w:rsid w:val="00B53DFC"/>
    <w:rsid w:val="00B560CE"/>
    <w:rsid w:val="00B720C7"/>
    <w:rsid w:val="00B845E1"/>
    <w:rsid w:val="00B93E0E"/>
    <w:rsid w:val="00BE3AF9"/>
    <w:rsid w:val="00BF1ED3"/>
    <w:rsid w:val="00C01920"/>
    <w:rsid w:val="00C0523B"/>
    <w:rsid w:val="00C154B8"/>
    <w:rsid w:val="00C321A1"/>
    <w:rsid w:val="00C734D9"/>
    <w:rsid w:val="00C73B3B"/>
    <w:rsid w:val="00C95E5D"/>
    <w:rsid w:val="00CC6F04"/>
    <w:rsid w:val="00D25086"/>
    <w:rsid w:val="00D25776"/>
    <w:rsid w:val="00D5709A"/>
    <w:rsid w:val="00D8670C"/>
    <w:rsid w:val="00DD1A75"/>
    <w:rsid w:val="00DE46ED"/>
    <w:rsid w:val="00E03840"/>
    <w:rsid w:val="00E04657"/>
    <w:rsid w:val="00E44A4B"/>
    <w:rsid w:val="00E564D4"/>
    <w:rsid w:val="00E66055"/>
    <w:rsid w:val="00E906D3"/>
    <w:rsid w:val="00EA153F"/>
    <w:rsid w:val="00EA2C97"/>
    <w:rsid w:val="00EC7232"/>
    <w:rsid w:val="00ED3B47"/>
    <w:rsid w:val="00ED78D5"/>
    <w:rsid w:val="00EE3C2F"/>
    <w:rsid w:val="00F07E86"/>
    <w:rsid w:val="00F54C14"/>
    <w:rsid w:val="00F75A56"/>
    <w:rsid w:val="00F822B1"/>
    <w:rsid w:val="00F95F26"/>
    <w:rsid w:val="00FD1C84"/>
    <w:rsid w:val="00FE45A4"/>
    <w:rsid w:val="01427513"/>
    <w:rsid w:val="023175F6"/>
    <w:rsid w:val="03472883"/>
    <w:rsid w:val="035A08D4"/>
    <w:rsid w:val="043E60E5"/>
    <w:rsid w:val="044353B7"/>
    <w:rsid w:val="04445771"/>
    <w:rsid w:val="04B16F17"/>
    <w:rsid w:val="04D27709"/>
    <w:rsid w:val="08011098"/>
    <w:rsid w:val="084E378E"/>
    <w:rsid w:val="08A27553"/>
    <w:rsid w:val="09152D91"/>
    <w:rsid w:val="09657434"/>
    <w:rsid w:val="09A228DE"/>
    <w:rsid w:val="0A2B721E"/>
    <w:rsid w:val="0B2240B4"/>
    <w:rsid w:val="0BE36F7D"/>
    <w:rsid w:val="0CE1665B"/>
    <w:rsid w:val="0E5B6A37"/>
    <w:rsid w:val="0EA03C30"/>
    <w:rsid w:val="0ED50EC9"/>
    <w:rsid w:val="0F2B423C"/>
    <w:rsid w:val="11094C8A"/>
    <w:rsid w:val="11EF081B"/>
    <w:rsid w:val="12DA6698"/>
    <w:rsid w:val="137D3964"/>
    <w:rsid w:val="140830E5"/>
    <w:rsid w:val="15813DAC"/>
    <w:rsid w:val="182E08BB"/>
    <w:rsid w:val="185537EF"/>
    <w:rsid w:val="18765555"/>
    <w:rsid w:val="18904609"/>
    <w:rsid w:val="1A4D5C8C"/>
    <w:rsid w:val="1A5A4A7F"/>
    <w:rsid w:val="1A6A5E0F"/>
    <w:rsid w:val="1A8C5B4B"/>
    <w:rsid w:val="1A9B1E8A"/>
    <w:rsid w:val="1B0808B7"/>
    <w:rsid w:val="1BA83F4D"/>
    <w:rsid w:val="1BF4530E"/>
    <w:rsid w:val="1CAA45F0"/>
    <w:rsid w:val="1DDD1B29"/>
    <w:rsid w:val="1FC573ED"/>
    <w:rsid w:val="208206D0"/>
    <w:rsid w:val="21C53406"/>
    <w:rsid w:val="22A9397E"/>
    <w:rsid w:val="235B3C3A"/>
    <w:rsid w:val="23687149"/>
    <w:rsid w:val="23B054A6"/>
    <w:rsid w:val="24F3732E"/>
    <w:rsid w:val="269246A6"/>
    <w:rsid w:val="2B401C9B"/>
    <w:rsid w:val="2B7E2BE1"/>
    <w:rsid w:val="2BA532A3"/>
    <w:rsid w:val="2CAA15D4"/>
    <w:rsid w:val="2D3B59AF"/>
    <w:rsid w:val="2DC85678"/>
    <w:rsid w:val="2DF974B1"/>
    <w:rsid w:val="2E016B8B"/>
    <w:rsid w:val="2E470960"/>
    <w:rsid w:val="2FD44A0C"/>
    <w:rsid w:val="301D1543"/>
    <w:rsid w:val="303C4EDB"/>
    <w:rsid w:val="303E26F6"/>
    <w:rsid w:val="30FC5D3E"/>
    <w:rsid w:val="318B21C8"/>
    <w:rsid w:val="329E24FB"/>
    <w:rsid w:val="32F35A40"/>
    <w:rsid w:val="34236D31"/>
    <w:rsid w:val="34B519E8"/>
    <w:rsid w:val="358B1B13"/>
    <w:rsid w:val="36724472"/>
    <w:rsid w:val="36A66572"/>
    <w:rsid w:val="36CC15FA"/>
    <w:rsid w:val="36F62CDD"/>
    <w:rsid w:val="37D27BEE"/>
    <w:rsid w:val="38865BFA"/>
    <w:rsid w:val="38F3706A"/>
    <w:rsid w:val="391B003F"/>
    <w:rsid w:val="3A5B065E"/>
    <w:rsid w:val="3B241322"/>
    <w:rsid w:val="3BE26D15"/>
    <w:rsid w:val="3CA43677"/>
    <w:rsid w:val="3CA462CE"/>
    <w:rsid w:val="3D5A2083"/>
    <w:rsid w:val="3E257BC1"/>
    <w:rsid w:val="3E8222C8"/>
    <w:rsid w:val="3F303F95"/>
    <w:rsid w:val="40CE3A18"/>
    <w:rsid w:val="42304E6A"/>
    <w:rsid w:val="4399424E"/>
    <w:rsid w:val="44B855DE"/>
    <w:rsid w:val="457E4C38"/>
    <w:rsid w:val="479559D1"/>
    <w:rsid w:val="479743D0"/>
    <w:rsid w:val="47FE2438"/>
    <w:rsid w:val="4BFB1865"/>
    <w:rsid w:val="4C423DF2"/>
    <w:rsid w:val="4E3F1601"/>
    <w:rsid w:val="4F02195D"/>
    <w:rsid w:val="4F1E5CBB"/>
    <w:rsid w:val="4FFB11C5"/>
    <w:rsid w:val="50C5099A"/>
    <w:rsid w:val="50DF153C"/>
    <w:rsid w:val="51533282"/>
    <w:rsid w:val="51CE4E43"/>
    <w:rsid w:val="528365E6"/>
    <w:rsid w:val="53877A48"/>
    <w:rsid w:val="56360AFF"/>
    <w:rsid w:val="59303A61"/>
    <w:rsid w:val="594823FB"/>
    <w:rsid w:val="59B74569"/>
    <w:rsid w:val="59FE4F42"/>
    <w:rsid w:val="5A0F163F"/>
    <w:rsid w:val="5B6A0515"/>
    <w:rsid w:val="5BDB1617"/>
    <w:rsid w:val="5CE92A69"/>
    <w:rsid w:val="604C09F6"/>
    <w:rsid w:val="60AA45DA"/>
    <w:rsid w:val="611500E3"/>
    <w:rsid w:val="6284312B"/>
    <w:rsid w:val="63F73F4E"/>
    <w:rsid w:val="644C0D79"/>
    <w:rsid w:val="64AC6EB6"/>
    <w:rsid w:val="65F67B6A"/>
    <w:rsid w:val="663805AA"/>
    <w:rsid w:val="68E618F1"/>
    <w:rsid w:val="69640996"/>
    <w:rsid w:val="6985301C"/>
    <w:rsid w:val="6A12740C"/>
    <w:rsid w:val="6B1B5B89"/>
    <w:rsid w:val="6C071E63"/>
    <w:rsid w:val="6C43179E"/>
    <w:rsid w:val="6DB07F69"/>
    <w:rsid w:val="6DBF2751"/>
    <w:rsid w:val="6E067F3B"/>
    <w:rsid w:val="6E0E18EE"/>
    <w:rsid w:val="6E2340F9"/>
    <w:rsid w:val="6E6764DE"/>
    <w:rsid w:val="6F46306C"/>
    <w:rsid w:val="6FC70BF5"/>
    <w:rsid w:val="7005291A"/>
    <w:rsid w:val="70C81FA4"/>
    <w:rsid w:val="70D215D6"/>
    <w:rsid w:val="70F34F32"/>
    <w:rsid w:val="711A7F46"/>
    <w:rsid w:val="71C80221"/>
    <w:rsid w:val="73357908"/>
    <w:rsid w:val="7485672D"/>
    <w:rsid w:val="74C44169"/>
    <w:rsid w:val="76443671"/>
    <w:rsid w:val="7645082D"/>
    <w:rsid w:val="78163F80"/>
    <w:rsid w:val="7819191E"/>
    <w:rsid w:val="78A97AC0"/>
    <w:rsid w:val="79180014"/>
    <w:rsid w:val="79796385"/>
    <w:rsid w:val="7A514B74"/>
    <w:rsid w:val="7C0C2A5A"/>
    <w:rsid w:val="7D374087"/>
    <w:rsid w:val="7EA412BC"/>
    <w:rsid w:val="7F317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 w:locked="1"/>
    <w:lsdException w:qFormat="1" w:unhideWhenUsed="0" w:uiPriority="99" w:semiHidden="0" w:name="heading 2"/>
    <w:lsdException w:qFormat="1" w:uiPriority="9" w:semiHidden="0" w:name="heading 3" w:locked="1"/>
    <w:lsdException w:qFormat="1" w:uiPriority="9" w:semiHidden="0" w:name="heading 4" w:locked="1"/>
    <w:lsdException w:qFormat="1" w:uiPriority="9" w:name="heading 5" w:locked="1"/>
    <w:lsdException w:qFormat="1" w:uiPriority="9" w:name="heading 6" w:locked="1"/>
    <w:lsdException w:qFormat="1" w:uiPriority="9" w:name="heading 7" w:locked="1"/>
    <w:lsdException w:qFormat="1" w:uiPriority="9" w:name="heading 8" w:locked="1"/>
    <w:lsdException w:qFormat="1" w:uiPriority="9" w:name="heading 9" w:locked="1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nhideWhenUsed="0" w:uiPriority="0" w:semiHidden="0" w:name="Normal Indent" w:locked="1"/>
    <w:lsdException w:uiPriority="99" w:name="footnote text" w:locked="1"/>
    <w:lsdException w:uiPriority="99" w:name="annotation text" w:locked="1"/>
    <w:lsdException w:qFormat="1" w:uiPriority="0" w:semiHidden="0" w:name="header" w:locked="1"/>
    <w:lsdException w:qFormat="1" w:uiPriority="0" w:semiHidden="0" w:name="footer" w:locked="1"/>
    <w:lsdException w:uiPriority="99" w:name="index heading" w:locked="1"/>
    <w:lsdException w:qFormat="1" w:uiPriority="35" w:semiHidden="0" w:name="caption" w:locked="1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qFormat="1" w:unhideWhenUsed="0" w:uiPriority="0" w:semiHidden="0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10" w:semiHidden="0" w:name="Title" w:locked="1"/>
    <w:lsdException w:uiPriority="99" w:name="Closing" w:locked="1"/>
    <w:lsdException w:uiPriority="99" w:name="Signature" w:locked="1"/>
    <w:lsdException w:qFormat="1" w:uiPriority="1" w:semiHidden="0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11" w:semiHidden="0" w:name="Subtitle" w:locked="1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iPriority="99" w:semiHidden="0" w:name="Hyperlink" w:locked="1"/>
    <w:lsdException w:uiPriority="99" w:name="FollowedHyperlink" w:locked="1"/>
    <w:lsdException w:qFormat="1" w:unhideWhenUsed="0" w:uiPriority="22" w:semiHidden="0" w:name="Strong" w:locked="1"/>
    <w:lsdException w:qFormat="1" w:unhideWhenUsed="0" w:uiPriority="20" w:semiHidden="0" w:name="Emphasis" w:locked="1"/>
    <w:lsdException w:qFormat="1" w:uiPriority="99" w:semiHidden="0" w:name="Document Map" w:locked="1"/>
    <w:lsdException w:qFormat="1" w:uiPriority="99" w:semiHidden="0" w:name="Plain Text" w:locked="1"/>
    <w:lsdException w:uiPriority="99" w:name="E-mail Signature" w:locked="1"/>
    <w:lsdException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semiHidden="0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iPriority="99" w:semiHidden="0" w:name="Balloon Text" w:locked="1"/>
    <w:lsdException w:qFormat="1" w:unhideWhenUsed="0" w:uiPriority="0" w:semiHidden="0" w:name="Table Grid" w:locked="1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locked/>
    <w:uiPriority w:val="9"/>
    <w:pPr>
      <w:keepNext/>
      <w:keepLines/>
      <w:spacing w:before="240" w:after="120" w:line="420" w:lineRule="auto"/>
      <w:jc w:val="left"/>
      <w:outlineLvl w:val="0"/>
    </w:pPr>
    <w:rPr>
      <w:rFonts w:ascii="宋体" w:hAnsi="宋体" w:cs="宋体"/>
      <w:b/>
      <w:sz w:val="24"/>
      <w:szCs w:val="21"/>
    </w:rPr>
  </w:style>
  <w:style w:type="paragraph" w:styleId="3">
    <w:name w:val="heading 2"/>
    <w:basedOn w:val="1"/>
    <w:next w:val="4"/>
    <w:link w:val="27"/>
    <w:qFormat/>
    <w:uiPriority w:val="99"/>
    <w:pPr>
      <w:spacing w:beforeLines="50" w:afterLines="50"/>
      <w:jc w:val="left"/>
      <w:outlineLvl w:val="1"/>
    </w:pPr>
    <w:rPr>
      <w:rFonts w:ascii="宋体" w:hAnsi="宋体"/>
      <w:b/>
      <w:kern w:val="0"/>
      <w:sz w:val="36"/>
      <w:szCs w:val="36"/>
    </w:rPr>
  </w:style>
  <w:style w:type="paragraph" w:styleId="5">
    <w:name w:val="heading 3"/>
    <w:basedOn w:val="1"/>
    <w:next w:val="1"/>
    <w:unhideWhenUsed/>
    <w:qFormat/>
    <w:locked/>
    <w:uiPriority w:val="9"/>
    <w:pPr>
      <w:keepNext/>
      <w:keepLines/>
      <w:tabs>
        <w:tab w:val="left" w:pos="432"/>
        <w:tab w:val="left" w:pos="720"/>
      </w:tabs>
      <w:spacing w:line="413" w:lineRule="auto"/>
      <w:outlineLvl w:val="2"/>
    </w:pPr>
    <w:rPr>
      <w:rFonts w:ascii="Times New Roman" w:hAnsi="Times New Roman" w:eastAsia="黑体"/>
      <w:b/>
      <w:szCs w:val="20"/>
    </w:rPr>
  </w:style>
  <w:style w:type="paragraph" w:styleId="6">
    <w:name w:val="heading 4"/>
    <w:basedOn w:val="1"/>
    <w:next w:val="1"/>
    <w:unhideWhenUsed/>
    <w:qFormat/>
    <w:locked/>
    <w:uiPriority w:val="9"/>
    <w:pPr>
      <w:keepNext/>
      <w:keepLines/>
      <w:tabs>
        <w:tab w:val="left" w:pos="432"/>
        <w:tab w:val="left" w:pos="864"/>
      </w:tabs>
      <w:spacing w:line="372" w:lineRule="auto"/>
      <w:ind w:left="864" w:hanging="864"/>
      <w:outlineLvl w:val="3"/>
    </w:pPr>
    <w:rPr>
      <w:rFonts w:ascii="Arial" w:hAnsi="Arial" w:eastAsia="黑体"/>
      <w:szCs w:val="20"/>
    </w:rPr>
  </w:style>
  <w:style w:type="character" w:default="1" w:styleId="24">
    <w:name w:val="Default Paragraph Font"/>
    <w:unhideWhenUsed/>
    <w:qFormat/>
    <w:uiPriority w:val="1"/>
  </w:style>
  <w:style w:type="table" w:default="1" w:styleId="22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locked/>
    <w:uiPriority w:val="0"/>
    <w:pPr>
      <w:ind w:firstLine="420" w:firstLineChars="200"/>
    </w:pPr>
  </w:style>
  <w:style w:type="paragraph" w:styleId="7">
    <w:name w:val="toc 7"/>
    <w:basedOn w:val="1"/>
    <w:next w:val="1"/>
    <w:qFormat/>
    <w:uiPriority w:val="39"/>
    <w:pPr>
      <w:ind w:left="2520" w:leftChars="1200"/>
    </w:pPr>
  </w:style>
  <w:style w:type="paragraph" w:styleId="8">
    <w:name w:val="caption"/>
    <w:basedOn w:val="1"/>
    <w:next w:val="1"/>
    <w:unhideWhenUsed/>
    <w:qFormat/>
    <w:locked/>
    <w:uiPriority w:val="35"/>
    <w:rPr>
      <w:rFonts w:eastAsia="黑体" w:asciiTheme="majorHAnsi" w:hAnsiTheme="majorHAnsi" w:cstheme="majorBidi"/>
      <w:sz w:val="20"/>
      <w:szCs w:val="20"/>
    </w:rPr>
  </w:style>
  <w:style w:type="paragraph" w:styleId="9">
    <w:name w:val="Document Map"/>
    <w:basedOn w:val="1"/>
    <w:link w:val="44"/>
    <w:unhideWhenUsed/>
    <w:qFormat/>
    <w:locked/>
    <w:uiPriority w:val="99"/>
    <w:rPr>
      <w:rFonts w:ascii="宋体"/>
      <w:sz w:val="18"/>
      <w:szCs w:val="18"/>
    </w:rPr>
  </w:style>
  <w:style w:type="paragraph" w:styleId="10">
    <w:name w:val="toc 5"/>
    <w:basedOn w:val="1"/>
    <w:next w:val="1"/>
    <w:qFormat/>
    <w:uiPriority w:val="39"/>
    <w:pPr>
      <w:ind w:left="1680" w:leftChars="800"/>
    </w:pPr>
  </w:style>
  <w:style w:type="paragraph" w:styleId="11">
    <w:name w:val="toc 3"/>
    <w:basedOn w:val="1"/>
    <w:next w:val="1"/>
    <w:qFormat/>
    <w:uiPriority w:val="39"/>
    <w:pPr>
      <w:ind w:left="840" w:leftChars="400"/>
    </w:pPr>
  </w:style>
  <w:style w:type="paragraph" w:styleId="12">
    <w:name w:val="Plain Text"/>
    <w:basedOn w:val="1"/>
    <w:unhideWhenUsed/>
    <w:qFormat/>
    <w:locked/>
    <w:uiPriority w:val="99"/>
    <w:rPr>
      <w:rFonts w:ascii="宋体" w:hAnsi="Courier New"/>
      <w:szCs w:val="20"/>
    </w:rPr>
  </w:style>
  <w:style w:type="paragraph" w:styleId="13">
    <w:name w:val="toc 8"/>
    <w:basedOn w:val="1"/>
    <w:next w:val="1"/>
    <w:qFormat/>
    <w:uiPriority w:val="39"/>
    <w:pPr>
      <w:ind w:left="2940" w:leftChars="1400"/>
    </w:pPr>
  </w:style>
  <w:style w:type="paragraph" w:styleId="14">
    <w:name w:val="Balloon Text"/>
    <w:basedOn w:val="1"/>
    <w:link w:val="41"/>
    <w:unhideWhenUsed/>
    <w:qFormat/>
    <w:locked/>
    <w:uiPriority w:val="99"/>
    <w:rPr>
      <w:sz w:val="18"/>
      <w:szCs w:val="18"/>
    </w:rPr>
  </w:style>
  <w:style w:type="paragraph" w:styleId="15">
    <w:name w:val="footer"/>
    <w:basedOn w:val="1"/>
    <w:link w:val="28"/>
    <w:unhideWhenUsed/>
    <w:qFormat/>
    <w:locked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6">
    <w:name w:val="header"/>
    <w:basedOn w:val="1"/>
    <w:link w:val="29"/>
    <w:unhideWhenUsed/>
    <w:qFormat/>
    <w:locked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7">
    <w:name w:val="toc 1"/>
    <w:basedOn w:val="1"/>
    <w:next w:val="1"/>
    <w:qFormat/>
    <w:uiPriority w:val="39"/>
    <w:pPr>
      <w:spacing w:line="360" w:lineRule="auto"/>
    </w:pPr>
    <w:rPr>
      <w:b/>
      <w:sz w:val="24"/>
    </w:rPr>
  </w:style>
  <w:style w:type="paragraph" w:styleId="18">
    <w:name w:val="toc 4"/>
    <w:basedOn w:val="1"/>
    <w:next w:val="1"/>
    <w:qFormat/>
    <w:uiPriority w:val="39"/>
    <w:pPr>
      <w:ind w:left="1260" w:leftChars="600"/>
    </w:pPr>
  </w:style>
  <w:style w:type="paragraph" w:styleId="19">
    <w:name w:val="toc 6"/>
    <w:basedOn w:val="1"/>
    <w:next w:val="1"/>
    <w:qFormat/>
    <w:uiPriority w:val="39"/>
    <w:pPr>
      <w:ind w:left="2100" w:leftChars="1000"/>
    </w:pPr>
  </w:style>
  <w:style w:type="paragraph" w:styleId="20">
    <w:name w:val="toc 2"/>
    <w:basedOn w:val="1"/>
    <w:next w:val="1"/>
    <w:qFormat/>
    <w:uiPriority w:val="39"/>
    <w:pPr>
      <w:ind w:left="420" w:leftChars="200"/>
    </w:pPr>
    <w:rPr>
      <w:b/>
      <w:sz w:val="24"/>
    </w:rPr>
  </w:style>
  <w:style w:type="paragraph" w:styleId="21">
    <w:name w:val="toc 9"/>
    <w:basedOn w:val="1"/>
    <w:next w:val="1"/>
    <w:qFormat/>
    <w:uiPriority w:val="39"/>
    <w:pPr>
      <w:ind w:left="3360" w:leftChars="1600"/>
    </w:pPr>
  </w:style>
  <w:style w:type="table" w:styleId="23">
    <w:name w:val="Table Grid"/>
    <w:basedOn w:val="22"/>
    <w:qFormat/>
    <w:locked/>
    <w:uiPriority w:val="0"/>
    <w:pPr>
      <w:widowControl w:val="0"/>
      <w:jc w:val="both"/>
    </w:pPr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5">
    <w:name w:val="page number"/>
    <w:basedOn w:val="24"/>
    <w:qFormat/>
    <w:locked/>
    <w:uiPriority w:val="0"/>
  </w:style>
  <w:style w:type="character" w:styleId="26">
    <w:name w:val="Hyperlink"/>
    <w:basedOn w:val="24"/>
    <w:unhideWhenUsed/>
    <w:qFormat/>
    <w:lock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27">
    <w:name w:val="标题 2 Char"/>
    <w:link w:val="3"/>
    <w:qFormat/>
    <w:locked/>
    <w:uiPriority w:val="99"/>
    <w:rPr>
      <w:rFonts w:ascii="宋体" w:hAnsi="宋体"/>
      <w:b/>
      <w:sz w:val="36"/>
      <w:szCs w:val="36"/>
    </w:rPr>
  </w:style>
  <w:style w:type="character" w:customStyle="1" w:styleId="28">
    <w:name w:val="页脚 Char"/>
    <w:link w:val="15"/>
    <w:qFormat/>
    <w:uiPriority w:val="99"/>
    <w:rPr>
      <w:rFonts w:ascii="Calibri" w:hAnsi="Calibri"/>
      <w:kern w:val="2"/>
      <w:sz w:val="18"/>
      <w:szCs w:val="24"/>
    </w:rPr>
  </w:style>
  <w:style w:type="character" w:customStyle="1" w:styleId="29">
    <w:name w:val="页眉 Char"/>
    <w:link w:val="16"/>
    <w:qFormat/>
    <w:uiPriority w:val="99"/>
    <w:rPr>
      <w:rFonts w:ascii="Calibri" w:hAnsi="Calibri"/>
      <w:kern w:val="2"/>
      <w:sz w:val="18"/>
      <w:szCs w:val="24"/>
    </w:rPr>
  </w:style>
  <w:style w:type="paragraph" w:customStyle="1" w:styleId="30">
    <w:name w:val="TOC 标题1"/>
    <w:basedOn w:val="2"/>
    <w:next w:val="1"/>
    <w:unhideWhenUsed/>
    <w:qFormat/>
    <w:uiPriority w:val="39"/>
    <w:pPr>
      <w:widowControl/>
      <w:spacing w:after="0" w:line="259" w:lineRule="auto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32"/>
      <w:szCs w:val="32"/>
    </w:rPr>
  </w:style>
  <w:style w:type="paragraph" w:customStyle="1" w:styleId="31">
    <w:name w:val="列出段落1"/>
    <w:basedOn w:val="1"/>
    <w:qFormat/>
    <w:uiPriority w:val="34"/>
    <w:pPr>
      <w:ind w:firstLine="420" w:firstLineChars="200"/>
    </w:pPr>
  </w:style>
  <w:style w:type="paragraph" w:customStyle="1" w:styleId="32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  <w:style w:type="paragraph" w:customStyle="1" w:styleId="33">
    <w:name w:val="一级条标题"/>
    <w:basedOn w:val="34"/>
    <w:next w:val="35"/>
    <w:qFormat/>
    <w:uiPriority w:val="0"/>
    <w:pPr>
      <w:numPr>
        <w:ilvl w:val="2"/>
      </w:numPr>
      <w:tabs>
        <w:tab w:val="left" w:pos="420"/>
        <w:tab w:val="left" w:pos="525"/>
      </w:tabs>
      <w:spacing w:beforeLines="0" w:afterLines="0"/>
      <w:outlineLvl w:val="2"/>
    </w:pPr>
  </w:style>
  <w:style w:type="paragraph" w:customStyle="1" w:styleId="34">
    <w:name w:val="章标题"/>
    <w:next w:val="35"/>
    <w:qFormat/>
    <w:uiPriority w:val="0"/>
    <w:pPr>
      <w:numPr>
        <w:ilvl w:val="1"/>
        <w:numId w:val="1"/>
      </w:numPr>
      <w:tabs>
        <w:tab w:val="left" w:pos="420"/>
        <w:tab w:val="clear" w:pos="360"/>
      </w:tabs>
      <w:spacing w:beforeLines="50" w:afterLines="50"/>
      <w:jc w:val="both"/>
      <w:outlineLvl w:val="1"/>
    </w:pPr>
    <w:rPr>
      <w:rFonts w:ascii="黑体" w:hAnsi="Times New Roman" w:eastAsia="黑体" w:cs="Times New Roman"/>
      <w:b/>
      <w:sz w:val="21"/>
      <w:lang w:val="en-US" w:eastAsia="zh-CN" w:bidi="ar-SA"/>
    </w:rPr>
  </w:style>
  <w:style w:type="paragraph" w:customStyle="1" w:styleId="35">
    <w:name w:val="段"/>
    <w:link w:val="43"/>
    <w:qFormat/>
    <w:uiPriority w:val="99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36">
    <w:name w:val="表题 + (西文) 宋体 Char Char Char Char Char Char Char Char"/>
    <w:link w:val="37"/>
    <w:qFormat/>
    <w:uiPriority w:val="0"/>
    <w:rPr>
      <w:rFonts w:hAnsi="宋体" w:eastAsia="黑体" w:cstheme="minorBidi"/>
      <w:szCs w:val="22"/>
    </w:rPr>
  </w:style>
  <w:style w:type="paragraph" w:customStyle="1" w:styleId="37">
    <w:name w:val="表题 + (西文) 宋体 Char Char Char Char Char Char Char"/>
    <w:basedOn w:val="8"/>
    <w:link w:val="36"/>
    <w:qFormat/>
    <w:uiPriority w:val="0"/>
    <w:pPr>
      <w:adjustRightInd w:val="0"/>
      <w:spacing w:before="120" w:after="120" w:line="320" w:lineRule="exact"/>
      <w:jc w:val="center"/>
      <w:textAlignment w:val="baseline"/>
    </w:pPr>
    <w:rPr>
      <w:rFonts w:hAnsi="宋体" w:cstheme="minorBidi"/>
      <w:szCs w:val="22"/>
    </w:rPr>
  </w:style>
  <w:style w:type="character" w:customStyle="1" w:styleId="38">
    <w:name w:val="font01"/>
    <w:basedOn w:val="2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customStyle="1" w:styleId="39">
    <w:name w:val="列出段落2"/>
    <w:basedOn w:val="1"/>
    <w:qFormat/>
    <w:uiPriority w:val="99"/>
    <w:pPr>
      <w:ind w:firstLine="420" w:firstLineChars="200"/>
    </w:pPr>
  </w:style>
  <w:style w:type="paragraph" w:customStyle="1" w:styleId="40">
    <w:name w:val="TOC 标题2"/>
    <w:basedOn w:val="2"/>
    <w:next w:val="1"/>
    <w:unhideWhenUsed/>
    <w:qFormat/>
    <w:uiPriority w:val="39"/>
    <w:pPr>
      <w:widowControl/>
      <w:spacing w:after="0" w:line="259" w:lineRule="auto"/>
      <w:outlineLvl w:val="9"/>
    </w:pPr>
    <w:rPr>
      <w:rFonts w:asciiTheme="majorHAnsi" w:hAnsiTheme="majorHAnsi" w:eastAsiaTheme="majorEastAsia" w:cstheme="majorBidi"/>
      <w:b w:val="0"/>
      <w:color w:val="376092" w:themeColor="accent1" w:themeShade="BF"/>
      <w:kern w:val="0"/>
      <w:sz w:val="32"/>
      <w:szCs w:val="32"/>
    </w:rPr>
  </w:style>
  <w:style w:type="character" w:customStyle="1" w:styleId="41">
    <w:name w:val="批注框文本 Char"/>
    <w:basedOn w:val="24"/>
    <w:link w:val="14"/>
    <w:semiHidden/>
    <w:qFormat/>
    <w:uiPriority w:val="99"/>
    <w:rPr>
      <w:rFonts w:ascii="Calibri" w:hAnsi="Calibri"/>
      <w:kern w:val="2"/>
      <w:sz w:val="18"/>
      <w:szCs w:val="18"/>
    </w:rPr>
  </w:style>
  <w:style w:type="paragraph" w:customStyle="1" w:styleId="42">
    <w:name w:val="字母编号列项（一级）"/>
    <w:qFormat/>
    <w:uiPriority w:val="0"/>
    <w:pPr>
      <w:tabs>
        <w:tab w:val="left" w:pos="840"/>
      </w:tabs>
      <w:ind w:left="315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43">
    <w:name w:val="段 Char"/>
    <w:link w:val="35"/>
    <w:qFormat/>
    <w:uiPriority w:val="99"/>
    <w:rPr>
      <w:rFonts w:ascii="宋体"/>
      <w:sz w:val="21"/>
    </w:rPr>
  </w:style>
  <w:style w:type="character" w:customStyle="1" w:styleId="44">
    <w:name w:val="文档结构图 Char"/>
    <w:basedOn w:val="24"/>
    <w:link w:val="9"/>
    <w:semiHidden/>
    <w:qFormat/>
    <w:uiPriority w:val="99"/>
    <w:rPr>
      <w:rFonts w:ascii="宋体" w:hAnsi="Calibri"/>
      <w:kern w:val="2"/>
      <w:sz w:val="18"/>
      <w:szCs w:val="18"/>
    </w:rPr>
  </w:style>
  <w:style w:type="paragraph" w:customStyle="1" w:styleId="45">
    <w:name w:val="marklang-paragraph"/>
    <w:basedOn w:val="1"/>
    <w:qFormat/>
    <w:uiPriority w:val="0"/>
    <w:pPr>
      <w:widowControl/>
      <w:spacing w:before="100" w:beforeAutospacing="1" w:after="100" w:afterAutospacing="1" w:line="240" w:lineRule="auto"/>
      <w:jc w:val="left"/>
    </w:pPr>
    <w:rPr>
      <w:rFonts w:ascii="宋体" w:hAnsi="宋体" w:cs="宋体"/>
      <w:kern w:val="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D87A2-F2D6-4812-9D52-4B228576FF4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3</Pages>
  <Words>637</Words>
  <Characters>664</Characters>
  <Lines>53</Lines>
  <Paragraphs>15</Paragraphs>
  <TotalTime>1</TotalTime>
  <ScaleCrop>false</ScaleCrop>
  <LinksUpToDate>false</LinksUpToDate>
  <CharactersWithSpaces>676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2018-09-26T02:24:00Z</dcterms:created>
  <dc:creator>emmy810</dc:creator>
  <cp:lastModifiedBy>葡萄串子</cp:lastModifiedBy>
  <dcterms:modified xsi:type="dcterms:W3CDTF">2025-12-12T01:35:14Z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039F91517F4C4512AAF4795A97C7A6D4</vt:lpwstr>
  </property>
  <property fmtid="{D5CDD505-2E9C-101B-9397-08002B2CF9AE}" pid="4" name="KSOTemplateDocerSaveRecord">
    <vt:lpwstr>eyJoZGlkIjoiMDljYzUzMWQ4OWI0YzBkYjYzMDRhZTY5ZjZkYmFmYTgiLCJ1c2VySWQiOiIxMTc5MjM4MTE1In0=</vt:lpwstr>
  </property>
</Properties>
</file>