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（广州供电局2026-2027年输变电迁改工程设计评审及技术咨询服务、管理咨询服务）</w:t>
      </w:r>
    </w:p>
    <w:bookmarkEnd w:id="0"/>
    <w:p>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纳入本框架采购协议内各迁改项目的立项批复文件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纳入本框架采购协议内各迁改项目的迁改资金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框架有效期/服务期</w:t>
            </w:r>
          </w:p>
        </w:tc>
        <w:tc>
          <w:tcPr>
            <w:tcW w:w="5250" w:type="dxa"/>
            <w:noWrap w:val="0"/>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框架有效期：合同签订之日起至2027年12月31日。</w:t>
            </w:r>
          </w:p>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服务期：合同签订之日起至本框架范围内项目实际完成日期。</w:t>
            </w:r>
          </w:p>
        </w:tc>
      </w:tr>
    </w:tbl>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Times New Roman"/>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根据广州供电局输变电设施迁改项目工程管理的需要，开展广州供电局2026-2027年输变电迁改工程设计评审及技术咨询服务</w:t>
      </w:r>
      <w:r>
        <w:rPr>
          <w:rFonts w:hint="eastAsia" w:ascii="宋体" w:hAnsi="宋体"/>
          <w:color w:val="auto"/>
          <w:sz w:val="24"/>
          <w:szCs w:val="24"/>
          <w:highlight w:val="none"/>
          <w:u w:val="none"/>
          <w:lang w:val="en-US" w:eastAsia="zh-CN"/>
        </w:rPr>
        <w:t>、管理咨询</w:t>
      </w:r>
      <w:r>
        <w:rPr>
          <w:rFonts w:hint="eastAsia" w:ascii="宋体" w:hAnsi="宋体" w:eastAsia="宋体"/>
          <w:color w:val="auto"/>
          <w:sz w:val="24"/>
          <w:szCs w:val="24"/>
          <w:highlight w:val="none"/>
          <w:u w:val="none"/>
          <w:lang w:val="en-US" w:eastAsia="zh-CN"/>
        </w:rPr>
        <w:t>服务</w:t>
      </w:r>
      <w:r>
        <w:rPr>
          <w:rFonts w:hint="eastAsia" w:ascii="宋体" w:hAnsi="宋体" w:eastAsia="宋体" w:cs="Times New Roman"/>
          <w:color w:val="auto"/>
          <w:sz w:val="24"/>
          <w:szCs w:val="24"/>
          <w:highlight w:val="none"/>
          <w:u w:val="none"/>
          <w:lang w:val="en-US" w:eastAsia="zh-CN"/>
        </w:rPr>
        <w:t>工作</w:t>
      </w:r>
      <w:r>
        <w:rPr>
          <w:rFonts w:hint="eastAsia" w:ascii="宋体" w:hAnsi="宋体" w:cs="Times New Roman"/>
          <w:color w:val="auto"/>
          <w:sz w:val="24"/>
          <w:szCs w:val="24"/>
          <w:highlight w:val="none"/>
          <w:u w:val="none"/>
          <w:lang w:val="en-US" w:eastAsia="zh-CN"/>
        </w:rPr>
        <w:t>，</w:t>
      </w:r>
      <w:r>
        <w:rPr>
          <w:rFonts w:hint="eastAsia" w:ascii="宋体" w:hAnsi="宋体" w:eastAsia="宋体" w:cs="Times New Roman"/>
          <w:color w:val="auto"/>
          <w:sz w:val="24"/>
          <w:szCs w:val="24"/>
          <w:highlight w:val="none"/>
          <w:u w:val="none"/>
          <w:lang w:val="en-US" w:eastAsia="zh-CN"/>
        </w:rPr>
        <w:t>最终以招标人根据标的及</w:t>
      </w:r>
      <w:r>
        <w:rPr>
          <w:rFonts w:hint="eastAsia" w:ascii="宋体" w:hAnsi="宋体" w:cs="Times New Roman"/>
          <w:color w:val="auto"/>
          <w:sz w:val="24"/>
          <w:szCs w:val="24"/>
          <w:highlight w:val="none"/>
          <w:u w:val="none"/>
          <w:lang w:val="en-US" w:eastAsia="zh-CN"/>
        </w:rPr>
        <w:t>标包</w:t>
      </w:r>
      <w:r>
        <w:rPr>
          <w:rFonts w:hint="eastAsia" w:ascii="宋体" w:hAnsi="宋体" w:eastAsia="宋体" w:cs="Times New Roman"/>
          <w:color w:val="auto"/>
          <w:sz w:val="24"/>
          <w:szCs w:val="24"/>
          <w:highlight w:val="none"/>
          <w:u w:val="none"/>
          <w:lang w:val="en-US" w:eastAsia="zh-CN"/>
        </w:rPr>
        <w:t>划分原则和招标结果出具的委托书为准。</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其中，标的1为广州供电局2026-2027年输变电迁改工程设计评审及技术咨询服务，不划分</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分；标的2为广州供电局2026-2027年输变电迁改工程管理咨询服务，为2个</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1为资金迁改部分，</w:t>
      </w:r>
      <w:r>
        <w:rPr>
          <w:rFonts w:hint="eastAsia" w:ascii="宋体" w:hAnsi="宋体"/>
          <w:color w:val="auto"/>
          <w:sz w:val="24"/>
          <w:szCs w:val="24"/>
          <w:highlight w:val="none"/>
          <w:u w:val="none"/>
          <w:lang w:val="en-US" w:eastAsia="zh-CN"/>
        </w:rPr>
        <w:t>标包</w:t>
      </w:r>
      <w:r>
        <w:rPr>
          <w:rFonts w:hint="eastAsia" w:ascii="宋体" w:hAnsi="宋体" w:eastAsia="宋体"/>
          <w:color w:val="auto"/>
          <w:sz w:val="24"/>
          <w:szCs w:val="24"/>
          <w:highlight w:val="none"/>
          <w:u w:val="none"/>
          <w:lang w:val="en-US" w:eastAsia="zh-CN"/>
        </w:rPr>
        <w:t>2为实物迁改部分。最终以招标人根据标的及标包划分原则和招标结果出具的委托书为准。</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val="en-US" w:eastAsia="zh-CN"/>
        </w:rPr>
      </w:pPr>
      <w:r>
        <w:rPr>
          <w:rFonts w:hint="eastAsia" w:ascii="宋体" w:hAnsi="宋体" w:eastAsia="宋体"/>
          <w:color w:val="auto"/>
          <w:sz w:val="24"/>
          <w:szCs w:val="24"/>
          <w:highlight w:val="none"/>
          <w:u w:val="none"/>
          <w:lang w:val="en-US" w:eastAsia="zh-CN"/>
        </w:rPr>
        <w:t>本项目预计采购金额是依据采购需求数据预测，仅作为招标预估规模供投标人参考，并不代表招标人对采购金额及数量的承诺，最终应以具体实际工程为准，并按合同条款实际结算金额为准。</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olor w:val="auto"/>
          <w:sz w:val="24"/>
          <w:szCs w:val="24"/>
          <w:highlight w:val="none"/>
          <w:u w:val="none"/>
          <w:lang w:eastAsia="zh-CN"/>
        </w:rPr>
      </w:pPr>
      <w:r>
        <w:rPr>
          <w:rFonts w:hint="eastAsia" w:ascii="宋体" w:hAnsi="宋体" w:eastAsia="宋体"/>
          <w:color w:val="auto"/>
          <w:sz w:val="24"/>
          <w:szCs w:val="24"/>
          <w:highlight w:val="none"/>
          <w:u w:val="none"/>
          <w:lang w:val="en-US" w:eastAsia="zh-CN"/>
        </w:rPr>
        <w:t>鉴于迁改工程项目立项存在不确定性，实施管控过程特殊，实际委托工程时应符合国家法律法规、南方电网公司相关管理制度要求，并及时完善相关项目的支撑性材料，合法依规有序开展相关工程和管理业务。</w:t>
      </w:r>
    </w:p>
    <w:p>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eastAsia" w:ascii="宋体" w:hAnsi="宋体" w:eastAsia="宋体" w:cs="Times New Roman"/>
          <w:color w:val="auto"/>
          <w:sz w:val="24"/>
          <w:szCs w:val="24"/>
          <w:highlight w:val="none"/>
          <w:u w:val="none"/>
          <w:lang w:val="en-US" w:eastAsia="zh-CN"/>
        </w:rPr>
      </w:pPr>
      <w:r>
        <w:rPr>
          <w:rFonts w:hint="eastAsia" w:ascii="宋体" w:hAnsi="宋体"/>
          <w:color w:val="auto"/>
          <w:sz w:val="24"/>
          <w:szCs w:val="24"/>
          <w:highlight w:val="none"/>
          <w:u w:val="none"/>
          <w:lang w:val="en-US" w:eastAsia="zh-CN"/>
        </w:rPr>
        <w:t>标的1</w:t>
      </w:r>
      <w:r>
        <w:rPr>
          <w:rFonts w:hint="eastAsia" w:ascii="宋体" w:hAnsi="宋体" w:eastAsia="宋体"/>
          <w:color w:val="auto"/>
          <w:sz w:val="24"/>
          <w:szCs w:val="24"/>
          <w:highlight w:val="none"/>
          <w:u w:val="none"/>
          <w:lang w:val="en-US" w:eastAsia="zh-CN"/>
        </w:rPr>
        <w:t>主要包括设计评审、前期管理、项目后评价，以及新技术研究应用等工作。具体为：</w:t>
      </w:r>
      <w:r>
        <w:rPr>
          <w:rFonts w:hint="eastAsia" w:ascii="宋体" w:hAnsi="宋体"/>
          <w:color w:val="auto"/>
          <w:sz w:val="24"/>
          <w:szCs w:val="24"/>
          <w:highlight w:val="none"/>
          <w:u w:val="none"/>
          <w:lang w:val="en-US" w:eastAsia="zh-CN"/>
        </w:rPr>
        <w:t>（1）</w:t>
      </w:r>
      <w:r>
        <w:rPr>
          <w:rFonts w:hint="eastAsia" w:ascii="宋体" w:hAnsi="宋体" w:eastAsia="宋体"/>
          <w:color w:val="auto"/>
          <w:sz w:val="24"/>
          <w:szCs w:val="24"/>
          <w:highlight w:val="none"/>
          <w:u w:val="none"/>
          <w:lang w:val="en-US" w:eastAsia="zh-CN"/>
        </w:rPr>
        <w:t>设计评审，迁改项目可行性研究、初步设计及施工图设计文件的评审工作，根据评审结果出具相应阶段的正式评审报告；</w:t>
      </w:r>
      <w:r>
        <w:rPr>
          <w:rFonts w:hint="eastAsia" w:ascii="宋体" w:hAnsi="宋体"/>
          <w:color w:val="auto"/>
          <w:sz w:val="24"/>
          <w:szCs w:val="24"/>
          <w:highlight w:val="none"/>
          <w:u w:val="none"/>
          <w:lang w:val="en-US" w:eastAsia="zh-CN"/>
        </w:rPr>
        <w:t>（2）</w:t>
      </w:r>
      <w:r>
        <w:rPr>
          <w:rFonts w:hint="eastAsia" w:ascii="宋体" w:hAnsi="宋体" w:eastAsia="宋体"/>
          <w:color w:val="auto"/>
          <w:sz w:val="24"/>
          <w:szCs w:val="24"/>
          <w:highlight w:val="none"/>
          <w:u w:val="none"/>
          <w:lang w:val="en-US" w:eastAsia="zh-CN"/>
        </w:rPr>
        <w:t>前期管理，开展迁改项目立项前的沟通协调管理工作，配合统筹策划迁改项目前期管理，出具项目周报、月报、年度报告及工作总结报告等及招标人要求的其他迁改项目管理工作；</w:t>
      </w:r>
      <w:r>
        <w:rPr>
          <w:rFonts w:hint="eastAsia" w:ascii="宋体" w:hAnsi="宋体"/>
          <w:color w:val="auto"/>
          <w:sz w:val="24"/>
          <w:szCs w:val="24"/>
          <w:highlight w:val="none"/>
          <w:u w:val="none"/>
          <w:lang w:val="en-US" w:eastAsia="zh-CN"/>
        </w:rPr>
        <w:t>（3）</w:t>
      </w:r>
      <w:r>
        <w:rPr>
          <w:rFonts w:hint="eastAsia" w:ascii="宋体" w:hAnsi="宋体" w:eastAsia="宋体"/>
          <w:color w:val="auto"/>
          <w:sz w:val="24"/>
          <w:szCs w:val="24"/>
          <w:highlight w:val="none"/>
          <w:u w:val="none"/>
          <w:lang w:val="en-US" w:eastAsia="zh-CN"/>
        </w:rPr>
        <w:t>项目后评价</w:t>
      </w:r>
      <w:r>
        <w:rPr>
          <w:rFonts w:hint="eastAsia" w:ascii="宋体" w:hAnsi="宋体" w:eastAsia="宋体" w:cs="Times New Roman"/>
          <w:color w:val="auto"/>
          <w:sz w:val="24"/>
          <w:szCs w:val="24"/>
          <w:highlight w:val="none"/>
          <w:u w:val="none"/>
          <w:lang w:val="en-US" w:eastAsia="zh-CN"/>
        </w:rPr>
        <w:t>，针对计划竣工的迁改项目进行专项评价，评价内容主要包括项目前期决策与实施效果评价、项目建设评价、经验教训及对策建议等内容；（4）新技术研究应用，具体根据项目特点针对迁改项目出资方运行安全、提高结算效率等进行新管理、新技术、新应用研究与测试等内容。原则上每个项目的设计评审、前期管理、项目后评价以及新技术研究应用工作均为独立开展。</w:t>
      </w:r>
    </w:p>
    <w:p>
      <w:pPr>
        <w:keepNext w:val="0"/>
        <w:keepLines w:val="0"/>
        <w:pageBreakBefore w:val="0"/>
        <w:shd w:val="clear" w:color="auto" w:fill="auto"/>
        <w:kinsoku/>
        <w:wordWrap/>
        <w:overflowPunct/>
        <w:topLinePunct w:val="0"/>
        <w:autoSpaceDE/>
        <w:autoSpaceDN/>
        <w:bidi w:val="0"/>
        <w:adjustRightInd/>
        <w:snapToGrid/>
        <w:spacing w:before="157" w:beforeLines="50" w:after="157" w:afterLines="50"/>
        <w:ind w:firstLine="480" w:firstLineChars="200"/>
        <w:textAlignment w:val="auto"/>
        <w:rPr>
          <w:rFonts w:hint="default" w:ascii="宋体" w:hAnsi="宋体"/>
          <w:color w:val="auto"/>
          <w:sz w:val="24"/>
          <w:szCs w:val="24"/>
          <w:highlight w:val="none"/>
          <w:u w:val="none"/>
          <w:lang w:val="en-US" w:eastAsia="zh-CN"/>
        </w:rPr>
      </w:pPr>
      <w:r>
        <w:rPr>
          <w:rFonts w:hint="eastAsia" w:ascii="宋体" w:hAnsi="宋体"/>
          <w:color w:val="auto"/>
          <w:sz w:val="24"/>
          <w:szCs w:val="24"/>
          <w:highlight w:val="none"/>
          <w:u w:val="none"/>
          <w:lang w:val="en-US" w:eastAsia="zh-CN"/>
        </w:rPr>
        <w:t>标的2主要开展的工作阶段为迁改项目立项后的实施阶段，直到项目投产为止，为输变电设施迁改工作（不含电缆隧道土建部分）提供项目实施阶段的全过程咨询管理（不含造价咨询）、协助及支持，包括但不限于协助补偿协议谈判、协商、签订，协助确定输变电设施迁改实施方案，协助输变电设施迁改项目的进度节点管控、质量、安全等管理工作，协助输变电设施迁改项目施工现场的安全巡查、质量监督、落实承包商奖惩扣分等措施，协助监控输变电设施迁改项目实施阶段全过程指标管控等。</w:t>
      </w:r>
    </w:p>
    <w:p>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187"/>
        <w:gridCol w:w="3086"/>
        <w:gridCol w:w="1500"/>
        <w:gridCol w:w="1294"/>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8"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序号</w:t>
            </w:r>
          </w:p>
        </w:tc>
        <w:tc>
          <w:tcPr>
            <w:tcW w:w="218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标的名称</w:t>
            </w:r>
          </w:p>
        </w:tc>
        <w:tc>
          <w:tcPr>
            <w:tcW w:w="3086"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default" w:eastAsia="宋体"/>
                <w:highlight w:val="none"/>
                <w:vertAlign w:val="baseline"/>
                <w:lang w:val="en-US" w:eastAsia="zh-CN"/>
              </w:rPr>
            </w:pPr>
            <w:r>
              <w:rPr>
                <w:rFonts w:hint="eastAsia"/>
                <w:highlight w:val="none"/>
                <w:vertAlign w:val="baseline"/>
                <w:lang w:val="en-US" w:eastAsia="zh-CN"/>
              </w:rPr>
              <w:t>标包</w:t>
            </w:r>
            <w:r>
              <w:rPr>
                <w:rFonts w:hint="eastAsia" w:eastAsia="宋体"/>
                <w:highlight w:val="none"/>
                <w:vertAlign w:val="baseline"/>
                <w:lang w:val="en-US" w:eastAsia="zh-CN"/>
              </w:rPr>
              <w:t>名称</w:t>
            </w:r>
          </w:p>
        </w:tc>
        <w:tc>
          <w:tcPr>
            <w:tcW w:w="150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预计采购金额（元）</w:t>
            </w:r>
          </w:p>
        </w:tc>
        <w:tc>
          <w:tcPr>
            <w:tcW w:w="129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投标下浮率</w:t>
            </w:r>
          </w:p>
        </w:tc>
        <w:tc>
          <w:tcPr>
            <w:tcW w:w="125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w:t>
            </w:r>
          </w:p>
        </w:tc>
        <w:tc>
          <w:tcPr>
            <w:tcW w:w="218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标的1：</w:t>
            </w:r>
            <w:r>
              <w:rPr>
                <w:rFonts w:hint="eastAsia" w:ascii="宋体" w:hAnsi="宋体" w:eastAsia="宋体" w:cs="宋体"/>
                <w:b w:val="0"/>
                <w:bCs w:val="0"/>
                <w:color w:val="000000"/>
                <w:sz w:val="21"/>
                <w:szCs w:val="21"/>
                <w:highlight w:val="none"/>
                <w:u w:val="none"/>
                <w:lang w:val="en-US" w:eastAsia="zh-CN"/>
              </w:rPr>
              <w:t>广州供电局2026-2027年输变电迁改工程设计评审及技术咨询服务</w:t>
            </w:r>
          </w:p>
        </w:tc>
        <w:tc>
          <w:tcPr>
            <w:tcW w:w="3086"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ascii="宋体" w:hAnsi="宋体" w:eastAsia="宋体" w:cs="宋体"/>
                <w:b w:val="0"/>
                <w:bCs w:val="0"/>
                <w:color w:val="000000"/>
                <w:sz w:val="21"/>
                <w:szCs w:val="21"/>
                <w:highlight w:val="none"/>
                <w:u w:val="none"/>
                <w:lang w:val="en-US" w:eastAsia="zh-CN"/>
              </w:rPr>
              <w:t>广州供电局2026-2027年输变电迁改工程设计评审及技术咨询服务</w:t>
            </w:r>
          </w:p>
        </w:tc>
        <w:tc>
          <w:tcPr>
            <w:tcW w:w="150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72000000</w:t>
            </w:r>
          </w:p>
        </w:tc>
        <w:tc>
          <w:tcPr>
            <w:tcW w:w="129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25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bl>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187"/>
        <w:gridCol w:w="3086"/>
        <w:gridCol w:w="1500"/>
        <w:gridCol w:w="1294"/>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序号</w:t>
            </w:r>
          </w:p>
        </w:tc>
        <w:tc>
          <w:tcPr>
            <w:tcW w:w="218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标的名称</w:t>
            </w:r>
          </w:p>
        </w:tc>
        <w:tc>
          <w:tcPr>
            <w:tcW w:w="3086"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default" w:eastAsia="宋体"/>
                <w:highlight w:val="none"/>
                <w:vertAlign w:val="baseline"/>
                <w:lang w:val="en-US" w:eastAsia="zh-CN"/>
              </w:rPr>
            </w:pPr>
            <w:r>
              <w:rPr>
                <w:rFonts w:hint="eastAsia"/>
                <w:highlight w:val="none"/>
                <w:vertAlign w:val="baseline"/>
                <w:lang w:val="en-US" w:eastAsia="zh-CN"/>
              </w:rPr>
              <w:t>标包</w:t>
            </w:r>
            <w:r>
              <w:rPr>
                <w:rFonts w:hint="eastAsia" w:eastAsia="宋体"/>
                <w:highlight w:val="none"/>
                <w:vertAlign w:val="baseline"/>
                <w:lang w:val="en-US" w:eastAsia="zh-CN"/>
              </w:rPr>
              <w:t>名称</w:t>
            </w:r>
          </w:p>
        </w:tc>
        <w:tc>
          <w:tcPr>
            <w:tcW w:w="150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预计采购金额（元）</w:t>
            </w:r>
          </w:p>
        </w:tc>
        <w:tc>
          <w:tcPr>
            <w:tcW w:w="129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投标下浮率</w:t>
            </w:r>
          </w:p>
        </w:tc>
        <w:tc>
          <w:tcPr>
            <w:tcW w:w="125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w:t>
            </w:r>
          </w:p>
        </w:tc>
        <w:tc>
          <w:tcPr>
            <w:tcW w:w="2187" w:type="dxa"/>
            <w:vMerge w:val="restart"/>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r>
              <w:rPr>
                <w:rFonts w:hint="eastAsia" w:eastAsia="宋体"/>
                <w:highlight w:val="none"/>
                <w:vertAlign w:val="baseline"/>
                <w:lang w:val="en-US" w:eastAsia="zh-CN"/>
              </w:rPr>
              <w:t>标的2：广州供电局</w:t>
            </w:r>
            <w:r>
              <w:rPr>
                <w:rFonts w:hint="eastAsia"/>
                <w:highlight w:val="none"/>
                <w:vertAlign w:val="baseline"/>
                <w:lang w:val="en-US" w:eastAsia="zh-CN"/>
              </w:rPr>
              <w:t>2027-2027</w:t>
            </w:r>
            <w:r>
              <w:rPr>
                <w:rFonts w:hint="eastAsia" w:eastAsia="宋体"/>
                <w:highlight w:val="none"/>
                <w:vertAlign w:val="baseline"/>
                <w:lang w:val="en-US" w:eastAsia="zh-CN"/>
              </w:rPr>
              <w:t>年输变电迁改工程管理咨询服务</w:t>
            </w:r>
          </w:p>
        </w:tc>
        <w:tc>
          <w:tcPr>
            <w:tcW w:w="3086"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eastAsia="宋体"/>
                <w:highlight w:val="none"/>
                <w:vertAlign w:val="baseline"/>
                <w:lang w:val="en-US" w:eastAsia="zh-CN"/>
              </w:rPr>
              <w:t>广州供电局</w:t>
            </w:r>
            <w:r>
              <w:rPr>
                <w:rFonts w:hint="eastAsia"/>
                <w:highlight w:val="none"/>
                <w:vertAlign w:val="baseline"/>
                <w:lang w:val="en-US" w:eastAsia="zh-CN"/>
              </w:rPr>
              <w:t>2027-2027</w:t>
            </w:r>
            <w:r>
              <w:rPr>
                <w:rFonts w:hint="eastAsia" w:eastAsia="宋体"/>
                <w:highlight w:val="none"/>
                <w:vertAlign w:val="baseline"/>
                <w:lang w:val="en-US" w:eastAsia="zh-CN"/>
              </w:rPr>
              <w:t>年输变电迁改工程管理咨询服务</w:t>
            </w:r>
            <w:r>
              <w:rPr>
                <w:rFonts w:hint="eastAsia"/>
                <w:highlight w:val="none"/>
                <w:vertAlign w:val="baseline"/>
                <w:lang w:val="en-US" w:eastAsia="zh-CN"/>
              </w:rPr>
              <w:t>（标包1）</w:t>
            </w:r>
          </w:p>
        </w:tc>
        <w:tc>
          <w:tcPr>
            <w:tcW w:w="150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9000000</w:t>
            </w:r>
          </w:p>
        </w:tc>
        <w:tc>
          <w:tcPr>
            <w:tcW w:w="129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25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2</w:t>
            </w:r>
          </w:p>
        </w:tc>
        <w:tc>
          <w:tcPr>
            <w:tcW w:w="2187" w:type="dxa"/>
            <w:vMerge w:val="continue"/>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center"/>
              <w:rPr>
                <w:rFonts w:hint="eastAsia" w:eastAsia="宋体"/>
                <w:highlight w:val="none"/>
                <w:vertAlign w:val="baseline"/>
                <w:lang w:val="en-US" w:eastAsia="zh-CN"/>
              </w:rPr>
            </w:pPr>
          </w:p>
        </w:tc>
        <w:tc>
          <w:tcPr>
            <w:tcW w:w="3086"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eastAsia="宋体"/>
                <w:highlight w:val="none"/>
                <w:vertAlign w:val="baseline"/>
                <w:lang w:val="en-US" w:eastAsia="zh-CN"/>
              </w:rPr>
            </w:pPr>
            <w:r>
              <w:rPr>
                <w:rFonts w:hint="eastAsia"/>
                <w:highlight w:val="none"/>
                <w:vertAlign w:val="baseline"/>
                <w:lang w:val="en-US" w:eastAsia="zh-CN"/>
              </w:rPr>
              <w:t>广州供电局2026-2027年输变电迁改工程管理咨询服务（标包2）</w:t>
            </w:r>
          </w:p>
        </w:tc>
        <w:tc>
          <w:tcPr>
            <w:tcW w:w="1500"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highlight w:val="none"/>
                <w:vertAlign w:val="baseline"/>
                <w:lang w:val="en-US" w:eastAsia="zh-CN"/>
              </w:rPr>
            </w:pPr>
            <w:r>
              <w:rPr>
                <w:rFonts w:hint="eastAsia"/>
                <w:highlight w:val="none"/>
                <w:vertAlign w:val="baseline"/>
                <w:lang w:val="en-US" w:eastAsia="zh-CN"/>
              </w:rPr>
              <w:t>14400000</w:t>
            </w:r>
          </w:p>
        </w:tc>
        <w:tc>
          <w:tcPr>
            <w:tcW w:w="1294"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u w:val="single"/>
                <w:vertAlign w:val="baseline"/>
                <w:lang w:val="en-US" w:eastAsia="zh-CN"/>
              </w:rPr>
            </w:pPr>
            <w:r>
              <w:rPr>
                <w:rFonts w:hint="eastAsia"/>
                <w:highlight w:val="none"/>
                <w:u w:val="single"/>
                <w:vertAlign w:val="baseline"/>
                <w:lang w:val="en-US" w:eastAsia="zh-CN"/>
              </w:rPr>
              <w:t xml:space="preserve">  </w:t>
            </w:r>
            <w:r>
              <w:rPr>
                <w:rFonts w:hint="eastAsia"/>
                <w:highlight w:val="none"/>
                <w:vertAlign w:val="baseline"/>
                <w:lang w:val="en-US" w:eastAsia="zh-CN"/>
              </w:rPr>
              <w:t>%</w:t>
            </w:r>
          </w:p>
        </w:tc>
        <w:tc>
          <w:tcPr>
            <w:tcW w:w="1257" w:type="dxa"/>
            <w:vAlign w:val="center"/>
          </w:tcPr>
          <w:p>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highlight w:val="none"/>
                <w:vertAlign w:val="baseline"/>
                <w:lang w:val="en-US" w:eastAsia="zh-CN"/>
              </w:rPr>
            </w:pPr>
          </w:p>
        </w:tc>
      </w:tr>
    </w:tbl>
    <w:p>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b w:val="0"/>
          <w:bCs/>
          <w:i w:val="0"/>
          <w:iCs/>
          <w:color w:val="auto"/>
          <w:kern w:val="2"/>
          <w:sz w:val="24"/>
          <w:szCs w:val="24"/>
          <w:highlight w:val="none"/>
          <w:u w:val="none"/>
          <w:lang w:val="en-US" w:eastAsia="zh-CN" w:bidi="ar-SA"/>
        </w:rPr>
      </w:pPr>
      <w:r>
        <w:rPr>
          <w:rFonts w:hint="default" w:ascii="宋体" w:hAnsi="宋体" w:eastAsia="宋体" w:cs="宋体"/>
          <w:b w:val="0"/>
          <w:bCs/>
          <w:i w:val="0"/>
          <w:iCs/>
          <w:color w:val="auto"/>
          <w:kern w:val="2"/>
          <w:sz w:val="24"/>
          <w:szCs w:val="24"/>
          <w:highlight w:val="none"/>
          <w:u w:val="none"/>
          <w:lang w:val="en-US" w:eastAsia="zh-CN" w:bidi="ar-SA"/>
        </w:rPr>
        <w:t>（1）按下浮率报价（保留两位小数，如8.88%），同时填报投标报价（投标报价=预计采购金额*（1-投标下浮率），四舍五入保留两位小数）。当投标报价与投标下浮率计算结果不一致时，以投标下浮率为准，按上述公式修订投标报价，如单项报价与投标下浮率不对应的也需按投标下浮率修正单项报价。</w:t>
      </w:r>
    </w:p>
    <w:p>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b w:val="0"/>
          <w:bCs/>
          <w:i w:val="0"/>
          <w:iCs/>
          <w:color w:val="auto"/>
          <w:kern w:val="2"/>
          <w:sz w:val="24"/>
          <w:szCs w:val="24"/>
          <w:highlight w:val="none"/>
          <w:u w:val="none"/>
          <w:lang w:val="en-US" w:eastAsia="zh-CN" w:bidi="ar-SA"/>
        </w:rPr>
      </w:pPr>
      <w:r>
        <w:rPr>
          <w:rFonts w:hint="default" w:ascii="宋体" w:hAnsi="宋体" w:eastAsia="宋体" w:cs="宋体"/>
          <w:b w:val="0"/>
          <w:bCs/>
          <w:i w:val="0"/>
          <w:iCs/>
          <w:color w:val="auto"/>
          <w:kern w:val="2"/>
          <w:sz w:val="24"/>
          <w:szCs w:val="24"/>
          <w:highlight w:val="none"/>
          <w:u w:val="none"/>
          <w:lang w:val="en-US" w:eastAsia="zh-CN" w:bidi="ar-SA"/>
        </w:rPr>
        <w:t>（2）投标下浮率不低于0%为有效报价；当投标下浮率＞15%时应附成本分析报告，充分说明单价和费用的组成、降低成本的合理措施及在其他工程中应用过的经验等，经评审通过后方可视为有效报价。</w:t>
      </w:r>
    </w:p>
    <w:p>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b w:val="0"/>
          <w:bCs/>
          <w:i w:val="0"/>
          <w:iCs/>
          <w:color w:val="auto"/>
          <w:kern w:val="2"/>
          <w:sz w:val="24"/>
          <w:szCs w:val="24"/>
          <w:highlight w:val="none"/>
          <w:u w:val="none"/>
          <w:lang w:val="en-US" w:eastAsia="zh-CN" w:bidi="ar-SA"/>
        </w:rPr>
      </w:pPr>
      <w:r>
        <w:rPr>
          <w:rFonts w:hint="default" w:ascii="宋体" w:hAnsi="宋体" w:eastAsia="宋体" w:cs="宋体"/>
          <w:b w:val="0"/>
          <w:bCs/>
          <w:i w:val="0"/>
          <w:iCs/>
          <w:color w:val="auto"/>
          <w:kern w:val="2"/>
          <w:sz w:val="24"/>
          <w:szCs w:val="24"/>
          <w:highlight w:val="none"/>
          <w:u w:val="none"/>
          <w:lang w:val="en-US" w:eastAsia="zh-CN" w:bidi="ar-SA"/>
        </w:rPr>
        <w:t>（3）价格分计算时，投标人评标价按（100-投标人填写的下浮数值）参与计算。如：下浮率为1.88％时，评标价按（100-1.88）参与计算。</w:t>
      </w:r>
    </w:p>
    <w:p>
      <w:pPr>
        <w:rPr>
          <w:rFonts w:hint="eastAsia"/>
          <w:highlight w:val="none"/>
          <w:lang w:val="en-US" w:eastAsia="zh-CN"/>
        </w:rPr>
      </w:pPr>
    </w:p>
    <w:p>
      <w:pPr>
        <w:pStyle w:val="2"/>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结算时</w:t>
      </w: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按照</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中标结果、依据审定工作量及合同结算条款进行结算。</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（一）</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标的1：原则上每个项目的设计评审、前期管理、项目后评价、新技术应用工作均为独立开展，每项工作均依据在合同有效服务期内出具的委托书开展，招标人与中标人根据实际委托书及各项工作的结算方式开展项目结算。具体结算费用标准如下：</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1.设计评审费=审定的文件评审费；</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2.前期管理费=基本设计费*5%；</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3.项目后评价费=审定的项目后评价费；</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4.新技术应用结算费用，按相关行业标准计算，具体以第三方造价咨询单位审核为准。</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结算时按照【∑已开展工作对应的结算费用*（1-下浮率）】进行结算。</w:t>
      </w:r>
    </w:p>
    <w:p>
      <w:pPr>
        <w:pStyle w:val="2"/>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default"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（二）</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标的2：</w:t>
      </w: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每个迁改工程单独结算，结算费用为：该迁改工程项目管理经费</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w:t>
      </w: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20%</w:t>
      </w:r>
      <w:r>
        <w:rPr>
          <w:rFonts w:hint="eastAsia" w:ascii="宋体" w:hAnsi="宋体" w:eastAsia="宋体" w:cs="宋体"/>
          <w:b w:val="0"/>
          <w:i w:val="0"/>
          <w:strike w:val="0"/>
          <w:dstrike w:val="0"/>
          <w:color w:val="000000" w:themeColor="text1"/>
          <w:kern w:val="2"/>
          <w:sz w:val="24"/>
          <w:szCs w:val="24"/>
          <w:highlight w:val="none"/>
          <w:lang w:val="en-US" w:eastAsia="zh-CN" w:bidi="ar-SA"/>
          <w14:textFill>
            <w14:solidFill>
              <w14:schemeClr w14:val="tx1"/>
            </w14:solidFill>
          </w14:textFill>
        </w:rPr>
        <w:t>*（1-下浮率）</w:t>
      </w:r>
      <w:r>
        <w:rPr>
          <w:rFonts w:hint="eastAsia" w:ascii="宋体" w:hAnsi="宋体" w:cs="宋体"/>
          <w:b w:val="0"/>
          <w:i w:val="0"/>
          <w:strike w:val="0"/>
          <w:dstrike w:val="0"/>
          <w:color w:val="000000" w:themeColor="text1"/>
          <w:kern w:val="2"/>
          <w:sz w:val="24"/>
          <w:szCs w:val="24"/>
          <w:highlight w:val="none"/>
          <w:lang w:val="en-US" w:eastAsia="zh-CN" w:bidi="ar-SA"/>
          <w14:textFill>
            <w14:solidFill>
              <w14:schemeClr w14:val="tx1"/>
            </w14:solidFill>
          </w14:textFill>
        </w:rPr>
        <w:t>。该结算费用分两阶段支付，项目投产时支付50%，外结审定后支付剩余50%。</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pPr>
        <w:rPr>
          <w:rFonts w:hint="eastAsia" w:ascii="宋体" w:hAnsi="宋体" w:eastAsia="宋体" w:cs="宋体"/>
          <w:color w:val="auto"/>
          <w:kern w:val="2"/>
          <w:sz w:val="24"/>
          <w:szCs w:val="24"/>
          <w:highlight w:val="none"/>
          <w:u w:val="single"/>
          <w:lang w:val="en-US" w:eastAsia="zh-CN" w:bidi="ar-SA"/>
        </w:rPr>
      </w:pPr>
    </w:p>
    <w:p>
      <w:pPr>
        <w:rPr>
          <w:rFonts w:hint="default"/>
          <w:highlight w:val="none"/>
          <w:lang w:val="en-US" w:eastAsia="zh-CN"/>
        </w:rPr>
      </w:pPr>
    </w:p>
    <w:p>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pPr>
        <w:pStyle w:val="9"/>
        <w:rPr>
          <w:rFonts w:hint="eastAsia" w:asciiTheme="minorEastAsia" w:hAnsiTheme="minorEastAsia" w:eastAsiaTheme="minorEastAsia" w:cstheme="minorEastAsia"/>
          <w:i w:val="0"/>
          <w:iCs/>
          <w:color w:val="auto"/>
          <w:sz w:val="24"/>
          <w:szCs w:val="24"/>
          <w:highlight w:val="none"/>
        </w:rPr>
      </w:pPr>
    </w:p>
    <w:p>
      <w:pPr>
        <w:pStyle w:val="2"/>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（一）满足中国南方电网有限责任公司基建管理制度、建设单位的质量、环境和职业健康安全管理体系文件、其他有关制度和规定。</w:t>
      </w:r>
    </w:p>
    <w:p>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pPr>
        <w:pStyle w:val="2"/>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pPr>
        <w:pStyle w:val="9"/>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pPr>
        <w:pStyle w:val="9"/>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pPr>
        <w:pStyle w:val="9"/>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pPr>
        <w:pStyle w:val="9"/>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无</w:t>
      </w:r>
      <w:r>
        <w:rPr>
          <w:rFonts w:hint="eastAsia"/>
          <w:color w:val="auto"/>
          <w:sz w:val="24"/>
          <w:szCs w:val="24"/>
          <w:highlight w:val="none"/>
        </w:rPr>
        <w:t>。</w:t>
      </w:r>
    </w:p>
    <w:p>
      <w:pPr>
        <w:pStyle w:val="2"/>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无。</w:t>
      </w:r>
    </w:p>
    <w:p>
      <w:pPr>
        <w:pStyle w:val="2"/>
        <w:rPr>
          <w:rFonts w:hint="eastAsia" w:asciiTheme="minorEastAsia" w:hAnsiTheme="minorEastAsia" w:eastAsiaTheme="minorEastAsia" w:cstheme="minorEastAsia"/>
          <w:color w:val="auto"/>
          <w:sz w:val="24"/>
          <w:szCs w:val="24"/>
          <w:highlight w:val="none"/>
          <w:lang w:val="en-US" w:eastAsia="zh-CN"/>
        </w:rPr>
      </w:pPr>
    </w:p>
    <w:p>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p>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134" w:right="1080" w:bottom="113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NzBiNDU4MTAzZjA4NjJjYzBiNDJjYzk3NmJmYWQifQ=="/>
  </w:docVars>
  <w:rsids>
    <w:rsidRoot w:val="24F737D8"/>
    <w:rsid w:val="001270A5"/>
    <w:rsid w:val="007A4AD7"/>
    <w:rsid w:val="01293E78"/>
    <w:rsid w:val="016D037B"/>
    <w:rsid w:val="04A24F71"/>
    <w:rsid w:val="04B73549"/>
    <w:rsid w:val="05817C07"/>
    <w:rsid w:val="075F78B6"/>
    <w:rsid w:val="076F3B3B"/>
    <w:rsid w:val="07CA37DF"/>
    <w:rsid w:val="07CE18DD"/>
    <w:rsid w:val="09285011"/>
    <w:rsid w:val="0AFD4F98"/>
    <w:rsid w:val="0BC07002"/>
    <w:rsid w:val="0E2F4C02"/>
    <w:rsid w:val="0E3616E0"/>
    <w:rsid w:val="0F661E86"/>
    <w:rsid w:val="0F81532F"/>
    <w:rsid w:val="0F9C62AB"/>
    <w:rsid w:val="104014F1"/>
    <w:rsid w:val="107144D2"/>
    <w:rsid w:val="116419AD"/>
    <w:rsid w:val="11DF6CFE"/>
    <w:rsid w:val="13383335"/>
    <w:rsid w:val="14440D4B"/>
    <w:rsid w:val="147D2CD0"/>
    <w:rsid w:val="14B666F3"/>
    <w:rsid w:val="15056A61"/>
    <w:rsid w:val="16AD03B2"/>
    <w:rsid w:val="16DC5A3E"/>
    <w:rsid w:val="18E57496"/>
    <w:rsid w:val="190D56FF"/>
    <w:rsid w:val="1A386933"/>
    <w:rsid w:val="1A4F176B"/>
    <w:rsid w:val="1B663F82"/>
    <w:rsid w:val="1B9E25D7"/>
    <w:rsid w:val="1C2D4629"/>
    <w:rsid w:val="1C43636C"/>
    <w:rsid w:val="1D376F7C"/>
    <w:rsid w:val="1D904223"/>
    <w:rsid w:val="1DA059BE"/>
    <w:rsid w:val="1E537DB4"/>
    <w:rsid w:val="1EA175CA"/>
    <w:rsid w:val="1F4703E8"/>
    <w:rsid w:val="1F653C49"/>
    <w:rsid w:val="1FF914D4"/>
    <w:rsid w:val="20735046"/>
    <w:rsid w:val="216F4D5B"/>
    <w:rsid w:val="23A06953"/>
    <w:rsid w:val="23B738BA"/>
    <w:rsid w:val="23E427C1"/>
    <w:rsid w:val="24E67795"/>
    <w:rsid w:val="24F737D8"/>
    <w:rsid w:val="261A1293"/>
    <w:rsid w:val="26764C15"/>
    <w:rsid w:val="26A52617"/>
    <w:rsid w:val="27ED669D"/>
    <w:rsid w:val="28D3382E"/>
    <w:rsid w:val="297F00C5"/>
    <w:rsid w:val="29A25BFA"/>
    <w:rsid w:val="29B554FB"/>
    <w:rsid w:val="2A600AD6"/>
    <w:rsid w:val="2A9A1CF1"/>
    <w:rsid w:val="2BFB3E6A"/>
    <w:rsid w:val="2CA17C08"/>
    <w:rsid w:val="2D7711A5"/>
    <w:rsid w:val="2DDF66E3"/>
    <w:rsid w:val="2F08369E"/>
    <w:rsid w:val="2FC94E71"/>
    <w:rsid w:val="2FF65FF8"/>
    <w:rsid w:val="300D195C"/>
    <w:rsid w:val="30BF37B5"/>
    <w:rsid w:val="30ED33D6"/>
    <w:rsid w:val="31C955A9"/>
    <w:rsid w:val="3298366A"/>
    <w:rsid w:val="33B200AF"/>
    <w:rsid w:val="33E61BE2"/>
    <w:rsid w:val="34984755"/>
    <w:rsid w:val="35BF1FB9"/>
    <w:rsid w:val="361736AD"/>
    <w:rsid w:val="362F1373"/>
    <w:rsid w:val="364A40FF"/>
    <w:rsid w:val="36D200CF"/>
    <w:rsid w:val="379951F8"/>
    <w:rsid w:val="37995F86"/>
    <w:rsid w:val="38026645"/>
    <w:rsid w:val="38382DC3"/>
    <w:rsid w:val="38DE045C"/>
    <w:rsid w:val="398D7AFC"/>
    <w:rsid w:val="3BB11B52"/>
    <w:rsid w:val="3BF24D81"/>
    <w:rsid w:val="3BFE7BEA"/>
    <w:rsid w:val="3C4750A3"/>
    <w:rsid w:val="3C4A35F1"/>
    <w:rsid w:val="3CF10FB5"/>
    <w:rsid w:val="3DC52364"/>
    <w:rsid w:val="40FE13BB"/>
    <w:rsid w:val="416702DC"/>
    <w:rsid w:val="422D6DA0"/>
    <w:rsid w:val="424051B0"/>
    <w:rsid w:val="43F669B3"/>
    <w:rsid w:val="44982260"/>
    <w:rsid w:val="44D414C9"/>
    <w:rsid w:val="46472D5E"/>
    <w:rsid w:val="47AE036C"/>
    <w:rsid w:val="496A657E"/>
    <w:rsid w:val="49843C09"/>
    <w:rsid w:val="4B3A1BDA"/>
    <w:rsid w:val="4BF83760"/>
    <w:rsid w:val="4C8349B8"/>
    <w:rsid w:val="4D775A80"/>
    <w:rsid w:val="4DBF4E4B"/>
    <w:rsid w:val="510703FD"/>
    <w:rsid w:val="53530C24"/>
    <w:rsid w:val="54216091"/>
    <w:rsid w:val="55C3156A"/>
    <w:rsid w:val="5782183A"/>
    <w:rsid w:val="57BD355E"/>
    <w:rsid w:val="5B0320E2"/>
    <w:rsid w:val="5B8B11A7"/>
    <w:rsid w:val="5B9E2EC4"/>
    <w:rsid w:val="5BBC5C2A"/>
    <w:rsid w:val="5C057775"/>
    <w:rsid w:val="5DBB19FE"/>
    <w:rsid w:val="5EF2315D"/>
    <w:rsid w:val="60184133"/>
    <w:rsid w:val="608606DE"/>
    <w:rsid w:val="610E324A"/>
    <w:rsid w:val="61A819AA"/>
    <w:rsid w:val="61B87303"/>
    <w:rsid w:val="61F31EFD"/>
    <w:rsid w:val="63066BC7"/>
    <w:rsid w:val="63D0487B"/>
    <w:rsid w:val="64672037"/>
    <w:rsid w:val="64911DA0"/>
    <w:rsid w:val="65945D8D"/>
    <w:rsid w:val="66017FCB"/>
    <w:rsid w:val="6679092A"/>
    <w:rsid w:val="66C35559"/>
    <w:rsid w:val="673D548C"/>
    <w:rsid w:val="67D57489"/>
    <w:rsid w:val="68265523"/>
    <w:rsid w:val="68570F93"/>
    <w:rsid w:val="6A287B5E"/>
    <w:rsid w:val="6B303A1A"/>
    <w:rsid w:val="6B5C0EAC"/>
    <w:rsid w:val="6C7424B0"/>
    <w:rsid w:val="6DAA2FDF"/>
    <w:rsid w:val="6E0B0D16"/>
    <w:rsid w:val="6E121228"/>
    <w:rsid w:val="6E2717A7"/>
    <w:rsid w:val="6ECC1FBE"/>
    <w:rsid w:val="70D1495F"/>
    <w:rsid w:val="70ED510D"/>
    <w:rsid w:val="74695E39"/>
    <w:rsid w:val="752E3D92"/>
    <w:rsid w:val="754C6F3B"/>
    <w:rsid w:val="75B11AFF"/>
    <w:rsid w:val="75D32619"/>
    <w:rsid w:val="766F2031"/>
    <w:rsid w:val="77234D1D"/>
    <w:rsid w:val="780B6A75"/>
    <w:rsid w:val="789E258E"/>
    <w:rsid w:val="79F83E18"/>
    <w:rsid w:val="7C2606FC"/>
    <w:rsid w:val="7C8C7755"/>
    <w:rsid w:val="7D0F76D8"/>
    <w:rsid w:val="7D335CF6"/>
    <w:rsid w:val="7DE50BA6"/>
    <w:rsid w:val="7E246903"/>
    <w:rsid w:val="7E3420E0"/>
    <w:rsid w:val="7E5C0C5B"/>
    <w:rsid w:val="7F670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cp:lastPrinted>2024-01-11T06:29:00Z</cp:lastPrinted>
  <dcterms:modified xsi:type="dcterms:W3CDTF">2025-10-29T07:26:06Z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637AA81A38EE4AC9AC2331DF7A96B0A5</vt:lpwstr>
  </property>
</Properties>
</file>