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42"/>
        <w:adjustRightInd w:val="0"/>
        <w:snapToGrid w:val="0"/>
        <w:ind w:firstLine="0" w:firstLineChars="0"/>
        <w:rPr>
          <w:color w:val="auto"/>
          <w:highlight w:val="none"/>
        </w:rPr>
      </w:pPr>
    </w:p>
    <w:p>
      <w:pPr>
        <w:pStyle w:val="42"/>
        <w:adjustRightInd w:val="0"/>
        <w:snapToGrid w:val="0"/>
        <w:ind w:firstLine="0" w:firstLineChars="0"/>
        <w:rPr>
          <w:color w:val="auto"/>
          <w:highlight w:val="none"/>
        </w:rPr>
      </w:pPr>
    </w:p>
    <w:p>
      <w:pPr>
        <w:pStyle w:val="42"/>
        <w:adjustRightInd w:val="0"/>
        <w:snapToGrid w:val="0"/>
        <w:ind w:firstLine="0" w:firstLineChars="0"/>
        <w:rPr>
          <w:color w:val="auto"/>
          <w:highlight w:val="none"/>
        </w:rPr>
      </w:pPr>
    </w:p>
    <w:p>
      <w:pPr>
        <w:pStyle w:val="42"/>
        <w:adjustRightInd w:val="0"/>
        <w:snapToGrid w:val="0"/>
        <w:ind w:firstLine="0" w:firstLineChars="0"/>
        <w:rPr>
          <w:color w:val="auto"/>
          <w:highlight w:val="none"/>
        </w:rPr>
      </w:pPr>
    </w:p>
    <w:p>
      <w:pPr>
        <w:pStyle w:val="42"/>
        <w:adjustRightInd w:val="0"/>
        <w:snapToGrid w:val="0"/>
        <w:ind w:firstLine="0" w:firstLineChars="0"/>
        <w:rPr>
          <w:color w:val="auto"/>
          <w:highlight w:val="none"/>
        </w:rPr>
      </w:pPr>
    </w:p>
    <w:p>
      <w:pPr>
        <w:autoSpaceDE w:val="0"/>
        <w:autoSpaceDN w:val="0"/>
        <w:adjustRightInd w:val="0"/>
        <w:spacing w:line="240" w:lineRule="auto"/>
        <w:ind w:firstLine="180" w:firstLineChars="0"/>
        <w:jc w:val="center"/>
        <w:rPr>
          <w:rFonts w:hint="eastAsia" w:ascii="黑体" w:hAnsi="黑体" w:eastAsia="黑体" w:cs="黑体"/>
          <w:b/>
          <w:color w:val="auto"/>
          <w:kern w:val="0"/>
          <w:sz w:val="48"/>
          <w:szCs w:val="48"/>
          <w:highlight w:val="none"/>
        </w:rPr>
      </w:pPr>
      <w:r>
        <w:rPr>
          <w:rFonts w:hint="eastAsia" w:ascii="黑体" w:hAnsi="黑体" w:eastAsia="黑体" w:cs="黑体"/>
          <w:color w:val="auto"/>
          <w:sz w:val="48"/>
          <w:szCs w:val="48"/>
        </w:rPr>
        <w:t>海南电网产业投资有限责任公司一楼多媒体会议</w:t>
      </w:r>
      <w:r>
        <w:rPr>
          <w:rFonts w:hint="eastAsia" w:ascii="黑体" w:hAnsi="黑体" w:eastAsia="黑体" w:cs="黑体"/>
          <w:color w:val="auto"/>
          <w:sz w:val="48"/>
          <w:szCs w:val="48"/>
          <w:lang w:eastAsia="zh-CN"/>
        </w:rPr>
        <w:t>音响</w:t>
      </w:r>
      <w:r>
        <w:rPr>
          <w:rFonts w:hint="eastAsia" w:ascii="黑体" w:hAnsi="黑体" w:eastAsia="黑体" w:cs="黑体"/>
          <w:color w:val="auto"/>
          <w:sz w:val="48"/>
          <w:szCs w:val="48"/>
        </w:rPr>
        <w:t>设备零星采购项目技术规范书</w:t>
      </w:r>
      <w:r>
        <w:rPr>
          <w:rFonts w:hint="eastAsia" w:ascii="黑体" w:hAnsi="黑体" w:eastAsia="黑体" w:cs="黑体"/>
          <w:b/>
          <w:color w:val="auto"/>
          <w:kern w:val="0"/>
          <w:sz w:val="48"/>
          <w:szCs w:val="48"/>
          <w:highlight w:val="none"/>
        </w:rPr>
        <w:t xml:space="preserve"> </w:t>
      </w:r>
    </w:p>
    <w:p>
      <w:pPr>
        <w:pStyle w:val="42"/>
        <w:adjustRightInd w:val="0"/>
        <w:snapToGrid w:val="0"/>
        <w:ind w:firstLine="0" w:firstLineChars="0"/>
        <w:rPr>
          <w:color w:val="auto"/>
          <w:highlight w:val="none"/>
        </w:rPr>
      </w:pPr>
    </w:p>
    <w:p>
      <w:pPr>
        <w:pStyle w:val="42"/>
        <w:adjustRightInd w:val="0"/>
        <w:snapToGrid w:val="0"/>
        <w:ind w:firstLine="0" w:firstLineChars="0"/>
        <w:rPr>
          <w:color w:val="auto"/>
          <w:highlight w:val="none"/>
        </w:rPr>
      </w:pPr>
    </w:p>
    <w:p>
      <w:pPr>
        <w:pStyle w:val="42"/>
        <w:adjustRightInd w:val="0"/>
        <w:snapToGrid w:val="0"/>
        <w:ind w:firstLine="0" w:firstLineChars="0"/>
        <w:rPr>
          <w:color w:val="auto"/>
          <w:highlight w:val="none"/>
        </w:rPr>
      </w:pPr>
    </w:p>
    <w:p>
      <w:pPr>
        <w:pStyle w:val="42"/>
        <w:adjustRightInd w:val="0"/>
        <w:snapToGrid w:val="0"/>
        <w:ind w:firstLine="0" w:firstLineChars="0"/>
        <w:rPr>
          <w:color w:val="auto"/>
          <w:highlight w:val="none"/>
        </w:rPr>
      </w:pPr>
    </w:p>
    <w:p>
      <w:pPr>
        <w:pStyle w:val="42"/>
        <w:adjustRightInd w:val="0"/>
        <w:snapToGrid w:val="0"/>
        <w:ind w:firstLine="0" w:firstLineChars="0"/>
        <w:rPr>
          <w:color w:val="auto"/>
          <w:highlight w:val="none"/>
        </w:rPr>
      </w:pPr>
    </w:p>
    <w:p>
      <w:pPr>
        <w:pStyle w:val="42"/>
        <w:adjustRightInd w:val="0"/>
        <w:snapToGrid w:val="0"/>
        <w:ind w:firstLine="0" w:firstLineChars="0"/>
        <w:rPr>
          <w:color w:val="auto"/>
          <w:highlight w:val="none"/>
        </w:rPr>
      </w:pPr>
    </w:p>
    <w:p>
      <w:pPr>
        <w:pStyle w:val="42"/>
        <w:adjustRightInd w:val="0"/>
        <w:snapToGrid w:val="0"/>
        <w:ind w:firstLine="0" w:firstLineChars="0"/>
        <w:rPr>
          <w:color w:val="auto"/>
          <w:highlight w:val="none"/>
        </w:rPr>
      </w:pPr>
    </w:p>
    <w:p>
      <w:pPr>
        <w:pStyle w:val="42"/>
        <w:adjustRightInd w:val="0"/>
        <w:snapToGrid w:val="0"/>
        <w:ind w:firstLine="0" w:firstLineChars="0"/>
        <w:rPr>
          <w:color w:val="auto"/>
          <w:highlight w:val="none"/>
        </w:rPr>
      </w:pPr>
    </w:p>
    <w:p>
      <w:pPr>
        <w:pStyle w:val="42"/>
        <w:adjustRightInd w:val="0"/>
        <w:snapToGrid w:val="0"/>
        <w:ind w:firstLine="0" w:firstLineChars="0"/>
        <w:rPr>
          <w:color w:val="auto"/>
          <w:highlight w:val="none"/>
        </w:rPr>
      </w:pPr>
    </w:p>
    <w:p>
      <w:pPr>
        <w:pStyle w:val="42"/>
        <w:adjustRightInd w:val="0"/>
        <w:snapToGrid w:val="0"/>
        <w:ind w:firstLine="0" w:firstLineChars="0"/>
        <w:rPr>
          <w:color w:val="auto"/>
          <w:highlight w:val="none"/>
        </w:rPr>
      </w:pPr>
    </w:p>
    <w:p>
      <w:pPr>
        <w:pStyle w:val="42"/>
        <w:adjustRightInd w:val="0"/>
        <w:snapToGrid w:val="0"/>
        <w:ind w:firstLine="0" w:firstLineChars="0"/>
        <w:rPr>
          <w:color w:val="auto"/>
          <w:highlight w:val="none"/>
        </w:rPr>
      </w:pPr>
    </w:p>
    <w:p>
      <w:pPr>
        <w:pStyle w:val="42"/>
        <w:adjustRightInd w:val="0"/>
        <w:snapToGrid w:val="0"/>
        <w:ind w:firstLine="0" w:firstLineChars="0"/>
        <w:rPr>
          <w:color w:val="auto"/>
          <w:highlight w:val="none"/>
        </w:rPr>
      </w:pPr>
    </w:p>
    <w:p>
      <w:pPr>
        <w:pStyle w:val="42"/>
        <w:adjustRightInd w:val="0"/>
        <w:snapToGrid w:val="0"/>
        <w:ind w:firstLine="0" w:firstLineChars="0"/>
        <w:rPr>
          <w:color w:val="auto"/>
          <w:highlight w:val="none"/>
        </w:rPr>
      </w:pPr>
    </w:p>
    <w:p>
      <w:pPr>
        <w:pStyle w:val="100"/>
        <w:spacing w:line="360" w:lineRule="auto"/>
        <w:ind w:firstLine="0" w:firstLineChars="0"/>
        <w:rPr>
          <w:color w:val="auto"/>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18" w:right="1134" w:bottom="1418" w:left="1588" w:header="779" w:footer="992" w:gutter="0"/>
          <w:cols w:space="720" w:num="1"/>
          <w:docGrid w:type="lines" w:linePitch="312" w:charSpace="0"/>
        </w:sectPr>
      </w:pPr>
      <w:r>
        <w:rPr>
          <w:rFonts w:hint="eastAsia"/>
          <w:color w:val="auto"/>
          <w:highlight w:val="none"/>
        </w:rPr>
        <w:t>202</w:t>
      </w:r>
      <w:r>
        <w:rPr>
          <w:rFonts w:hint="eastAsia"/>
          <w:color w:val="auto"/>
          <w:highlight w:val="none"/>
          <w:lang w:val="en-US" w:eastAsia="zh-CN"/>
        </w:rPr>
        <w:t>5</w:t>
      </w:r>
      <w:r>
        <w:rPr>
          <w:rFonts w:hint="eastAsia"/>
          <w:color w:val="auto"/>
          <w:highlight w:val="none"/>
        </w:rPr>
        <w:t>年</w:t>
      </w:r>
      <w:r>
        <w:rPr>
          <w:rFonts w:hint="eastAsia"/>
          <w:color w:val="auto"/>
          <w:highlight w:val="none"/>
          <w:lang w:val="en-US" w:eastAsia="zh-CN"/>
        </w:rPr>
        <w:t>12</w:t>
      </w:r>
      <w:r>
        <w:rPr>
          <w:rFonts w:hint="eastAsia"/>
          <w:color w:val="auto"/>
          <w:highlight w:val="none"/>
        </w:rPr>
        <w:t>月</w:t>
      </w:r>
    </w:p>
    <w:p>
      <w:pPr>
        <w:pStyle w:val="3"/>
        <w:tabs>
          <w:tab w:val="left" w:pos="142"/>
          <w:tab w:val="clear" w:pos="432"/>
        </w:tabs>
        <w:spacing w:before="156" w:after="156" w:line="600" w:lineRule="exact"/>
        <w:ind w:left="142"/>
        <w:rPr>
          <w:color w:val="auto"/>
          <w:highlight w:val="none"/>
        </w:rPr>
      </w:pPr>
      <w:bookmarkStart w:id="0" w:name="_Toc8876"/>
      <w:bookmarkStart w:id="1" w:name="_Toc15516"/>
      <w:bookmarkStart w:id="2" w:name="_Toc523850196"/>
      <w:bookmarkStart w:id="3" w:name="_Toc124406412"/>
      <w:bookmarkStart w:id="4" w:name="_Toc6793"/>
      <w:bookmarkStart w:id="5" w:name="_Ref191806497"/>
      <w:bookmarkStart w:id="6" w:name="_Toc407415869"/>
      <w:bookmarkStart w:id="7" w:name="_Toc407982391"/>
      <w:bookmarkStart w:id="8" w:name="_Toc407417356"/>
      <w:bookmarkStart w:id="9" w:name="_Toc411267585"/>
      <w:bookmarkStart w:id="10" w:name="_Toc411269790"/>
      <w:bookmarkStart w:id="11" w:name="_Toc407417357"/>
      <w:bookmarkStart w:id="12" w:name="_Toc407415870"/>
      <w:bookmarkStart w:id="13" w:name="_Toc407982392"/>
      <w:bookmarkStart w:id="14" w:name="_Toc411269791"/>
      <w:bookmarkStart w:id="15" w:name="_Toc411267586"/>
      <w:r>
        <w:rPr>
          <w:rFonts w:hint="eastAsia"/>
          <w:color w:val="auto"/>
          <w:highlight w:val="none"/>
        </w:rPr>
        <w:t>总则</w:t>
      </w:r>
      <w:bookmarkEnd w:id="0"/>
      <w:bookmarkEnd w:id="1"/>
      <w:bookmarkEnd w:id="2"/>
      <w:bookmarkEnd w:id="3"/>
      <w:bookmarkEnd w:id="4"/>
      <w:bookmarkEnd w:id="5"/>
    </w:p>
    <w:p>
      <w:pPr>
        <w:pStyle w:val="4"/>
        <w:spacing w:before="156" w:after="156" w:line="600" w:lineRule="exact"/>
        <w:ind w:left="578" w:hanging="578"/>
        <w:rPr>
          <w:color w:val="auto"/>
          <w:highlight w:val="none"/>
        </w:rPr>
      </w:pPr>
      <w:bookmarkStart w:id="16" w:name="_Toc10091"/>
      <w:bookmarkStart w:id="17" w:name="_Toc124406413"/>
      <w:bookmarkStart w:id="18" w:name="_Toc28419"/>
      <w:bookmarkStart w:id="19" w:name="_Toc25438"/>
      <w:bookmarkStart w:id="20" w:name="_Toc523850197"/>
      <w:r>
        <w:rPr>
          <w:rFonts w:hint="eastAsia"/>
          <w:color w:val="auto"/>
          <w:highlight w:val="none"/>
        </w:rPr>
        <w:t>项目建设范围</w:t>
      </w:r>
      <w:bookmarkEnd w:id="16"/>
      <w:bookmarkEnd w:id="17"/>
      <w:bookmarkEnd w:id="18"/>
      <w:bookmarkEnd w:id="19"/>
      <w:bookmarkEnd w:id="20"/>
    </w:p>
    <w:p>
      <w:pPr>
        <w:pStyle w:val="89"/>
        <w:spacing w:line="360" w:lineRule="auto"/>
        <w:ind w:left="0" w:leftChars="0" w:firstLine="0" w:firstLineChars="0"/>
        <w:rPr>
          <w:rFonts w:hint="eastAsia" w:eastAsia="宋体"/>
          <w:color w:val="auto"/>
          <w:highlight w:val="none"/>
          <w:lang w:eastAsia="zh-CN"/>
        </w:rPr>
      </w:pPr>
      <w:r>
        <w:rPr>
          <w:rFonts w:hint="eastAsia"/>
          <w:color w:val="auto"/>
          <w:highlight w:val="none"/>
          <w:lang w:val="en-US" w:eastAsia="zh-CN"/>
        </w:rPr>
        <w:t>本次采购</w:t>
      </w:r>
      <w:r>
        <w:rPr>
          <w:rFonts w:hint="eastAsia"/>
          <w:color w:val="auto"/>
          <w:highlight w:val="none"/>
        </w:rPr>
        <w:t>范围包括海南电网产业投资有限责任公司一楼大厅多媒体会议</w:t>
      </w:r>
      <w:r>
        <w:rPr>
          <w:rFonts w:hint="eastAsia"/>
          <w:color w:val="auto"/>
          <w:highlight w:val="none"/>
          <w:lang w:eastAsia="zh-CN"/>
        </w:rPr>
        <w:t>音响</w:t>
      </w:r>
      <w:r>
        <w:rPr>
          <w:rFonts w:hint="eastAsia"/>
          <w:color w:val="auto"/>
          <w:highlight w:val="none"/>
        </w:rPr>
        <w:t>设备采购</w:t>
      </w:r>
    </w:p>
    <w:p>
      <w:pPr>
        <w:pStyle w:val="87"/>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jc w:val="center"/>
        <w:textAlignment w:val="auto"/>
        <w:outlineLvl w:val="2"/>
        <w:rPr>
          <w:rFonts w:hint="default" w:ascii="Times New Roman" w:hAnsi="Times New Roman" w:eastAsia="宋体"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设备清单</w:t>
      </w:r>
    </w:p>
    <w:p>
      <w:pPr>
        <w:pStyle w:val="89"/>
        <w:spacing w:line="360" w:lineRule="auto"/>
        <w:ind w:firstLine="482"/>
        <w:rPr>
          <w:rFonts w:hint="eastAsia"/>
          <w:color w:val="auto"/>
          <w:highlight w:val="none"/>
        </w:rPr>
      </w:pPr>
    </w:p>
    <w:tbl>
      <w:tblPr>
        <w:tblStyle w:val="33"/>
        <w:tblW w:w="816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47"/>
        <w:gridCol w:w="4728"/>
        <w:gridCol w:w="1286"/>
        <w:gridCol w:w="12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bookmarkStart w:id="21" w:name="_Toc12700"/>
            <w:r>
              <w:rPr>
                <w:rFonts w:hint="eastAsia"/>
                <w:color w:val="auto"/>
                <w:lang w:val="en-US" w:eastAsia="zh-CN"/>
              </w:rPr>
              <w:t>序号</w:t>
            </w:r>
          </w:p>
        </w:tc>
        <w:tc>
          <w:tcPr>
            <w:tcW w:w="472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7"/>
              <w:bidi w:val="0"/>
              <w:jc w:val="center"/>
              <w:rPr>
                <w:rFonts w:hint="eastAsia"/>
                <w:color w:val="auto"/>
                <w:lang w:val="en-US" w:eastAsia="zh-CN"/>
              </w:rPr>
            </w:pPr>
            <w:r>
              <w:rPr>
                <w:rFonts w:hint="eastAsia"/>
                <w:color w:val="auto"/>
                <w:lang w:val="en-US" w:eastAsia="zh-CN"/>
              </w:rPr>
              <w:t>名称</w:t>
            </w: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单位</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1</w:t>
            </w:r>
          </w:p>
        </w:tc>
        <w:tc>
          <w:tcPr>
            <w:tcW w:w="4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16路电源时序器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（带RS232中控+滤波器）</w:t>
            </w: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台</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firstLine="480" w:firstLineChars="200"/>
              <w:jc w:val="both"/>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2</w:t>
            </w:r>
          </w:p>
        </w:tc>
        <w:tc>
          <w:tcPr>
            <w:tcW w:w="4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U段一拖四无线会议式话筒（可拆式 A-05长杆）</w:t>
            </w: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套</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firstLine="480" w:firstLineChars="200"/>
              <w:jc w:val="both"/>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3</w:t>
            </w:r>
          </w:p>
        </w:tc>
        <w:tc>
          <w:tcPr>
            <w:tcW w:w="4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真分集U段一拖二无线手持话筒</w:t>
            </w: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套</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firstLine="480" w:firstLineChars="200"/>
              <w:jc w:val="both"/>
              <w:textAlignment w:val="center"/>
              <w:rPr>
                <w:rFonts w:hint="eastAsia"/>
                <w:color w:val="auto"/>
                <w:lang w:val="en-US" w:eastAsia="zh-CN"/>
              </w:rPr>
            </w:pPr>
            <w:r>
              <w:rPr>
                <w:rFonts w:hint="eastAsia" w:ascii="宋体" w:hAnsi="宋体" w:cs="宋体"/>
                <w:i w:val="0"/>
                <w:iCs w:val="0"/>
                <w:color w:val="auto"/>
                <w:kern w:val="0"/>
                <w:sz w:val="24"/>
                <w:szCs w:val="24"/>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4</w:t>
            </w:r>
          </w:p>
        </w:tc>
        <w:tc>
          <w:tcPr>
            <w:tcW w:w="4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真分集U段一拖二无线腰包式话筒（可选头戴或领夹）</w:t>
            </w: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套</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firstLine="480" w:firstLineChars="200"/>
              <w:jc w:val="both"/>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5</w:t>
            </w:r>
          </w:p>
        </w:tc>
        <w:tc>
          <w:tcPr>
            <w:tcW w:w="4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数字防啸叫处理器</w:t>
            </w: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台</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firstLine="480" w:firstLineChars="200"/>
              <w:jc w:val="both"/>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6</w:t>
            </w:r>
          </w:p>
        </w:tc>
        <w:tc>
          <w:tcPr>
            <w:tcW w:w="4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调音台</w:t>
            </w: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台</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firstLine="480" w:firstLineChars="200"/>
              <w:jc w:val="both"/>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7</w:t>
            </w:r>
          </w:p>
        </w:tc>
        <w:tc>
          <w:tcPr>
            <w:tcW w:w="4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四进八出音频处理器（48k）</w:t>
            </w: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台</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firstLine="480" w:firstLineChars="200"/>
              <w:jc w:val="both"/>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8</w:t>
            </w:r>
          </w:p>
        </w:tc>
        <w:tc>
          <w:tcPr>
            <w:tcW w:w="4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1U双通道数字功放</w:t>
            </w: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台</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firstLine="480" w:firstLineChars="200"/>
              <w:jc w:val="both"/>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jc w:val="center"/>
              <w:rPr>
                <w:rFonts w:hint="eastAsia"/>
                <w:color w:val="auto"/>
                <w:lang w:val="en-US" w:eastAsia="zh-CN"/>
              </w:rPr>
            </w:pPr>
            <w:r>
              <w:rPr>
                <w:rFonts w:hint="eastAsia"/>
                <w:color w:val="auto"/>
                <w:lang w:val="en-US" w:eastAsia="zh-CN"/>
              </w:rPr>
              <w:t>9</w:t>
            </w:r>
          </w:p>
        </w:tc>
        <w:tc>
          <w:tcPr>
            <w:tcW w:w="4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单10寸全频专业音箱</w:t>
            </w: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只</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firstLine="480" w:firstLineChars="200"/>
              <w:jc w:val="both"/>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10</w:t>
            </w:r>
          </w:p>
        </w:tc>
        <w:tc>
          <w:tcPr>
            <w:tcW w:w="4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16U设备机柜</w:t>
            </w: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项</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firstLine="480" w:firstLineChars="200"/>
              <w:jc w:val="both"/>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11</w:t>
            </w:r>
          </w:p>
        </w:tc>
        <w:tc>
          <w:tcPr>
            <w:tcW w:w="4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人工费</w:t>
            </w: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项</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12</w:t>
            </w:r>
          </w:p>
        </w:tc>
        <w:tc>
          <w:tcPr>
            <w:tcW w:w="4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线材配件</w:t>
            </w: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项</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r>
    </w:tbl>
    <w:p>
      <w:pPr>
        <w:pStyle w:val="87"/>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jc w:val="center"/>
        <w:textAlignment w:val="auto"/>
        <w:outlineLvl w:val="2"/>
        <w:rPr>
          <w:rStyle w:val="90"/>
          <w:rFonts w:hint="eastAsia" w:ascii="宋体" w:hAnsi="宋体" w:eastAsia="宋体" w:cs="宋体"/>
          <w:color w:val="auto"/>
          <w:sz w:val="21"/>
          <w:szCs w:val="21"/>
        </w:rPr>
      </w:pPr>
    </w:p>
    <w:p>
      <w:pPr>
        <w:pStyle w:val="87"/>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jc w:val="center"/>
        <w:textAlignment w:val="auto"/>
        <w:outlineLvl w:val="2"/>
        <w:rPr>
          <w:rStyle w:val="90"/>
          <w:rFonts w:hint="eastAsia" w:ascii="宋体" w:hAnsi="宋体" w:eastAsia="宋体" w:cs="宋体"/>
          <w:color w:val="auto"/>
          <w:sz w:val="21"/>
          <w:szCs w:val="21"/>
        </w:rPr>
      </w:pPr>
    </w:p>
    <w:bookmarkEnd w:id="21"/>
    <w:p>
      <w:pPr>
        <w:pStyle w:val="4"/>
        <w:spacing w:before="156" w:after="156" w:line="600" w:lineRule="exact"/>
        <w:ind w:left="578" w:hanging="578"/>
        <w:rPr>
          <w:color w:val="auto"/>
          <w:highlight w:val="none"/>
        </w:rPr>
      </w:pPr>
      <w:bookmarkStart w:id="22" w:name="_Toc14021"/>
      <w:bookmarkStart w:id="23" w:name="_Toc124406414"/>
      <w:bookmarkStart w:id="24" w:name="_Toc523850198"/>
      <w:bookmarkStart w:id="25" w:name="_Toc3485"/>
      <w:bookmarkStart w:id="26" w:name="_Toc23648"/>
      <w:r>
        <w:rPr>
          <w:rFonts w:hint="eastAsia"/>
          <w:color w:val="auto"/>
          <w:highlight w:val="none"/>
        </w:rPr>
        <w:t>质量保证</w:t>
      </w:r>
      <w:bookmarkEnd w:id="22"/>
      <w:bookmarkEnd w:id="23"/>
      <w:bookmarkEnd w:id="24"/>
      <w:bookmarkEnd w:id="25"/>
      <w:bookmarkEnd w:id="26"/>
    </w:p>
    <w:p>
      <w:pPr>
        <w:spacing w:line="600" w:lineRule="exact"/>
        <w:ind w:firstLine="480"/>
        <w:rPr>
          <w:color w:val="auto"/>
          <w:highlight w:val="none"/>
        </w:rPr>
      </w:pPr>
      <w:r>
        <w:rPr>
          <w:rFonts w:hint="eastAsia"/>
          <w:color w:val="auto"/>
          <w:highlight w:val="none"/>
        </w:rPr>
        <w:t>投标方应保证所提供的所有货物的功能、性能、质量均能满足本招标文件要求</w:t>
      </w:r>
      <w:r>
        <w:rPr>
          <w:rFonts w:hint="eastAsia" w:ascii="宋体" w:hAnsi="宋体" w:cs="宋体"/>
          <w:color w:val="auto"/>
          <w:kern w:val="0"/>
          <w:highlight w:val="none"/>
        </w:rPr>
        <w:t>。</w:t>
      </w:r>
    </w:p>
    <w:p>
      <w:pPr>
        <w:pStyle w:val="4"/>
        <w:spacing w:before="156" w:after="156" w:line="600" w:lineRule="exact"/>
        <w:ind w:left="578" w:hanging="578"/>
        <w:rPr>
          <w:rFonts w:cs="Times New Roman"/>
          <w:color w:val="auto"/>
          <w:kern w:val="2"/>
          <w:sz w:val="24"/>
          <w:szCs w:val="24"/>
          <w:highlight w:val="none"/>
        </w:rPr>
      </w:pPr>
      <w:bookmarkStart w:id="27" w:name="_Toc17579"/>
      <w:bookmarkStart w:id="28" w:name="_Toc11360"/>
      <w:bookmarkStart w:id="29" w:name="_Toc523850199"/>
      <w:bookmarkStart w:id="30" w:name="_Toc3202"/>
      <w:bookmarkStart w:id="31" w:name="_Toc124406415"/>
      <w:r>
        <w:rPr>
          <w:rFonts w:hint="eastAsia"/>
          <w:color w:val="auto"/>
          <w:highlight w:val="none"/>
        </w:rPr>
        <w:t>进度保证</w:t>
      </w:r>
      <w:bookmarkEnd w:id="27"/>
      <w:bookmarkEnd w:id="28"/>
      <w:bookmarkEnd w:id="29"/>
      <w:bookmarkEnd w:id="30"/>
      <w:bookmarkEnd w:id="31"/>
    </w:p>
    <w:p>
      <w:pPr>
        <w:pStyle w:val="89"/>
        <w:spacing w:line="600" w:lineRule="exact"/>
        <w:rPr>
          <w:color w:val="auto"/>
          <w:highlight w:val="none"/>
        </w:rPr>
      </w:pPr>
      <w:r>
        <w:rPr>
          <w:rFonts w:hint="eastAsia"/>
          <w:color w:val="auto"/>
          <w:highlight w:val="none"/>
        </w:rPr>
        <w:t>投标方必须保证在签订合同后（</w:t>
      </w:r>
      <w:r>
        <w:rPr>
          <w:rFonts w:hint="eastAsia" w:ascii="宋体" w:hAnsi="宋体" w:cs="宋体"/>
          <w:color w:val="auto"/>
          <w:highlight w:val="none"/>
        </w:rPr>
        <w:t>包括节假日</w:t>
      </w:r>
      <w:r>
        <w:rPr>
          <w:rFonts w:hint="eastAsia"/>
          <w:color w:val="auto"/>
          <w:highlight w:val="none"/>
        </w:rPr>
        <w:t>）</w:t>
      </w:r>
      <w:r>
        <w:rPr>
          <w:rFonts w:hint="eastAsia"/>
          <w:color w:val="auto"/>
          <w:highlight w:val="none"/>
          <w:lang w:val="en-US" w:eastAsia="zh-CN"/>
        </w:rPr>
        <w:t>5天</w:t>
      </w:r>
      <w:r>
        <w:rPr>
          <w:rFonts w:hint="eastAsia"/>
          <w:color w:val="auto"/>
          <w:highlight w:val="none"/>
        </w:rPr>
        <w:t>内到货</w:t>
      </w:r>
      <w:r>
        <w:rPr>
          <w:rFonts w:hint="eastAsia"/>
          <w:color w:val="auto"/>
          <w:highlight w:val="none"/>
          <w:lang w:val="en-US" w:eastAsia="zh-CN"/>
        </w:rPr>
        <w:t>安装调试</w:t>
      </w:r>
      <w:r>
        <w:rPr>
          <w:rFonts w:hint="eastAsia"/>
          <w:color w:val="auto"/>
          <w:highlight w:val="none"/>
        </w:rPr>
        <w:t>。</w:t>
      </w:r>
    </w:p>
    <w:p>
      <w:pPr>
        <w:pStyle w:val="4"/>
        <w:spacing w:before="156" w:after="156" w:line="600" w:lineRule="exact"/>
        <w:ind w:left="578" w:hanging="578"/>
        <w:rPr>
          <w:color w:val="auto"/>
          <w:highlight w:val="none"/>
        </w:rPr>
      </w:pPr>
      <w:bookmarkStart w:id="32" w:name="_Toc19290"/>
      <w:bookmarkStart w:id="33" w:name="_Toc523850200"/>
      <w:bookmarkStart w:id="34" w:name="_Toc5021"/>
      <w:bookmarkStart w:id="35" w:name="_Toc3405"/>
      <w:bookmarkStart w:id="36" w:name="_Toc124406416"/>
      <w:r>
        <w:rPr>
          <w:rFonts w:hint="eastAsia"/>
          <w:color w:val="auto"/>
          <w:highlight w:val="none"/>
        </w:rPr>
        <w:t>系统适用标准</w:t>
      </w:r>
      <w:bookmarkEnd w:id="32"/>
      <w:bookmarkEnd w:id="33"/>
      <w:bookmarkEnd w:id="34"/>
      <w:bookmarkEnd w:id="35"/>
      <w:bookmarkEnd w:id="36"/>
    </w:p>
    <w:p>
      <w:pPr>
        <w:pStyle w:val="89"/>
        <w:spacing w:line="600" w:lineRule="exact"/>
        <w:rPr>
          <w:color w:val="auto"/>
          <w:highlight w:val="none"/>
        </w:rPr>
      </w:pPr>
      <w:r>
        <w:rPr>
          <w:rFonts w:hint="eastAsia"/>
          <w:color w:val="auto"/>
          <w:highlight w:val="none"/>
        </w:rPr>
        <w:t>除本招标文件另有说明外，投标方提供的所有产品均应按照国际标准、国家标准进行设计、制造、检验和安装。所用的标准必须是最新版本，如果这些标准的内容有矛盾时，应按照最高标准的条款执行或按双方协商同意的标准或条款执行。</w:t>
      </w:r>
    </w:p>
    <w:p>
      <w:pPr>
        <w:pStyle w:val="3"/>
        <w:tabs>
          <w:tab w:val="left" w:pos="0"/>
          <w:tab w:val="clear" w:pos="432"/>
        </w:tabs>
        <w:spacing w:before="156" w:after="156" w:line="600" w:lineRule="exact"/>
        <w:ind w:left="433" w:hanging="433" w:hangingChars="154"/>
        <w:rPr>
          <w:color w:val="auto"/>
          <w:highlight w:val="none"/>
        </w:rPr>
      </w:pPr>
      <w:bookmarkStart w:id="37" w:name="_Toc523850201"/>
      <w:bookmarkStart w:id="38" w:name="_Toc32487"/>
      <w:bookmarkStart w:id="39" w:name="_Toc427568145"/>
      <w:bookmarkStart w:id="40" w:name="_Toc2460"/>
      <w:bookmarkStart w:id="41" w:name="_Toc518408400"/>
      <w:bookmarkStart w:id="42" w:name="_Toc124406418"/>
      <w:bookmarkStart w:id="43" w:name="_Toc10711"/>
      <w:bookmarkStart w:id="44" w:name="_Toc427380950"/>
      <w:r>
        <w:rPr>
          <w:rFonts w:hint="eastAsia"/>
          <w:color w:val="auto"/>
          <w:highlight w:val="none"/>
        </w:rPr>
        <w:t>对投标方的要求及其工作范围</w:t>
      </w:r>
      <w:bookmarkEnd w:id="6"/>
      <w:bookmarkEnd w:id="7"/>
      <w:bookmarkEnd w:id="8"/>
      <w:bookmarkEnd w:id="9"/>
      <w:bookmarkEnd w:id="10"/>
      <w:bookmarkEnd w:id="37"/>
      <w:bookmarkEnd w:id="38"/>
      <w:bookmarkEnd w:id="39"/>
      <w:bookmarkEnd w:id="40"/>
      <w:bookmarkEnd w:id="41"/>
      <w:bookmarkEnd w:id="42"/>
      <w:bookmarkEnd w:id="43"/>
      <w:bookmarkEnd w:id="44"/>
    </w:p>
    <w:bookmarkEnd w:id="11"/>
    <w:bookmarkEnd w:id="12"/>
    <w:bookmarkEnd w:id="13"/>
    <w:bookmarkEnd w:id="14"/>
    <w:bookmarkEnd w:id="15"/>
    <w:p>
      <w:pPr>
        <w:pStyle w:val="4"/>
        <w:spacing w:before="156" w:after="156" w:line="600" w:lineRule="exact"/>
        <w:ind w:left="578" w:hanging="578"/>
        <w:rPr>
          <w:color w:val="auto"/>
          <w:highlight w:val="none"/>
        </w:rPr>
      </w:pPr>
      <w:bookmarkStart w:id="45" w:name="_Toc18579"/>
      <w:bookmarkStart w:id="46" w:name="_Toc523850202"/>
      <w:bookmarkStart w:id="47" w:name="_Toc20521"/>
      <w:bookmarkStart w:id="48" w:name="_Toc27633"/>
      <w:r>
        <w:rPr>
          <w:rFonts w:hint="eastAsia"/>
          <w:color w:val="auto"/>
          <w:highlight w:val="none"/>
        </w:rPr>
        <w:t>对投标方的技术要求</w:t>
      </w:r>
      <w:bookmarkEnd w:id="45"/>
      <w:bookmarkEnd w:id="46"/>
      <w:bookmarkEnd w:id="47"/>
      <w:bookmarkEnd w:id="48"/>
    </w:p>
    <w:p>
      <w:pPr>
        <w:pStyle w:val="87"/>
        <w:numPr>
          <w:ilvl w:val="0"/>
          <w:numId w:val="4"/>
        </w:numPr>
        <w:spacing w:line="600" w:lineRule="exact"/>
        <w:ind w:left="0" w:firstLine="426"/>
        <w:rPr>
          <w:color w:val="auto"/>
          <w:highlight w:val="none"/>
        </w:rPr>
      </w:pPr>
      <w:r>
        <w:rPr>
          <w:rFonts w:hint="eastAsia"/>
          <w:color w:val="auto"/>
          <w:highlight w:val="none"/>
        </w:rPr>
        <w:t>所提供的产品必须在国内运行的良好记录。</w:t>
      </w:r>
    </w:p>
    <w:p>
      <w:pPr>
        <w:pStyle w:val="87"/>
        <w:numPr>
          <w:ilvl w:val="0"/>
          <w:numId w:val="4"/>
        </w:numPr>
        <w:spacing w:line="600" w:lineRule="exact"/>
        <w:ind w:left="0" w:firstLine="426"/>
        <w:rPr>
          <w:color w:val="auto"/>
          <w:highlight w:val="none"/>
        </w:rPr>
      </w:pPr>
      <w:r>
        <w:rPr>
          <w:rFonts w:hint="eastAsia"/>
          <w:color w:val="auto"/>
          <w:highlight w:val="none"/>
        </w:rPr>
        <w:t>技术规范书中在引用某标准的地方</w:t>
      </w:r>
      <w:r>
        <w:rPr>
          <w:color w:val="auto"/>
          <w:highlight w:val="none"/>
        </w:rPr>
        <w:t>，</w:t>
      </w:r>
      <w:r>
        <w:rPr>
          <w:rFonts w:hint="eastAsia"/>
          <w:color w:val="auto"/>
          <w:highlight w:val="none"/>
        </w:rPr>
        <w:t>投标方应当使用合同生效的、最新的引用标准文本，不能用另外标准代替</w:t>
      </w:r>
      <w:r>
        <w:rPr>
          <w:color w:val="auto"/>
          <w:highlight w:val="none"/>
        </w:rPr>
        <w:t>，</w:t>
      </w:r>
      <w:r>
        <w:rPr>
          <w:rFonts w:hint="eastAsia"/>
          <w:color w:val="auto"/>
          <w:highlight w:val="none"/>
        </w:rPr>
        <w:t>除非从招标方那里获得许可的标准代替。如果引用某不合适的标准或者未引用某合适的标准</w:t>
      </w:r>
      <w:r>
        <w:rPr>
          <w:color w:val="auto"/>
          <w:highlight w:val="none"/>
        </w:rPr>
        <w:t>，</w:t>
      </w:r>
      <w:r>
        <w:rPr>
          <w:rFonts w:hint="eastAsia"/>
          <w:color w:val="auto"/>
          <w:highlight w:val="none"/>
        </w:rPr>
        <w:t>或者不能得到所需要的标准</w:t>
      </w:r>
      <w:r>
        <w:rPr>
          <w:color w:val="auto"/>
          <w:highlight w:val="none"/>
        </w:rPr>
        <w:t>，</w:t>
      </w:r>
      <w:r>
        <w:rPr>
          <w:rFonts w:hint="eastAsia"/>
          <w:color w:val="auto"/>
          <w:highlight w:val="none"/>
        </w:rPr>
        <w:t>投标方可选择某合适的标准</w:t>
      </w:r>
      <w:r>
        <w:rPr>
          <w:color w:val="auto"/>
          <w:highlight w:val="none"/>
        </w:rPr>
        <w:t>，</w:t>
      </w:r>
      <w:r>
        <w:rPr>
          <w:rFonts w:hint="eastAsia"/>
          <w:color w:val="auto"/>
          <w:highlight w:val="none"/>
        </w:rPr>
        <w:t>并且在制造商着手进行工作前需得到招标方的许可。</w:t>
      </w:r>
    </w:p>
    <w:p>
      <w:pPr>
        <w:pStyle w:val="87"/>
        <w:numPr>
          <w:ilvl w:val="0"/>
          <w:numId w:val="4"/>
        </w:numPr>
        <w:spacing w:line="600" w:lineRule="exact"/>
        <w:ind w:left="0" w:firstLine="426"/>
        <w:rPr>
          <w:color w:val="auto"/>
          <w:highlight w:val="none"/>
        </w:rPr>
      </w:pPr>
      <w:r>
        <w:rPr>
          <w:rFonts w:hint="eastAsia"/>
          <w:color w:val="auto"/>
          <w:highlight w:val="none"/>
        </w:rPr>
        <w:t>招标方与投标方在解释某标准有不同意见时</w:t>
      </w:r>
      <w:r>
        <w:rPr>
          <w:color w:val="auto"/>
          <w:highlight w:val="none"/>
        </w:rPr>
        <w:t>，</w:t>
      </w:r>
      <w:r>
        <w:rPr>
          <w:rFonts w:hint="eastAsia"/>
          <w:color w:val="auto"/>
          <w:highlight w:val="none"/>
        </w:rPr>
        <w:t>招标方的解释是最终的解释。</w:t>
      </w:r>
    </w:p>
    <w:p>
      <w:pPr>
        <w:pStyle w:val="87"/>
        <w:numPr>
          <w:ilvl w:val="0"/>
          <w:numId w:val="4"/>
        </w:numPr>
        <w:spacing w:line="600" w:lineRule="exact"/>
        <w:ind w:left="0" w:firstLine="426"/>
        <w:rPr>
          <w:color w:val="auto"/>
          <w:highlight w:val="none"/>
        </w:rPr>
      </w:pPr>
      <w:r>
        <w:rPr>
          <w:rFonts w:hint="eastAsia"/>
          <w:color w:val="auto"/>
          <w:highlight w:val="none"/>
        </w:rPr>
        <w:t>本技术规范书可以作为投标方编制投标文件的依据</w:t>
      </w:r>
      <w:r>
        <w:rPr>
          <w:color w:val="auto"/>
          <w:highlight w:val="none"/>
        </w:rPr>
        <w:t>，</w:t>
      </w:r>
      <w:r>
        <w:rPr>
          <w:rFonts w:hint="eastAsia"/>
          <w:color w:val="auto"/>
          <w:highlight w:val="none"/>
        </w:rPr>
        <w:t>对于本技术规范书的某些部分</w:t>
      </w:r>
      <w:r>
        <w:rPr>
          <w:color w:val="auto"/>
          <w:highlight w:val="none"/>
        </w:rPr>
        <w:t>，</w:t>
      </w:r>
      <w:r>
        <w:rPr>
          <w:rFonts w:hint="eastAsia"/>
          <w:color w:val="auto"/>
          <w:highlight w:val="none"/>
        </w:rPr>
        <w:t>投标方如不能满足要求</w:t>
      </w:r>
      <w:r>
        <w:rPr>
          <w:color w:val="auto"/>
          <w:highlight w:val="none"/>
        </w:rPr>
        <w:t>，</w:t>
      </w:r>
      <w:r>
        <w:rPr>
          <w:rFonts w:hint="eastAsia"/>
          <w:color w:val="auto"/>
          <w:highlight w:val="none"/>
        </w:rPr>
        <w:t>应在投标文件中提出说明</w:t>
      </w:r>
      <w:r>
        <w:rPr>
          <w:color w:val="auto"/>
          <w:highlight w:val="none"/>
        </w:rPr>
        <w:t>，</w:t>
      </w:r>
      <w:r>
        <w:rPr>
          <w:rFonts w:hint="eastAsia"/>
          <w:color w:val="auto"/>
          <w:highlight w:val="none"/>
        </w:rPr>
        <w:t>否则，招标方即认为投标方提供的产品可以满足本技术规范书的要求。</w:t>
      </w:r>
    </w:p>
    <w:p>
      <w:pPr>
        <w:pStyle w:val="87"/>
        <w:numPr>
          <w:ilvl w:val="0"/>
          <w:numId w:val="4"/>
        </w:numPr>
        <w:spacing w:line="600" w:lineRule="exact"/>
        <w:ind w:left="0" w:firstLine="426"/>
        <w:rPr>
          <w:color w:val="auto"/>
          <w:highlight w:val="none"/>
        </w:rPr>
      </w:pPr>
      <w:r>
        <w:rPr>
          <w:rFonts w:hint="eastAsia"/>
          <w:color w:val="auto"/>
          <w:highlight w:val="none"/>
        </w:rPr>
        <w:t>投标方应确保其所供产品组成系统的完整性</w:t>
      </w:r>
      <w:r>
        <w:rPr>
          <w:color w:val="auto"/>
          <w:highlight w:val="none"/>
        </w:rPr>
        <w:t>，</w:t>
      </w:r>
      <w:r>
        <w:rPr>
          <w:rFonts w:hint="eastAsia"/>
          <w:color w:val="auto"/>
          <w:highlight w:val="none"/>
        </w:rPr>
        <w:t>合同文件遗漏的一切事项</w:t>
      </w:r>
      <w:r>
        <w:rPr>
          <w:color w:val="auto"/>
          <w:highlight w:val="none"/>
        </w:rPr>
        <w:t>，</w:t>
      </w:r>
      <w:r>
        <w:rPr>
          <w:rFonts w:hint="eastAsia"/>
          <w:color w:val="auto"/>
          <w:highlight w:val="none"/>
        </w:rPr>
        <w:t>只要这些事项可以确定为是保证投标方所供系统安全、稳定、可靠的有效地投产所必需的，都应该被认为包括在合同价格之内。</w:t>
      </w:r>
      <w:bookmarkStart w:id="161" w:name="_GoBack"/>
      <w:bookmarkEnd w:id="161"/>
    </w:p>
    <w:p>
      <w:pPr>
        <w:pStyle w:val="87"/>
        <w:numPr>
          <w:ilvl w:val="0"/>
          <w:numId w:val="4"/>
        </w:numPr>
        <w:spacing w:line="600" w:lineRule="exact"/>
        <w:ind w:left="0" w:firstLine="426"/>
        <w:rPr>
          <w:color w:val="auto"/>
          <w:highlight w:val="none"/>
        </w:rPr>
      </w:pPr>
      <w:r>
        <w:rPr>
          <w:rFonts w:hint="eastAsia"/>
          <w:color w:val="auto"/>
          <w:highlight w:val="none"/>
        </w:rPr>
        <w:t>投标方可以对本标书提出修改意见供招标方参考</w:t>
      </w:r>
      <w:r>
        <w:rPr>
          <w:color w:val="auto"/>
          <w:highlight w:val="none"/>
        </w:rPr>
        <w:t>，</w:t>
      </w:r>
      <w:r>
        <w:rPr>
          <w:rFonts w:hint="eastAsia"/>
          <w:color w:val="auto"/>
          <w:highlight w:val="none"/>
        </w:rPr>
        <w:t>因需要招标方有权对本技术规范书进行修改和补充。</w:t>
      </w:r>
    </w:p>
    <w:p>
      <w:pPr>
        <w:pStyle w:val="87"/>
        <w:numPr>
          <w:ilvl w:val="0"/>
          <w:numId w:val="4"/>
        </w:numPr>
        <w:spacing w:line="600" w:lineRule="exact"/>
        <w:ind w:left="0" w:firstLine="426"/>
        <w:rPr>
          <w:color w:val="auto"/>
          <w:highlight w:val="none"/>
        </w:rPr>
      </w:pPr>
      <w:r>
        <w:rPr>
          <w:rFonts w:hint="eastAsia"/>
          <w:color w:val="auto"/>
          <w:highlight w:val="none"/>
        </w:rPr>
        <w:t>投标方必须推荐先进、稳定、可靠的产品。</w:t>
      </w:r>
    </w:p>
    <w:p>
      <w:pPr>
        <w:pStyle w:val="4"/>
        <w:spacing w:before="156" w:after="156" w:line="600" w:lineRule="exact"/>
        <w:ind w:left="578" w:hanging="578"/>
        <w:rPr>
          <w:color w:val="auto"/>
          <w:highlight w:val="none"/>
        </w:rPr>
      </w:pPr>
      <w:bookmarkStart w:id="49" w:name="_Toc18500"/>
      <w:bookmarkStart w:id="50" w:name="_Toc16340"/>
      <w:bookmarkStart w:id="51" w:name="_Toc17906"/>
      <w:bookmarkStart w:id="52" w:name="_Toc523850203"/>
      <w:r>
        <w:rPr>
          <w:rFonts w:hint="eastAsia"/>
          <w:color w:val="auto"/>
          <w:highlight w:val="none"/>
        </w:rPr>
        <w:t>投标方的工作范围</w:t>
      </w:r>
      <w:bookmarkEnd w:id="49"/>
      <w:bookmarkEnd w:id="50"/>
      <w:bookmarkEnd w:id="51"/>
      <w:bookmarkEnd w:id="52"/>
    </w:p>
    <w:p>
      <w:pPr>
        <w:pStyle w:val="87"/>
        <w:numPr>
          <w:ilvl w:val="0"/>
          <w:numId w:val="5"/>
        </w:numPr>
        <w:spacing w:line="600" w:lineRule="exact"/>
        <w:ind w:left="0" w:firstLine="425"/>
        <w:rPr>
          <w:color w:val="auto"/>
          <w:highlight w:val="none"/>
        </w:rPr>
      </w:pPr>
      <w:r>
        <w:rPr>
          <w:rFonts w:hint="eastAsia"/>
          <w:color w:val="auto"/>
          <w:highlight w:val="none"/>
        </w:rPr>
        <w:t>投标方负责所供产品的运货、提货、交货，运送到招标方指定地点，并保证产品质量。</w:t>
      </w:r>
    </w:p>
    <w:p>
      <w:pPr>
        <w:pStyle w:val="87"/>
        <w:numPr>
          <w:ilvl w:val="0"/>
          <w:numId w:val="5"/>
        </w:numPr>
        <w:spacing w:line="600" w:lineRule="exact"/>
        <w:ind w:left="0" w:firstLine="425"/>
        <w:rPr>
          <w:color w:val="auto"/>
          <w:highlight w:val="none"/>
        </w:rPr>
      </w:pPr>
      <w:r>
        <w:rPr>
          <w:rFonts w:hint="eastAsia"/>
          <w:color w:val="auto"/>
          <w:highlight w:val="none"/>
        </w:rPr>
        <w:t>交货地点要求：按招标方指定的地点交货。</w:t>
      </w:r>
    </w:p>
    <w:p>
      <w:pPr>
        <w:pStyle w:val="87"/>
        <w:numPr>
          <w:ilvl w:val="0"/>
          <w:numId w:val="5"/>
        </w:numPr>
        <w:spacing w:line="600" w:lineRule="exact"/>
        <w:ind w:left="0" w:firstLine="425"/>
        <w:rPr>
          <w:color w:val="auto"/>
          <w:highlight w:val="none"/>
        </w:rPr>
      </w:pPr>
      <w:r>
        <w:rPr>
          <w:rFonts w:hint="eastAsia"/>
          <w:color w:val="auto"/>
          <w:highlight w:val="none"/>
        </w:rPr>
        <w:t>如果因为投标方生产能力不足、产品或其他存在技术问题而延误供货期，投标方应负责由此产生的一切后果，并进行经济赔偿。</w:t>
      </w:r>
    </w:p>
    <w:p>
      <w:pPr>
        <w:pStyle w:val="87"/>
        <w:numPr>
          <w:ilvl w:val="0"/>
          <w:numId w:val="5"/>
        </w:numPr>
        <w:spacing w:line="600" w:lineRule="exact"/>
        <w:ind w:left="0" w:firstLine="425"/>
        <w:rPr>
          <w:color w:val="auto"/>
          <w:highlight w:val="none"/>
        </w:rPr>
      </w:pPr>
      <w:r>
        <w:rPr>
          <w:rFonts w:hint="eastAsia"/>
          <w:color w:val="auto"/>
          <w:highlight w:val="none"/>
        </w:rPr>
        <w:t>投标方所提供的产品均满足投标文件中应答的技术指标。</w:t>
      </w:r>
    </w:p>
    <w:p>
      <w:pPr>
        <w:pStyle w:val="4"/>
        <w:tabs>
          <w:tab w:val="left" w:pos="0"/>
          <w:tab w:val="clear" w:pos="576"/>
        </w:tabs>
        <w:spacing w:beforeLines="0" w:afterLines="0" w:line="600" w:lineRule="exact"/>
        <w:ind w:left="0"/>
        <w:rPr>
          <w:color w:val="auto"/>
          <w:highlight w:val="none"/>
        </w:rPr>
      </w:pPr>
      <w:bookmarkStart w:id="53" w:name="_Toc407417359"/>
      <w:bookmarkStart w:id="54" w:name="_Toc12306"/>
      <w:bookmarkStart w:id="55" w:name="_Toc124406421"/>
      <w:bookmarkStart w:id="56" w:name="_Toc427568148"/>
      <w:bookmarkStart w:id="57" w:name="_Toc411269793"/>
      <w:bookmarkStart w:id="58" w:name="_Toc407415872"/>
      <w:bookmarkStart w:id="59" w:name="_Toc407982394"/>
      <w:bookmarkStart w:id="60" w:name="_Toc523850205"/>
      <w:bookmarkStart w:id="61" w:name="_Toc16188"/>
      <w:bookmarkStart w:id="62" w:name="_Toc22344"/>
      <w:bookmarkStart w:id="63" w:name="_Toc518408403"/>
      <w:bookmarkStart w:id="64" w:name="_Toc411267588"/>
      <w:bookmarkStart w:id="65" w:name="_Toc240049345"/>
      <w:bookmarkStart w:id="66" w:name="_Toc427380953"/>
      <w:bookmarkStart w:id="67" w:name="_Toc407417360"/>
      <w:bookmarkStart w:id="68" w:name="_Toc407982395"/>
      <w:bookmarkStart w:id="69" w:name="_Toc407415873"/>
      <w:r>
        <w:rPr>
          <w:rFonts w:hint="eastAsia"/>
          <w:color w:val="auto"/>
          <w:highlight w:val="none"/>
        </w:rPr>
        <w:t>产品报价范围</w:t>
      </w:r>
      <w:bookmarkEnd w:id="53"/>
      <w:bookmarkEnd w:id="54"/>
      <w:bookmarkEnd w:id="55"/>
      <w:bookmarkEnd w:id="56"/>
      <w:bookmarkEnd w:id="57"/>
      <w:bookmarkEnd w:id="58"/>
      <w:bookmarkEnd w:id="59"/>
      <w:bookmarkEnd w:id="60"/>
      <w:bookmarkEnd w:id="61"/>
      <w:bookmarkEnd w:id="62"/>
      <w:bookmarkEnd w:id="63"/>
      <w:bookmarkEnd w:id="64"/>
      <w:bookmarkEnd w:id="65"/>
      <w:bookmarkEnd w:id="66"/>
    </w:p>
    <w:p>
      <w:pPr>
        <w:pStyle w:val="89"/>
        <w:keepNext w:val="0"/>
        <w:keepLines w:val="0"/>
        <w:pageBreakBefore w:val="0"/>
        <w:widowControl w:val="0"/>
        <w:kinsoku/>
        <w:wordWrap/>
        <w:overflowPunct/>
        <w:topLinePunct w:val="0"/>
        <w:autoSpaceDE/>
        <w:autoSpaceDN/>
        <w:bidi w:val="0"/>
        <w:adjustRightInd w:val="0"/>
        <w:snapToGrid w:val="0"/>
        <w:spacing w:line="600" w:lineRule="exact"/>
        <w:textAlignment w:val="auto"/>
        <w:rPr>
          <w:color w:val="auto"/>
          <w:highlight w:val="none"/>
        </w:rPr>
      </w:pPr>
      <w:r>
        <w:rPr>
          <w:rFonts w:hint="eastAsia"/>
          <w:color w:val="auto"/>
          <w:highlight w:val="none"/>
        </w:rPr>
        <w:t>投标方报价中必须包括：</w:t>
      </w:r>
    </w:p>
    <w:p>
      <w:pPr>
        <w:pStyle w:val="89"/>
        <w:keepNext w:val="0"/>
        <w:keepLines w:val="0"/>
        <w:pageBreakBefore w:val="0"/>
        <w:widowControl w:val="0"/>
        <w:numPr>
          <w:ilvl w:val="0"/>
          <w:numId w:val="6"/>
        </w:numPr>
        <w:kinsoku/>
        <w:wordWrap/>
        <w:overflowPunct/>
        <w:topLinePunct w:val="0"/>
        <w:autoSpaceDE/>
        <w:autoSpaceDN/>
        <w:bidi w:val="0"/>
        <w:adjustRightInd w:val="0"/>
        <w:snapToGrid w:val="0"/>
        <w:spacing w:line="600" w:lineRule="exact"/>
        <w:ind w:left="0" w:firstLine="480" w:firstLineChars="0"/>
        <w:textAlignment w:val="auto"/>
        <w:rPr>
          <w:color w:val="auto"/>
          <w:highlight w:val="none"/>
        </w:rPr>
      </w:pPr>
      <w:r>
        <w:rPr>
          <w:rFonts w:hint="eastAsia"/>
          <w:color w:val="auto"/>
          <w:highlight w:val="none"/>
        </w:rPr>
        <w:t>所供设备运达指定地点的运输费、卸车费包含在设备价格中；</w:t>
      </w:r>
    </w:p>
    <w:bookmarkEnd w:id="67"/>
    <w:bookmarkEnd w:id="68"/>
    <w:bookmarkEnd w:id="69"/>
    <w:p>
      <w:pPr>
        <w:pStyle w:val="4"/>
        <w:tabs>
          <w:tab w:val="left" w:pos="0"/>
          <w:tab w:val="left" w:pos="756"/>
          <w:tab w:val="clear" w:pos="576"/>
        </w:tabs>
        <w:spacing w:beforeLines="0" w:afterLines="0" w:line="600" w:lineRule="exact"/>
        <w:ind w:left="0"/>
        <w:rPr>
          <w:color w:val="auto"/>
          <w:highlight w:val="none"/>
        </w:rPr>
      </w:pPr>
      <w:bookmarkStart w:id="70" w:name="_Toc243912812"/>
      <w:bookmarkStart w:id="71" w:name="_Toc523850206"/>
      <w:bookmarkStart w:id="72" w:name="_Toc11454"/>
      <w:bookmarkStart w:id="73" w:name="_Toc20478"/>
      <w:bookmarkStart w:id="74" w:name="_Toc261789821"/>
      <w:bookmarkStart w:id="75" w:name="_Toc124406423"/>
      <w:bookmarkStart w:id="76" w:name="_Toc349634215"/>
      <w:bookmarkStart w:id="77" w:name="_Toc261789486"/>
      <w:bookmarkStart w:id="78" w:name="_Toc17932"/>
      <w:bookmarkStart w:id="79" w:name="_Toc124406433"/>
      <w:r>
        <w:rPr>
          <w:rFonts w:hint="eastAsia"/>
          <w:color w:val="auto"/>
          <w:highlight w:val="none"/>
        </w:rPr>
        <w:t>技术服务</w:t>
      </w:r>
      <w:bookmarkEnd w:id="70"/>
      <w:bookmarkEnd w:id="71"/>
      <w:bookmarkEnd w:id="72"/>
      <w:bookmarkEnd w:id="73"/>
      <w:bookmarkEnd w:id="74"/>
      <w:bookmarkEnd w:id="75"/>
      <w:bookmarkEnd w:id="76"/>
      <w:bookmarkEnd w:id="77"/>
      <w:bookmarkEnd w:id="78"/>
    </w:p>
    <w:p>
      <w:pPr>
        <w:pStyle w:val="5"/>
        <w:numPr>
          <w:ilvl w:val="2"/>
          <w:numId w:val="0"/>
        </w:numPr>
        <w:spacing w:line="600" w:lineRule="exact"/>
        <w:ind w:left="720" w:hanging="720"/>
        <w:rPr>
          <w:color w:val="auto"/>
          <w:highlight w:val="none"/>
        </w:rPr>
      </w:pPr>
      <w:bookmarkStart w:id="80" w:name="_Toc518408406"/>
      <w:bookmarkStart w:id="81" w:name="_Toc349634216"/>
      <w:bookmarkStart w:id="82" w:name="_Toc411267590"/>
      <w:bookmarkStart w:id="83" w:name="_Toc523850207"/>
      <w:bookmarkStart w:id="84" w:name="_Toc32116"/>
      <w:bookmarkStart w:id="85" w:name="_Toc427380959"/>
      <w:bookmarkStart w:id="86" w:name="_Toc124406424"/>
      <w:bookmarkStart w:id="87" w:name="_Toc411269795"/>
      <w:bookmarkStart w:id="88" w:name="_Toc261789487"/>
      <w:bookmarkStart w:id="89" w:name="_Toc261789822"/>
      <w:bookmarkStart w:id="90" w:name="_Toc427568154"/>
      <w:bookmarkStart w:id="91" w:name="_Toc1783"/>
      <w:bookmarkStart w:id="92" w:name="_Toc243912813"/>
      <w:bookmarkStart w:id="93" w:name="_Toc8880"/>
      <w:r>
        <w:rPr>
          <w:rFonts w:hint="eastAsia"/>
          <w:color w:val="auto"/>
          <w:highlight w:val="none"/>
          <w:lang w:val="en-US"/>
        </w:rPr>
        <w:t xml:space="preserve">2.4.1 </w:t>
      </w:r>
      <w:r>
        <w:rPr>
          <w:rFonts w:hint="eastAsia"/>
          <w:color w:val="auto"/>
          <w:highlight w:val="none"/>
        </w:rPr>
        <w:t>技术服务内容</w:t>
      </w:r>
      <w:bookmarkEnd w:id="80"/>
      <w:bookmarkEnd w:id="81"/>
      <w:bookmarkEnd w:id="82"/>
      <w:bookmarkEnd w:id="83"/>
      <w:bookmarkEnd w:id="84"/>
      <w:bookmarkEnd w:id="85"/>
      <w:bookmarkEnd w:id="86"/>
      <w:bookmarkEnd w:id="87"/>
      <w:bookmarkEnd w:id="88"/>
      <w:bookmarkEnd w:id="89"/>
      <w:bookmarkEnd w:id="90"/>
      <w:bookmarkEnd w:id="91"/>
      <w:bookmarkEnd w:id="92"/>
      <w:bookmarkEnd w:id="93"/>
    </w:p>
    <w:p>
      <w:pPr>
        <w:pStyle w:val="89"/>
        <w:spacing w:line="600" w:lineRule="exact"/>
        <w:rPr>
          <w:color w:val="auto"/>
          <w:highlight w:val="none"/>
        </w:rPr>
      </w:pPr>
      <w:r>
        <w:rPr>
          <w:rFonts w:hint="eastAsia"/>
          <w:color w:val="auto"/>
          <w:highlight w:val="none"/>
        </w:rPr>
        <w:t>要求投标方至少为本工程提供以下技术服务：</w:t>
      </w:r>
    </w:p>
    <w:p>
      <w:pPr>
        <w:pStyle w:val="87"/>
        <w:numPr>
          <w:ilvl w:val="0"/>
          <w:numId w:val="7"/>
        </w:numPr>
        <w:spacing w:line="600" w:lineRule="exact"/>
        <w:ind w:left="0" w:firstLine="426"/>
        <w:rPr>
          <w:color w:val="auto"/>
          <w:highlight w:val="none"/>
          <w:u w:val="none"/>
        </w:rPr>
      </w:pPr>
      <w:bookmarkStart w:id="94" w:name="_Toc427568155"/>
      <w:bookmarkStart w:id="95" w:name="_Toc261789823"/>
      <w:bookmarkStart w:id="96" w:name="_Toc6331"/>
      <w:bookmarkStart w:id="97" w:name="_Toc523850208"/>
      <w:bookmarkStart w:id="98" w:name="_Toc124406425"/>
      <w:bookmarkStart w:id="99" w:name="_Toc261789488"/>
      <w:bookmarkStart w:id="100" w:name="_Toc518408407"/>
      <w:bookmarkStart w:id="101" w:name="_Toc17471"/>
      <w:bookmarkStart w:id="102" w:name="_Toc349634217"/>
      <w:bookmarkStart w:id="103" w:name="_Toc427380960"/>
      <w:bookmarkStart w:id="104" w:name="_Toc243912814"/>
      <w:bookmarkStart w:id="105" w:name="_Toc411267591"/>
      <w:bookmarkStart w:id="106" w:name="_Toc411269796"/>
      <w:r>
        <w:rPr>
          <w:rFonts w:hint="eastAsia"/>
          <w:color w:val="auto"/>
          <w:highlight w:val="none"/>
          <w:u w:val="none"/>
        </w:rPr>
        <w:t>产品供货及</w:t>
      </w:r>
      <w:r>
        <w:rPr>
          <w:rFonts w:hint="eastAsia"/>
          <w:color w:val="auto"/>
          <w:highlight w:val="none"/>
          <w:u w:val="none"/>
          <w:lang w:val="en-US" w:eastAsia="zh-CN"/>
        </w:rPr>
        <w:t>配送</w:t>
      </w:r>
      <w:r>
        <w:rPr>
          <w:rFonts w:hint="eastAsia"/>
          <w:color w:val="auto"/>
          <w:highlight w:val="none"/>
          <w:u w:val="none"/>
        </w:rPr>
        <w:t>。</w:t>
      </w:r>
    </w:p>
    <w:p>
      <w:pPr>
        <w:pStyle w:val="87"/>
        <w:numPr>
          <w:ilvl w:val="0"/>
          <w:numId w:val="7"/>
        </w:numPr>
        <w:spacing w:line="600" w:lineRule="exact"/>
        <w:ind w:left="0" w:firstLine="426"/>
        <w:rPr>
          <w:color w:val="auto"/>
          <w:highlight w:val="none"/>
          <w:u w:val="none"/>
        </w:rPr>
      </w:pPr>
      <w:r>
        <w:rPr>
          <w:rFonts w:hint="eastAsia"/>
          <w:color w:val="auto"/>
          <w:highlight w:val="none"/>
          <w:u w:val="none"/>
        </w:rPr>
        <w:t>保修和维护。</w:t>
      </w:r>
    </w:p>
    <w:p>
      <w:pPr>
        <w:pStyle w:val="5"/>
        <w:numPr>
          <w:ilvl w:val="2"/>
          <w:numId w:val="0"/>
        </w:numPr>
        <w:spacing w:line="600" w:lineRule="exact"/>
        <w:ind w:left="720" w:hanging="720"/>
        <w:rPr>
          <w:color w:val="auto"/>
          <w:highlight w:val="none"/>
        </w:rPr>
      </w:pPr>
      <w:bookmarkStart w:id="107" w:name="_Toc30975"/>
      <w:r>
        <w:rPr>
          <w:rFonts w:hint="eastAsia"/>
          <w:color w:val="auto"/>
          <w:highlight w:val="none"/>
          <w:lang w:val="en-US"/>
        </w:rPr>
        <w:t xml:space="preserve">2.4.2 </w:t>
      </w:r>
      <w:r>
        <w:rPr>
          <w:rFonts w:hint="eastAsia"/>
          <w:color w:val="auto"/>
          <w:highlight w:val="none"/>
        </w:rPr>
        <w:t>技术服务要求</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pPr>
        <w:pStyle w:val="6"/>
        <w:numPr>
          <w:ilvl w:val="3"/>
          <w:numId w:val="0"/>
        </w:numPr>
        <w:tabs>
          <w:tab w:val="clear" w:pos="864"/>
        </w:tabs>
        <w:spacing w:line="600" w:lineRule="exact"/>
        <w:ind w:firstLine="482" w:firstLineChars="200"/>
        <w:rPr>
          <w:color w:val="auto"/>
          <w:highlight w:val="none"/>
        </w:rPr>
      </w:pPr>
      <w:bookmarkStart w:id="108" w:name="_Toc518408408"/>
      <w:bookmarkStart w:id="109" w:name="_Ref191806390"/>
      <w:bookmarkStart w:id="110" w:name="_Ref191806434"/>
      <w:bookmarkStart w:id="111" w:name="_Ref191806505"/>
      <w:bookmarkStart w:id="112" w:name="_Ref191806438"/>
      <w:bookmarkStart w:id="113" w:name="_Ref191806475"/>
      <w:bookmarkStart w:id="114" w:name="_Ref191806485"/>
      <w:bookmarkStart w:id="115" w:name="_Toc124406426"/>
      <w:bookmarkStart w:id="116" w:name="_Ref191806455"/>
      <w:bookmarkStart w:id="117" w:name="_Ref191806386"/>
      <w:r>
        <w:rPr>
          <w:rFonts w:hint="eastAsia"/>
          <w:color w:val="auto"/>
          <w:highlight w:val="none"/>
          <w:lang w:val="en-US"/>
        </w:rPr>
        <w:t>2.4.2.1</w:t>
      </w:r>
      <w:r>
        <w:rPr>
          <w:rFonts w:hint="eastAsia"/>
          <w:color w:val="auto"/>
          <w:highlight w:val="none"/>
        </w:rPr>
        <w:t>产品供货、安装</w:t>
      </w:r>
      <w:bookmarkEnd w:id="108"/>
      <w:r>
        <w:rPr>
          <w:rFonts w:hint="eastAsia"/>
          <w:color w:val="auto"/>
          <w:highlight w:val="none"/>
        </w:rPr>
        <w:t>调试及施工配合</w:t>
      </w:r>
      <w:bookmarkEnd w:id="109"/>
      <w:bookmarkEnd w:id="110"/>
      <w:bookmarkEnd w:id="111"/>
      <w:bookmarkEnd w:id="112"/>
      <w:bookmarkEnd w:id="113"/>
      <w:bookmarkEnd w:id="114"/>
      <w:bookmarkEnd w:id="115"/>
      <w:bookmarkEnd w:id="116"/>
      <w:bookmarkEnd w:id="117"/>
      <w:r>
        <w:rPr>
          <w:rFonts w:hint="eastAsia"/>
          <w:color w:val="auto"/>
          <w:highlight w:val="none"/>
        </w:rPr>
        <w:t>要求</w:t>
      </w:r>
    </w:p>
    <w:p>
      <w:pPr>
        <w:pStyle w:val="87"/>
        <w:numPr>
          <w:ilvl w:val="0"/>
          <w:numId w:val="8"/>
        </w:numPr>
        <w:spacing w:line="600" w:lineRule="exact"/>
        <w:ind w:left="0" w:firstLine="426"/>
        <w:rPr>
          <w:color w:val="auto"/>
          <w:highlight w:val="none"/>
        </w:rPr>
      </w:pPr>
      <w:r>
        <w:rPr>
          <w:rFonts w:hint="eastAsia"/>
          <w:color w:val="auto"/>
          <w:highlight w:val="none"/>
        </w:rPr>
        <w:t>安装调试在投标方人员指导下按投标方提供经招标方认可的设计进行，安装由投标方负责，招标方人员参加配合。</w:t>
      </w:r>
    </w:p>
    <w:p>
      <w:pPr>
        <w:pStyle w:val="87"/>
        <w:numPr>
          <w:ilvl w:val="0"/>
          <w:numId w:val="8"/>
        </w:numPr>
        <w:spacing w:line="600" w:lineRule="exact"/>
        <w:ind w:left="0" w:firstLine="426"/>
        <w:rPr>
          <w:color w:val="auto"/>
          <w:highlight w:val="none"/>
        </w:rPr>
      </w:pPr>
      <w:r>
        <w:rPr>
          <w:rFonts w:hint="eastAsia"/>
          <w:color w:val="auto"/>
          <w:highlight w:val="none"/>
        </w:rPr>
        <w:t>除招标方另作规定，投标方必须负责一切与安装有关的实地工作和服务。</w:t>
      </w:r>
    </w:p>
    <w:p>
      <w:pPr>
        <w:pStyle w:val="87"/>
        <w:numPr>
          <w:ilvl w:val="0"/>
          <w:numId w:val="8"/>
        </w:numPr>
        <w:spacing w:line="600" w:lineRule="exact"/>
        <w:ind w:left="0" w:firstLine="426"/>
        <w:rPr>
          <w:color w:val="auto"/>
          <w:highlight w:val="none"/>
        </w:rPr>
      </w:pPr>
      <w:r>
        <w:rPr>
          <w:rFonts w:hint="eastAsia"/>
          <w:color w:val="auto"/>
          <w:highlight w:val="none"/>
        </w:rPr>
        <w:t>如果因为投标方产品或软件存在技术问题而延误供货期，投标方应负责由此产生的一切后果，并进行经济赔偿。</w:t>
      </w:r>
    </w:p>
    <w:p>
      <w:pPr>
        <w:pStyle w:val="6"/>
        <w:numPr>
          <w:ilvl w:val="3"/>
          <w:numId w:val="0"/>
        </w:numPr>
        <w:tabs>
          <w:tab w:val="clear" w:pos="864"/>
        </w:tabs>
        <w:spacing w:line="600" w:lineRule="exact"/>
        <w:ind w:firstLine="482" w:firstLineChars="200"/>
        <w:rPr>
          <w:color w:val="auto"/>
          <w:highlight w:val="none"/>
          <w:lang w:val="en-US"/>
        </w:rPr>
      </w:pPr>
      <w:bookmarkStart w:id="118" w:name="_Toc516297795"/>
      <w:bookmarkStart w:id="119" w:name="_Toc518408413"/>
      <w:bookmarkStart w:id="120" w:name="_Toc124406430"/>
      <w:r>
        <w:rPr>
          <w:rFonts w:hint="eastAsia"/>
          <w:color w:val="auto"/>
          <w:highlight w:val="none"/>
          <w:lang w:val="en-US"/>
        </w:rPr>
        <w:t>2.4.2.2产品维护</w:t>
      </w:r>
      <w:bookmarkEnd w:id="118"/>
      <w:bookmarkEnd w:id="119"/>
      <w:bookmarkEnd w:id="120"/>
      <w:r>
        <w:rPr>
          <w:rFonts w:hint="eastAsia"/>
          <w:color w:val="auto"/>
          <w:highlight w:val="none"/>
          <w:lang w:val="en-US"/>
        </w:rPr>
        <w:t>要求</w:t>
      </w:r>
    </w:p>
    <w:p>
      <w:pPr>
        <w:pStyle w:val="89"/>
        <w:numPr>
          <w:ilvl w:val="0"/>
          <w:numId w:val="0"/>
        </w:numPr>
        <w:spacing w:line="600" w:lineRule="exact"/>
        <w:ind w:left="431" w:leftChars="0"/>
        <w:rPr>
          <w:rFonts w:hint="eastAsia"/>
          <w:color w:val="auto"/>
          <w:highlight w:val="none"/>
        </w:rPr>
      </w:pPr>
      <w:r>
        <w:rPr>
          <w:rFonts w:hint="eastAsia"/>
          <w:color w:val="auto"/>
          <w:highlight w:val="none"/>
        </w:rPr>
        <w:t>自招标方向投标方订购产品安装部署之日起，投标方应向招标方提供包括热线技术指</w:t>
      </w:r>
    </w:p>
    <w:p>
      <w:pPr>
        <w:pStyle w:val="89"/>
        <w:numPr>
          <w:ilvl w:val="0"/>
          <w:numId w:val="0"/>
        </w:numPr>
        <w:spacing w:line="600" w:lineRule="exact"/>
        <w:rPr>
          <w:color w:val="auto"/>
          <w:highlight w:val="none"/>
        </w:rPr>
      </w:pPr>
      <w:r>
        <w:rPr>
          <w:rFonts w:hint="eastAsia"/>
          <w:color w:val="auto"/>
          <w:highlight w:val="none"/>
        </w:rPr>
        <w:t>导、现场故障排除、故障产品维修等各种用户技术服务。</w:t>
      </w:r>
    </w:p>
    <w:p>
      <w:pPr>
        <w:pStyle w:val="6"/>
        <w:numPr>
          <w:ilvl w:val="3"/>
          <w:numId w:val="0"/>
        </w:numPr>
        <w:tabs>
          <w:tab w:val="clear" w:pos="864"/>
        </w:tabs>
        <w:spacing w:line="600" w:lineRule="exact"/>
        <w:ind w:firstLine="482" w:firstLineChars="200"/>
        <w:rPr>
          <w:color w:val="auto"/>
          <w:highlight w:val="none"/>
          <w:lang w:val="en-US"/>
        </w:rPr>
      </w:pPr>
      <w:bookmarkStart w:id="121" w:name="_Toc124406429"/>
      <w:bookmarkStart w:id="122" w:name="_Toc518408412"/>
      <w:bookmarkStart w:id="123" w:name="_Toc516297794"/>
      <w:r>
        <w:rPr>
          <w:rFonts w:hint="eastAsia"/>
          <w:color w:val="auto"/>
          <w:highlight w:val="none"/>
          <w:lang w:val="en-US"/>
        </w:rPr>
        <w:t>2.4.2.3产品质保</w:t>
      </w:r>
      <w:bookmarkEnd w:id="121"/>
      <w:bookmarkEnd w:id="122"/>
      <w:bookmarkEnd w:id="123"/>
      <w:r>
        <w:rPr>
          <w:rFonts w:hint="eastAsia"/>
          <w:color w:val="auto"/>
          <w:highlight w:val="none"/>
          <w:lang w:val="en-US"/>
        </w:rPr>
        <w:t>要求</w:t>
      </w:r>
    </w:p>
    <w:p>
      <w:pPr>
        <w:pStyle w:val="89"/>
        <w:numPr>
          <w:ilvl w:val="0"/>
          <w:numId w:val="9"/>
        </w:numPr>
        <w:spacing w:line="600" w:lineRule="exact"/>
        <w:ind w:left="0" w:firstLine="431" w:firstLineChars="0"/>
        <w:rPr>
          <w:color w:val="auto"/>
          <w:highlight w:val="none"/>
        </w:rPr>
      </w:pPr>
      <w:r>
        <w:rPr>
          <w:rFonts w:hint="eastAsia"/>
          <w:color w:val="auto"/>
          <w:highlight w:val="none"/>
        </w:rPr>
        <w:t>对于所供产品，从竣工验收完成开始，提供包括</w:t>
      </w:r>
      <w:r>
        <w:rPr>
          <w:rFonts w:hint="eastAsia"/>
          <w:color w:val="auto"/>
          <w:highlight w:val="none"/>
          <w:lang w:val="en-US" w:eastAsia="zh-CN"/>
        </w:rPr>
        <w:t>1</w:t>
      </w:r>
      <w:r>
        <w:rPr>
          <w:rFonts w:hint="eastAsia"/>
          <w:color w:val="auto"/>
          <w:highlight w:val="none"/>
        </w:rPr>
        <w:t>年免费原厂质保期。</w:t>
      </w:r>
    </w:p>
    <w:p>
      <w:pPr>
        <w:pStyle w:val="89"/>
        <w:numPr>
          <w:ilvl w:val="0"/>
          <w:numId w:val="9"/>
        </w:numPr>
        <w:spacing w:line="600" w:lineRule="exact"/>
        <w:ind w:left="0" w:firstLine="431" w:firstLineChars="0"/>
        <w:rPr>
          <w:color w:val="auto"/>
          <w:highlight w:val="none"/>
        </w:rPr>
      </w:pPr>
      <w:r>
        <w:rPr>
          <w:rFonts w:hint="eastAsia"/>
          <w:color w:val="auto"/>
          <w:highlight w:val="none"/>
        </w:rPr>
        <w:t>质保期内为产品提供免费的软件版本升级服务。</w:t>
      </w:r>
    </w:p>
    <w:p>
      <w:pPr>
        <w:pStyle w:val="89"/>
        <w:numPr>
          <w:ilvl w:val="0"/>
          <w:numId w:val="9"/>
        </w:numPr>
        <w:spacing w:line="600" w:lineRule="exact"/>
        <w:ind w:left="0" w:firstLine="431" w:firstLineChars="0"/>
        <w:rPr>
          <w:color w:val="auto"/>
          <w:highlight w:val="none"/>
        </w:rPr>
      </w:pPr>
      <w:r>
        <w:rPr>
          <w:rFonts w:hint="eastAsia"/>
          <w:color w:val="auto"/>
          <w:highlight w:val="none"/>
        </w:rPr>
        <w:t>质保期内为产品提供损坏或缺陷部件的免费更换服务。</w:t>
      </w:r>
    </w:p>
    <w:p>
      <w:pPr>
        <w:pStyle w:val="89"/>
        <w:numPr>
          <w:ilvl w:val="0"/>
          <w:numId w:val="9"/>
        </w:numPr>
        <w:spacing w:line="600" w:lineRule="exact"/>
        <w:ind w:left="0" w:firstLine="431" w:firstLineChars="0"/>
        <w:rPr>
          <w:color w:val="auto"/>
          <w:highlight w:val="none"/>
        </w:rPr>
      </w:pPr>
      <w:r>
        <w:rPr>
          <w:rFonts w:hint="eastAsia"/>
          <w:color w:val="auto"/>
          <w:highlight w:val="none"/>
        </w:rPr>
        <w:t>为最终用户提供紧急的支援服务等。</w:t>
      </w:r>
    </w:p>
    <w:p>
      <w:pPr>
        <w:pStyle w:val="3"/>
        <w:tabs>
          <w:tab w:val="left" w:pos="-240"/>
          <w:tab w:val="clear" w:pos="432"/>
        </w:tabs>
        <w:spacing w:before="156" w:after="156" w:line="600" w:lineRule="exact"/>
        <w:ind w:left="-2" w:hanging="2"/>
        <w:rPr>
          <w:color w:val="auto"/>
          <w:highlight w:val="none"/>
        </w:rPr>
      </w:pPr>
      <w:bookmarkStart w:id="124" w:name="_Toc523850210"/>
      <w:bookmarkStart w:id="125" w:name="_Toc6541"/>
      <w:bookmarkStart w:id="126" w:name="_Toc3518"/>
      <w:bookmarkStart w:id="127" w:name="_Toc31833"/>
      <w:r>
        <w:rPr>
          <w:rFonts w:hint="eastAsia"/>
          <w:color w:val="auto"/>
          <w:highlight w:val="none"/>
        </w:rPr>
        <w:t>技术指标要求</w:t>
      </w:r>
      <w:bookmarkEnd w:id="79"/>
      <w:bookmarkEnd w:id="124"/>
      <w:bookmarkEnd w:id="125"/>
      <w:bookmarkEnd w:id="126"/>
      <w:bookmarkEnd w:id="127"/>
    </w:p>
    <w:p>
      <w:pPr>
        <w:pStyle w:val="4"/>
        <w:spacing w:before="156" w:after="156" w:line="600" w:lineRule="exact"/>
        <w:ind w:left="578" w:hanging="578"/>
        <w:rPr>
          <w:color w:val="auto"/>
          <w:highlight w:val="none"/>
        </w:rPr>
      </w:pPr>
      <w:bookmarkStart w:id="128" w:name="_Toc26359"/>
      <w:bookmarkStart w:id="129" w:name="_Toc2606"/>
      <w:bookmarkStart w:id="130" w:name="_Toc523850211"/>
      <w:bookmarkStart w:id="131" w:name="_Toc21730"/>
      <w:r>
        <w:rPr>
          <w:rFonts w:hint="eastAsia"/>
          <w:color w:val="auto"/>
          <w:highlight w:val="none"/>
        </w:rPr>
        <w:t>基本要求</w:t>
      </w:r>
      <w:bookmarkEnd w:id="128"/>
      <w:bookmarkEnd w:id="129"/>
      <w:bookmarkEnd w:id="130"/>
      <w:bookmarkEnd w:id="131"/>
    </w:p>
    <w:p>
      <w:pPr>
        <w:pStyle w:val="89"/>
        <w:pageBreakBefore w:val="0"/>
        <w:widowControl w:val="0"/>
        <w:numPr>
          <w:ilvl w:val="0"/>
          <w:numId w:val="10"/>
        </w:numPr>
        <w:kinsoku/>
        <w:wordWrap/>
        <w:overflowPunct/>
        <w:autoSpaceDE/>
        <w:autoSpaceDN/>
        <w:bidi w:val="0"/>
        <w:adjustRightInd w:val="0"/>
        <w:snapToGrid w:val="0"/>
        <w:spacing w:line="600" w:lineRule="exact"/>
        <w:ind w:left="0" w:firstLine="431" w:firstLineChars="0"/>
        <w:rPr>
          <w:color w:val="auto"/>
          <w:highlight w:val="none"/>
        </w:rPr>
      </w:pPr>
      <w:r>
        <w:rPr>
          <w:rFonts w:hint="eastAsia"/>
          <w:color w:val="auto"/>
          <w:highlight w:val="none"/>
        </w:rPr>
        <w:t>本技术参数要求是招标方最低技术参数要求，投标方所投产品不得低于本技术参数要求。</w:t>
      </w:r>
    </w:p>
    <w:p>
      <w:pPr>
        <w:pStyle w:val="89"/>
        <w:pageBreakBefore w:val="0"/>
        <w:widowControl w:val="0"/>
        <w:numPr>
          <w:ilvl w:val="0"/>
          <w:numId w:val="10"/>
        </w:numPr>
        <w:kinsoku/>
        <w:wordWrap/>
        <w:overflowPunct/>
        <w:autoSpaceDE/>
        <w:autoSpaceDN/>
        <w:bidi w:val="0"/>
        <w:adjustRightInd w:val="0"/>
        <w:snapToGrid w:val="0"/>
        <w:spacing w:line="600" w:lineRule="exact"/>
        <w:ind w:left="0" w:firstLine="431" w:firstLineChars="0"/>
        <w:rPr>
          <w:color w:val="auto"/>
          <w:highlight w:val="none"/>
        </w:rPr>
      </w:pPr>
      <w:r>
        <w:rPr>
          <w:rFonts w:hint="eastAsia"/>
          <w:color w:val="auto"/>
          <w:highlight w:val="none"/>
        </w:rPr>
        <w:t>投标方必须根据本技术规范书的编排顺序，逐项逐条地给予明确的答复，并给出具体数值。</w:t>
      </w:r>
    </w:p>
    <w:p>
      <w:pPr>
        <w:pStyle w:val="89"/>
        <w:pageBreakBefore w:val="0"/>
        <w:widowControl w:val="0"/>
        <w:numPr>
          <w:ilvl w:val="0"/>
          <w:numId w:val="10"/>
        </w:numPr>
        <w:kinsoku/>
        <w:wordWrap/>
        <w:overflowPunct/>
        <w:autoSpaceDE/>
        <w:autoSpaceDN/>
        <w:bidi w:val="0"/>
        <w:adjustRightInd w:val="0"/>
        <w:snapToGrid w:val="0"/>
        <w:spacing w:line="600" w:lineRule="exact"/>
        <w:ind w:left="0" w:firstLine="431" w:firstLineChars="0"/>
        <w:rPr>
          <w:color w:val="auto"/>
          <w:highlight w:val="none"/>
        </w:rPr>
      </w:pPr>
      <w:r>
        <w:rPr>
          <w:rFonts w:hint="eastAsia"/>
          <w:color w:val="auto"/>
          <w:highlight w:val="none"/>
        </w:rPr>
        <w:t>投标方应出具相关证明文件，并盖公司章确认。</w:t>
      </w:r>
    </w:p>
    <w:p>
      <w:pPr>
        <w:pStyle w:val="4"/>
        <w:pageBreakBefore w:val="0"/>
        <w:widowControl w:val="0"/>
        <w:kinsoku/>
        <w:wordWrap/>
        <w:overflowPunct/>
        <w:autoSpaceDE/>
        <w:autoSpaceDN/>
        <w:bidi w:val="0"/>
        <w:adjustRightInd w:val="0"/>
        <w:snapToGrid w:val="0"/>
        <w:spacing w:beforeLines="0" w:afterLines="0" w:line="600" w:lineRule="exact"/>
        <w:ind w:left="578" w:hanging="578"/>
        <w:rPr>
          <w:rFonts w:hint="default" w:eastAsia="宋体"/>
          <w:color w:val="auto"/>
          <w:lang w:val="en-US" w:eastAsia="zh-CN"/>
        </w:rPr>
      </w:pPr>
      <w:bookmarkStart w:id="132" w:name="_Toc124406438"/>
      <w:bookmarkStart w:id="133" w:name="_Toc523850212"/>
      <w:bookmarkStart w:id="134" w:name="_Toc4841"/>
      <w:bookmarkStart w:id="135" w:name="_Toc1288"/>
      <w:bookmarkStart w:id="136" w:name="_Toc30103"/>
      <w:r>
        <w:rPr>
          <w:rFonts w:hint="eastAsia"/>
          <w:color w:val="auto"/>
          <w:highlight w:val="none"/>
        </w:rPr>
        <w:t>主要技术要求</w:t>
      </w:r>
      <w:bookmarkEnd w:id="132"/>
      <w:bookmarkEnd w:id="133"/>
      <w:bookmarkEnd w:id="134"/>
      <w:bookmarkEnd w:id="135"/>
      <w:r>
        <w:rPr>
          <w:rFonts w:hint="eastAsia"/>
          <w:color w:val="auto"/>
          <w:highlight w:val="none"/>
        </w:rPr>
        <w:t>及性能指标</w:t>
      </w:r>
      <w:bookmarkEnd w:id="136"/>
    </w:p>
    <w:tbl>
      <w:tblPr>
        <w:tblStyle w:val="33"/>
        <w:tblW w:w="1040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47"/>
        <w:gridCol w:w="2038"/>
        <w:gridCol w:w="7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序号</w:t>
            </w:r>
          </w:p>
        </w:tc>
        <w:tc>
          <w:tcPr>
            <w:tcW w:w="20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7"/>
              <w:bidi w:val="0"/>
              <w:jc w:val="center"/>
              <w:rPr>
                <w:rFonts w:hint="eastAsia"/>
                <w:color w:val="auto"/>
                <w:lang w:val="en-US" w:eastAsia="zh-CN"/>
              </w:rPr>
            </w:pPr>
            <w:r>
              <w:rPr>
                <w:rFonts w:hint="eastAsia"/>
                <w:color w:val="auto"/>
                <w:lang w:val="en-US" w:eastAsia="zh-CN"/>
              </w:rPr>
              <w:t>名称</w:t>
            </w:r>
          </w:p>
        </w:tc>
        <w:tc>
          <w:tcPr>
            <w:tcW w:w="741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7"/>
              <w:bidi w:val="0"/>
              <w:ind w:left="0" w:leftChars="0" w:firstLine="0" w:firstLineChars="0"/>
              <w:jc w:val="center"/>
              <w:rPr>
                <w:rFonts w:hint="default"/>
                <w:color w:val="auto"/>
                <w:lang w:val="en-US" w:eastAsia="zh-CN"/>
              </w:rPr>
            </w:pPr>
            <w:r>
              <w:rPr>
                <w:rFonts w:hint="eastAsia"/>
                <w:color w:val="auto"/>
                <w:lang w:val="en-US" w:eastAsia="zh-CN"/>
              </w:rPr>
              <w:t>技术参数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1</w:t>
            </w:r>
          </w:p>
        </w:tc>
        <w:tc>
          <w:tcPr>
            <w:tcW w:w="20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both"/>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16路电源时序器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（带RS232中控+滤波器）</w:t>
            </w:r>
          </w:p>
        </w:tc>
        <w:tc>
          <w:tcPr>
            <w:tcW w:w="74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1.适用范围:用于多媒体会议厅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2.电力输入条件(单相3线):AC90-260V 50-60HZ两相（三线：零，火，地）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3.通道数量:16路万用插座继电器受控与2路万用插座直通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4.继电器受控输出最大承受单路功率/总功率(无功功率):1000W/7000W最大承受无功功率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5.输出电源插座规格:阻燃ABS材料，最大可承受10A电流磷铜材质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6.面 板通道独立关闭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7.每路开关间隔时间/定时时间:默认1秒（通过软件自由设置）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8.输出继电器触点电流:30A 277VAC</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9.电路板规格:双面纤维板，主电源走线二次加厚加粗处理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10.供电规格:内置开关电源，适用全球电压AC90-260V 50-60HZ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11.主电缆线规格:外接线接入双闸刀断路开关L N接线（不配电缆线与插头）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12.开启类型:按键式轻触开关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13.单路独立开关功能:支持面板独立控制（可软件设定控制）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14.功能显示电压显示表类型:翠绿色数码管显示电压表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15.叠机级联功能:有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16.外接控制开关接口:RS232 COM接口/WAN以太网/WIFI中控控制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17.随机控制软件及支持中控功能与ID数量分配:自带指令代码与控制软件，支持中控控制，ID:0-255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18.电源净化功能（EMI专业电网滤波器）:无（可选配单独或每路带滤波器）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19.短路过流保护断路器配置:断路器零，火线控制，漏电电流保护In 30MA/T≤0.1s，过流保护,（63A短路保护)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2</w:t>
            </w:r>
          </w:p>
        </w:tc>
        <w:tc>
          <w:tcPr>
            <w:tcW w:w="20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both"/>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U段一拖四无线会议式话筒（可拆式 A-05长杆）</w:t>
            </w:r>
          </w:p>
        </w:tc>
        <w:tc>
          <w:tcPr>
            <w:tcW w:w="7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80" w:firstLineChars="20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技术参数：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1.载波频率范围：616Hz-677MHz（可定制）调制方式：FM调频 最大频偏：±45KHz  频率响应：50Hz-15KHz  信噪比（S/N）：&gt;105dB(A) 失真度：（1KHz）：&lt;0.3%  工作温度：-10℃~55℃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工作距离：80米（理想环境下）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接收机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1.振荡模式：PLL（数字频率合成器）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2.杂散抑制：≥80dB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3.镜像抑制：≥80dB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4.灵敏度：5dBuV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5.音频输出电平：平衡输出（XLR output jack）:250mV/600Ω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6.非平衡输出（1/4” output jack）:400mV/3KΩ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7.工作电压：DC 12V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8.工作电流：500mA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发射器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1.RF功率输出：最大30mW（取决于适用的国家范围）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2.振荡模式：PLL（数字频率合成器）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3.发射频率稳定度：＜30ppm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4.动态范围：≥100dB（A）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5.频率响应：50Hz-15KHz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6.最大输入声压：130dB SPL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7.话筒拾音头：电容式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3</w:t>
            </w:r>
          </w:p>
        </w:tc>
        <w:tc>
          <w:tcPr>
            <w:tcW w:w="20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both"/>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真分集U段一拖二无线手持话筒</w:t>
            </w:r>
          </w:p>
        </w:tc>
        <w:tc>
          <w:tcPr>
            <w:tcW w:w="7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80" w:firstLineChars="20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接收机 技术参数：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1.载波频段： 615-665MHz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2.调制方式：FM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3.振荡方式：PLL相位锁定频率合成器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4.频率稳定性：±0.0005%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5.灵敏度：在偏移度等于25KHz，输入6dBμV时，S/N&gt;60dB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6.最大偏移度：±45kHz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7.频带宽度：40MHz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8.综合S/N比：&gt;108 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9.综合T.H.D.：&lt;0.4% @ 1 KHz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10.综合频率响应：65Hz~18kHz ± 3dB,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11.最大输出电压：平衡式：-20dBV/100Ω,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12.非平衡式：-4dBV/5KΩ.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13.输出插座：XLR平衡式及6.3φ不平衡式插座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14.面板按键：手持及腰包按键切换和显示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15.有效距离：一般100米（可视范围）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发射器 技术参数：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1.载波频段： 615-665MHz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2.振荡模式：PLL相位锁定频率合成器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3.谐波辐射：&lt; -63dBm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4.频带宽度：80MHz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5.最大偏移度： ± 45KHz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6.功率输出： 3 0mW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7.频率响应： 50Hz~18KHz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8.最大输入声压：130dB SPL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9.音头：手持动圈式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4</w:t>
            </w:r>
          </w:p>
        </w:tc>
        <w:tc>
          <w:tcPr>
            <w:tcW w:w="20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both"/>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真分集U段一拖二无线腰包式话筒（领夹）</w:t>
            </w:r>
          </w:p>
        </w:tc>
        <w:tc>
          <w:tcPr>
            <w:tcW w:w="7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接收机 技术参数：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1.载波频段： 615-665MHz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2.调制方式：FM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3.振荡方式：PLL相位锁定频率合成器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4.频率稳定性：±0.0005%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5.灵敏度：在偏移度等于25KHz，输入6dBμV时，S/N&gt;60dB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6.最大偏移度：±45kHz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7.频带宽度：40MHz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8.综合S/N比：&gt;108 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9.综合T.H.D.：&lt;0.4% @ 1 KHz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10.综合频率响应：65Hz~18kHz ± 3dB,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11.最大输出电压：平衡式：-20dBV/100Ω,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12.非平衡式：-4dBV/5KΩ.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13.输出插座：XLR平衡式及6.3φ不平衡式插座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14.面板按键：手持及腰包按键切换和显示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15.有效距离：一般100米（可视范围）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发射器 技术参数：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1.载波频段： 615-665MHz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2.振荡模式：PLL相位锁定频率合成器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3.谐波辐射：&lt; -63dBm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4.频带宽度：80MHz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5.最大偏移度： ± 45KHz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6.功率输出： 3 0mW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7.频率响应： 50Hz~18KHz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8.最大输入声压：130dB SPL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9.音头：领夹电容式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5</w:t>
            </w:r>
          </w:p>
        </w:tc>
        <w:tc>
          <w:tcPr>
            <w:tcW w:w="20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both"/>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数字防啸叫处理器</w:t>
            </w:r>
          </w:p>
        </w:tc>
        <w:tc>
          <w:tcPr>
            <w:tcW w:w="7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80" w:firstLineChars="20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技术参数: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1.输入通道数量:4通道(4通道平衡输入或者选择4通道6.35非平衡输入)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2.供电电压:4通道48V幻像供电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3.额定电压: 220V±10% 50Hz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4.取样频率: 32KHz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5.频率响应: 125Hz~15KHz(语音模式)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6.20Hz~15KHz (音乐模式)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7.失真:   &gt;0.1%@ 1KHz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8.信噪比: &gt;90dB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9.信号延迟: 7Ms (音乐模式)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10.11MS (语音模式)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11.输入阻抗: 20K ohm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12.输出阻抗:(平衡)200ohm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13.温度范围: -10~55℃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6</w:t>
            </w:r>
          </w:p>
        </w:tc>
        <w:tc>
          <w:tcPr>
            <w:tcW w:w="20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both"/>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调音台</w:t>
            </w:r>
          </w:p>
        </w:tc>
        <w:tc>
          <w:tcPr>
            <w:tcW w:w="7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80" w:firstLineChars="20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技术参数：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1.最大电平：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2.麦克风输入： +22dBu</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3.所有其他输入： +22dBu</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4.主混音 TRS 输出和 XLR 输出： +28dBu</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5.所有其他输出： +22dBu</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6.总谐波失真：（1 KHz 35dB 增益，20Hz-20kHz 带宽）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7.麦克风输入到加插插出： ﹤0.02%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8.噪声：-98 dBu</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9.信噪比：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10.通道线路和话筒输入： 103db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11.监听输出： 85dB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12.效果/辅助输出： 83dB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13.等效输入噪声(EIN)：150ohm：-129.5dBu 20Hz-20kHz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14.通道串音衰减度：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15.启用通道静音开关：-82dBu</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16.通道增益旋钮减少：-82dBu</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17.频率响应：20Hz-40KHz +0dB/-1dB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20Hz-60KHz +0dB/-3dB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18.共模抑制比=CMRR</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19.麦克风输入到发送输出，最大增益限度：1KHz  -70dB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20.阻抗：麦克风输入： 2.5千欧  通道插入返回：2.5千欧  所有其他输入： 10 千欧或更高  录音输出： 1.1千欧  所有其他输出：120 欧姆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21.均衡:高频：±15dB@12KHz  中频扫频： ±15dB@240-6KHz  中频： ±15dB  低频：±15dB@80Hz</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7</w:t>
            </w:r>
          </w:p>
        </w:tc>
        <w:tc>
          <w:tcPr>
            <w:tcW w:w="20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both"/>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四进八出音频处理器（48k）</w:t>
            </w:r>
          </w:p>
        </w:tc>
        <w:tc>
          <w:tcPr>
            <w:tcW w:w="7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80" w:firstLineChars="20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1.THD+N 失真：≤0.002% @ 4dBu 20Hz-20KHz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2.输入阻抗/输出阻抗：输入阻抗：10KΩ平衡式/20KΩ非平衡式， 输出阻抗：50Ω平衡式/100Ω非平衡式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3.频率响应：20Hz – 20KHz±0.1dB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4.采样率：48KHz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5.模拟输入/模拟输出：4进8出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6.默认输出电平：0dBu</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7.最大输入/输出电平：18dBu</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8.系统延时：≤1.7ms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9.最大底噪：-92dBu</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10.动态范围：≥110dB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11.S/N信噪比：≥110dB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12.输入/输出均衡：11段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13.32位ADC/24位DAC：有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14.全通滤波：有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DSP 处理：采用TI 的OMAP-L138高性能DSP，计算能力高达每秒3648 MIPS 或2746 MFLOPS。内置多种音频算法，最高采样率支持到96KHz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1.参数均衡器：输入和输出通道最多支持到16段均衡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2.6种滤波器类型：峰值，陷波，一阶全通，二阶全通，高架，低架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3.滤波器增益范围：-30dB  ~ +30dB，步进精度为：0.1dB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4.输入/输出增益范围：-72dB ~ +12dB，步进精度为：0.1dB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5.中心频率：在20Hz~20kHz频带范围内以1Hz的步进精度可供调节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6.滤波器Q值/带宽：峰值，陷波，二阶全通, Q值： 0.18 ~ 144.27</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7.延时：每路输入和输出通道都有高达2000 ms 延时可调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8</w:t>
            </w:r>
          </w:p>
        </w:tc>
        <w:tc>
          <w:tcPr>
            <w:tcW w:w="20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both"/>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1U双通道数字功放</w:t>
            </w:r>
          </w:p>
        </w:tc>
        <w:tc>
          <w:tcPr>
            <w:tcW w:w="7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80" w:firstLineChars="20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技术参数：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1.立体声输出功率8Ω：2x350W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2.立体声输出功率4Ω：2x630W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3.频率响应：15-30kHz(±1dB)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4.转换频率：28V/µs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5.阻尼系数，1kHz,8Ω：&gt;240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6.输入灵敏度：0.775V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7.总谐波失真：&lt;0.1%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8.信噪比：100dB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9.输入插座：母卡侬</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10.输出方式：Speakon</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11.输入阻抗：20KΩ平衡，10KΩ平衡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12.电源要求(AC)：AC90-264V~50-60Hz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13.电压范围(AC)：AC90-264V~50-60Hz</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9</w:t>
            </w:r>
          </w:p>
        </w:tc>
        <w:tc>
          <w:tcPr>
            <w:tcW w:w="20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both"/>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 xml:space="preserve">单10寸全频专业音箱 </w:t>
            </w:r>
          </w:p>
        </w:tc>
        <w:tc>
          <w:tcPr>
            <w:tcW w:w="7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80" w:firstLineChars="20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1.电性参数：二分频二单元10寸音箱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2.频响范围(±3dB):55Hz-20KHz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3.声压灵敏度（1瓦.1米）:97 dB SPL.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4.最大连续声压级:105 dB SPL.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5.功率（连续/峰值）:250W/500W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6.输入阻抗:8 ohm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7.低频:1 × 10"WF</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8.高频:1 × 1"（25芯）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4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17"/>
              <w:bidi w:val="0"/>
              <w:ind w:left="0" w:leftChars="0" w:firstLine="0" w:firstLineChars="0"/>
              <w:jc w:val="center"/>
              <w:rPr>
                <w:rFonts w:hint="eastAsia"/>
                <w:color w:val="auto"/>
                <w:lang w:val="en-US" w:eastAsia="zh-CN"/>
              </w:rPr>
            </w:pPr>
            <w:r>
              <w:rPr>
                <w:rFonts w:hint="eastAsia"/>
                <w:color w:val="auto"/>
                <w:lang w:val="en-US" w:eastAsia="zh-CN"/>
              </w:rPr>
              <w:t>10</w:t>
            </w:r>
          </w:p>
        </w:tc>
        <w:tc>
          <w:tcPr>
            <w:tcW w:w="20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both"/>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16U设备机柜</w:t>
            </w:r>
          </w:p>
        </w:tc>
        <w:tc>
          <w:tcPr>
            <w:tcW w:w="7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16U音频机柜</w:t>
            </w:r>
          </w:p>
        </w:tc>
      </w:tr>
    </w:tbl>
    <w:p>
      <w:pPr>
        <w:rPr>
          <w:rFonts w:hint="default"/>
          <w:color w:val="auto"/>
          <w:lang w:val="en-US" w:eastAsia="zh-CN"/>
        </w:rPr>
      </w:pPr>
    </w:p>
    <w:p>
      <w:pPr>
        <w:pStyle w:val="4"/>
        <w:spacing w:before="156" w:after="156" w:line="600" w:lineRule="exact"/>
        <w:ind w:left="578" w:hanging="578"/>
        <w:rPr>
          <w:color w:val="auto"/>
          <w:highlight w:val="none"/>
        </w:rPr>
      </w:pPr>
      <w:bookmarkStart w:id="137" w:name="_Toc24138"/>
      <w:bookmarkStart w:id="138" w:name="_Toc518408537"/>
      <w:bookmarkStart w:id="139" w:name="_Toc124406447"/>
      <w:r>
        <w:rPr>
          <w:rFonts w:hint="eastAsia"/>
          <w:color w:val="auto"/>
          <w:highlight w:val="none"/>
        </w:rPr>
        <w:t>实施要求</w:t>
      </w:r>
      <w:bookmarkEnd w:id="137"/>
    </w:p>
    <w:p>
      <w:pPr>
        <w:pStyle w:val="89"/>
        <w:numPr>
          <w:ilvl w:val="0"/>
          <w:numId w:val="11"/>
        </w:numPr>
        <w:spacing w:line="600" w:lineRule="exact"/>
        <w:ind w:left="0" w:firstLine="431" w:firstLineChars="0"/>
        <w:rPr>
          <w:color w:val="auto"/>
          <w:highlight w:val="none"/>
        </w:rPr>
      </w:pPr>
      <w:bookmarkStart w:id="140" w:name="_Toc19691"/>
      <w:r>
        <w:rPr>
          <w:rFonts w:hint="eastAsia"/>
          <w:color w:val="auto"/>
          <w:highlight w:val="none"/>
        </w:rPr>
        <w:t>负责编制</w:t>
      </w:r>
      <w:r>
        <w:rPr>
          <w:rFonts w:hint="eastAsia"/>
          <w:color w:val="auto"/>
          <w:highlight w:val="none"/>
          <w:lang w:val="en-US" w:eastAsia="zh-CN"/>
        </w:rPr>
        <w:t>到货</w:t>
      </w:r>
      <w:r>
        <w:rPr>
          <w:rFonts w:hint="eastAsia"/>
          <w:color w:val="auto"/>
          <w:highlight w:val="none"/>
        </w:rPr>
        <w:t>资料、终验资料。</w:t>
      </w:r>
    </w:p>
    <w:p>
      <w:pPr>
        <w:pStyle w:val="89"/>
        <w:numPr>
          <w:ilvl w:val="0"/>
          <w:numId w:val="11"/>
        </w:numPr>
        <w:spacing w:line="600" w:lineRule="exact"/>
        <w:ind w:left="0" w:firstLine="431" w:firstLineChars="0"/>
        <w:rPr>
          <w:color w:val="auto"/>
          <w:highlight w:val="none"/>
        </w:rPr>
      </w:pPr>
      <w:r>
        <w:rPr>
          <w:rFonts w:hint="eastAsia"/>
          <w:color w:val="auto"/>
          <w:highlight w:val="none"/>
        </w:rPr>
        <w:t>供货时每台设备粘PVC纸运维标签，标签内容至少包括以下：保修期限、原厂</w:t>
      </w:r>
      <w:r>
        <w:rPr>
          <w:rFonts w:hint="eastAsia" w:hAnsi="宋体"/>
          <w:color w:val="auto"/>
          <w:highlight w:val="none"/>
        </w:rPr>
        <w:t>24小时全国免费售后服务电话</w:t>
      </w:r>
      <w:r>
        <w:rPr>
          <w:rFonts w:hint="eastAsia"/>
          <w:color w:val="auto"/>
          <w:highlight w:val="none"/>
        </w:rPr>
        <w:t>、海南本地售后服务电话、供应商24小时服务电话。</w:t>
      </w:r>
    </w:p>
    <w:p>
      <w:pPr>
        <w:pStyle w:val="89"/>
        <w:numPr>
          <w:ilvl w:val="0"/>
          <w:numId w:val="11"/>
        </w:numPr>
        <w:spacing w:line="600" w:lineRule="exact"/>
        <w:ind w:left="0" w:firstLine="431" w:firstLineChars="0"/>
        <w:rPr>
          <w:color w:val="auto"/>
          <w:highlight w:val="none"/>
        </w:rPr>
      </w:pPr>
      <w:r>
        <w:rPr>
          <w:rFonts w:hint="eastAsia" w:ascii="宋体" w:hAnsi="宋体" w:cs="宋体"/>
          <w:color w:val="auto"/>
          <w:szCs w:val="21"/>
          <w:highlight w:val="none"/>
        </w:rPr>
        <w:t>投标方负责所供产品的安装调试、业务割接和验收测试，并自备设备安装、测试、运行维护所需的工具和设备。</w:t>
      </w:r>
    </w:p>
    <w:p>
      <w:pPr>
        <w:pStyle w:val="89"/>
        <w:numPr>
          <w:ilvl w:val="0"/>
          <w:numId w:val="11"/>
        </w:numPr>
        <w:spacing w:line="600" w:lineRule="exact"/>
        <w:ind w:left="0" w:firstLine="431" w:firstLineChars="0"/>
        <w:rPr>
          <w:color w:val="auto"/>
          <w:highlight w:val="none"/>
        </w:rPr>
      </w:pPr>
      <w:r>
        <w:rPr>
          <w:rFonts w:hint="eastAsia" w:ascii="宋体" w:hAnsi="宋体" w:cs="宋体"/>
          <w:color w:val="auto"/>
          <w:szCs w:val="21"/>
          <w:highlight w:val="none"/>
        </w:rPr>
        <w:t>如果招标方认为有必要，投标方应派技术人员到现场配合进行适配性测试，并根据测试结果，配合开展所投产品的适配改造和调优，改造和调优过程中产生的费用由投标方负责。</w:t>
      </w:r>
    </w:p>
    <w:p>
      <w:pPr>
        <w:pStyle w:val="3"/>
        <w:tabs>
          <w:tab w:val="left" w:pos="0"/>
          <w:tab w:val="clear" w:pos="432"/>
        </w:tabs>
        <w:spacing w:before="156" w:after="156" w:line="600" w:lineRule="exact"/>
        <w:ind w:left="2" w:leftChars="-58" w:hanging="141" w:hangingChars="50"/>
        <w:rPr>
          <w:color w:val="auto"/>
          <w:highlight w:val="none"/>
        </w:rPr>
      </w:pPr>
      <w:bookmarkStart w:id="141" w:name="_Toc523850215"/>
      <w:bookmarkStart w:id="142" w:name="_Toc15077"/>
      <w:bookmarkStart w:id="143" w:name="_Toc7829"/>
      <w:r>
        <w:rPr>
          <w:rFonts w:hint="eastAsia"/>
          <w:color w:val="auto"/>
          <w:highlight w:val="none"/>
        </w:rPr>
        <w:t>测试</w:t>
      </w:r>
      <w:bookmarkEnd w:id="138"/>
      <w:bookmarkEnd w:id="139"/>
      <w:r>
        <w:rPr>
          <w:rFonts w:hint="eastAsia"/>
          <w:color w:val="auto"/>
          <w:highlight w:val="none"/>
        </w:rPr>
        <w:t>及验收</w:t>
      </w:r>
      <w:bookmarkEnd w:id="140"/>
      <w:bookmarkEnd w:id="141"/>
      <w:bookmarkEnd w:id="142"/>
      <w:bookmarkEnd w:id="143"/>
    </w:p>
    <w:p>
      <w:pPr>
        <w:pStyle w:val="4"/>
        <w:tabs>
          <w:tab w:val="left" w:pos="756"/>
          <w:tab w:val="clear" w:pos="576"/>
        </w:tabs>
        <w:spacing w:before="156" w:after="156" w:line="600" w:lineRule="exact"/>
        <w:ind w:left="578" w:hanging="578"/>
        <w:rPr>
          <w:color w:val="auto"/>
          <w:highlight w:val="none"/>
        </w:rPr>
      </w:pPr>
      <w:bookmarkStart w:id="144" w:name="_Toc523850216"/>
      <w:bookmarkStart w:id="145" w:name="_Toc10997"/>
      <w:bookmarkStart w:id="146" w:name="_Toc317236947"/>
      <w:bookmarkStart w:id="147" w:name="_Toc374"/>
      <w:bookmarkStart w:id="148" w:name="_Toc271893793"/>
      <w:bookmarkStart w:id="149" w:name="_Toc15209"/>
      <w:bookmarkStart w:id="150" w:name="_Toc10509"/>
      <w:r>
        <w:rPr>
          <w:rFonts w:hint="eastAsia"/>
          <w:color w:val="auto"/>
          <w:highlight w:val="none"/>
        </w:rPr>
        <w:t>概述</w:t>
      </w:r>
      <w:bookmarkEnd w:id="144"/>
      <w:bookmarkEnd w:id="145"/>
      <w:bookmarkEnd w:id="146"/>
      <w:bookmarkEnd w:id="147"/>
      <w:bookmarkEnd w:id="148"/>
      <w:bookmarkEnd w:id="149"/>
      <w:bookmarkEnd w:id="150"/>
    </w:p>
    <w:p>
      <w:pPr>
        <w:pStyle w:val="89"/>
        <w:spacing w:line="600" w:lineRule="exact"/>
        <w:rPr>
          <w:color w:val="auto"/>
          <w:highlight w:val="none"/>
        </w:rPr>
      </w:pPr>
      <w:r>
        <w:rPr>
          <w:rFonts w:hint="eastAsia"/>
          <w:color w:val="auto"/>
          <w:highlight w:val="none"/>
        </w:rPr>
        <w:t>投标方提供的产品应根据招标方同意的程序进行检验和测试，并在投标书中给出参考的测试目的、内容。招标方保留根据投标方的承诺而监视试验的权利。</w:t>
      </w:r>
    </w:p>
    <w:p>
      <w:pPr>
        <w:pStyle w:val="89"/>
        <w:spacing w:line="600" w:lineRule="exact"/>
        <w:rPr>
          <w:color w:val="auto"/>
          <w:highlight w:val="none"/>
        </w:rPr>
      </w:pPr>
      <w:r>
        <w:rPr>
          <w:rFonts w:hint="eastAsia"/>
          <w:color w:val="auto"/>
          <w:highlight w:val="none"/>
        </w:rPr>
        <w:t>当产品部署后，如发现产品有缺陷或当安装完毕后按投标方的出厂试验报告数据进行现场测试时，发现指标达不到投标方提供的产品技术数据和招标方技术规范要求的技术性能时，投标方应免费为招标方更换，然后进行系统测试和验收。</w:t>
      </w:r>
    </w:p>
    <w:p>
      <w:pPr>
        <w:pStyle w:val="89"/>
        <w:spacing w:line="600" w:lineRule="exact"/>
        <w:rPr>
          <w:color w:val="auto"/>
          <w:highlight w:val="none"/>
        </w:rPr>
      </w:pPr>
      <w:r>
        <w:rPr>
          <w:rFonts w:hint="eastAsia"/>
          <w:color w:val="auto"/>
          <w:highlight w:val="none"/>
        </w:rPr>
        <w:t>投标方必须协助招标方进行验收，由投标方原因导致验收不通过，由此产生的一切损失由投标方承担。</w:t>
      </w:r>
    </w:p>
    <w:p>
      <w:pPr>
        <w:pStyle w:val="89"/>
        <w:spacing w:line="600" w:lineRule="exact"/>
        <w:rPr>
          <w:color w:val="auto"/>
          <w:highlight w:val="none"/>
        </w:rPr>
      </w:pPr>
      <w:r>
        <w:rPr>
          <w:rFonts w:hint="eastAsia"/>
          <w:color w:val="auto"/>
          <w:highlight w:val="none"/>
        </w:rPr>
        <w:t>整个验收分为两个阶段：</w:t>
      </w:r>
      <w:r>
        <w:rPr>
          <w:rFonts w:hint="eastAsia"/>
          <w:color w:val="auto"/>
          <w:highlight w:val="none"/>
          <w:u w:val="single"/>
        </w:rPr>
        <w:t>到货验收和竣工验收</w:t>
      </w:r>
      <w:r>
        <w:rPr>
          <w:rFonts w:hint="eastAsia"/>
          <w:color w:val="auto"/>
          <w:highlight w:val="none"/>
        </w:rPr>
        <w:t>。</w:t>
      </w:r>
    </w:p>
    <w:p>
      <w:pPr>
        <w:pStyle w:val="4"/>
        <w:tabs>
          <w:tab w:val="left" w:pos="756"/>
          <w:tab w:val="clear" w:pos="576"/>
        </w:tabs>
        <w:spacing w:before="156" w:after="156" w:line="600" w:lineRule="exact"/>
        <w:ind w:left="578" w:hanging="578"/>
        <w:rPr>
          <w:color w:val="auto"/>
          <w:highlight w:val="none"/>
        </w:rPr>
      </w:pPr>
      <w:bookmarkStart w:id="151" w:name="_Toc24119"/>
      <w:bookmarkStart w:id="152" w:name="_Toc10128"/>
      <w:r>
        <w:rPr>
          <w:rFonts w:hint="eastAsia"/>
          <w:color w:val="auto"/>
          <w:highlight w:val="none"/>
        </w:rPr>
        <w:t>到货验收</w:t>
      </w:r>
      <w:bookmarkEnd w:id="151"/>
      <w:bookmarkEnd w:id="152"/>
    </w:p>
    <w:p>
      <w:pPr>
        <w:pStyle w:val="89"/>
        <w:spacing w:line="600" w:lineRule="exact"/>
        <w:rPr>
          <w:color w:val="auto"/>
          <w:highlight w:val="none"/>
        </w:rPr>
      </w:pPr>
      <w:r>
        <w:rPr>
          <w:rFonts w:hint="eastAsia"/>
          <w:color w:val="auto"/>
          <w:highlight w:val="none"/>
        </w:rPr>
        <w:t>根据中标产品的技术规范要求和质量标准，对产品进行检查验收，对产品有异议，招标方有权当场拒收。如发现数量不足或有质量等问题，中标方负责按照招标方的要求采取补足、更换或退货等处理措施，并承担由此发生的一切损失和费用。</w:t>
      </w:r>
    </w:p>
    <w:p>
      <w:pPr>
        <w:pStyle w:val="89"/>
        <w:numPr>
          <w:ilvl w:val="0"/>
          <w:numId w:val="12"/>
        </w:numPr>
        <w:spacing w:line="600" w:lineRule="exact"/>
        <w:ind w:left="0" w:firstLine="431" w:firstLineChars="0"/>
        <w:rPr>
          <w:color w:val="auto"/>
          <w:highlight w:val="none"/>
        </w:rPr>
      </w:pPr>
      <w:r>
        <w:rPr>
          <w:rFonts w:hint="eastAsia"/>
          <w:color w:val="auto"/>
          <w:highlight w:val="none"/>
        </w:rPr>
        <w:t>产品设备齐全，包装完整，经开箱检查后型号及规格与合同设备清单一致，设备加电检测工作正常后，视为到货验收合格。</w:t>
      </w:r>
    </w:p>
    <w:p>
      <w:pPr>
        <w:pStyle w:val="4"/>
        <w:tabs>
          <w:tab w:val="left" w:pos="756"/>
          <w:tab w:val="clear" w:pos="576"/>
        </w:tabs>
        <w:spacing w:before="156" w:after="156" w:line="600" w:lineRule="exact"/>
        <w:ind w:left="578" w:hanging="578"/>
        <w:rPr>
          <w:color w:val="auto"/>
          <w:highlight w:val="none"/>
        </w:rPr>
      </w:pPr>
      <w:bookmarkStart w:id="153" w:name="_Toc12490"/>
      <w:bookmarkStart w:id="154" w:name="_Toc32538"/>
      <w:bookmarkStart w:id="155" w:name="_Toc17697"/>
      <w:bookmarkStart w:id="156" w:name="_Toc3132"/>
      <w:bookmarkStart w:id="157" w:name="_Toc523850218"/>
      <w:bookmarkStart w:id="158" w:name="_Toc317236949"/>
      <w:bookmarkStart w:id="159" w:name="_Toc18419"/>
      <w:bookmarkStart w:id="160" w:name="_Toc271893796"/>
      <w:r>
        <w:rPr>
          <w:rFonts w:hint="eastAsia"/>
          <w:color w:val="auto"/>
          <w:highlight w:val="none"/>
        </w:rPr>
        <w:t>竣工验收</w:t>
      </w:r>
      <w:bookmarkEnd w:id="153"/>
      <w:bookmarkEnd w:id="154"/>
      <w:bookmarkEnd w:id="155"/>
      <w:bookmarkEnd w:id="156"/>
      <w:bookmarkEnd w:id="157"/>
      <w:bookmarkEnd w:id="158"/>
      <w:bookmarkEnd w:id="159"/>
      <w:bookmarkEnd w:id="160"/>
    </w:p>
    <w:p>
      <w:pPr>
        <w:pStyle w:val="87"/>
        <w:numPr>
          <w:ilvl w:val="1"/>
          <w:numId w:val="13"/>
        </w:numPr>
        <w:spacing w:line="600" w:lineRule="exact"/>
        <w:ind w:left="0" w:firstLine="426"/>
        <w:rPr>
          <w:color w:val="auto"/>
          <w:highlight w:val="none"/>
        </w:rPr>
      </w:pPr>
      <w:r>
        <w:rPr>
          <w:rFonts w:hint="eastAsia"/>
          <w:color w:val="auto"/>
          <w:highlight w:val="none"/>
        </w:rPr>
        <w:t>试运行期为1个月，试运行期间内将对</w:t>
      </w:r>
      <w:r>
        <w:rPr>
          <w:rFonts w:hint="eastAsia"/>
          <w:color w:val="auto"/>
          <w:highlight w:val="none"/>
          <w:lang w:val="en-US" w:eastAsia="zh-CN"/>
        </w:rPr>
        <w:t>设备</w:t>
      </w:r>
      <w:r>
        <w:rPr>
          <w:rFonts w:hint="eastAsia"/>
          <w:color w:val="auto"/>
          <w:highlight w:val="none"/>
        </w:rPr>
        <w:t>的稳定性和可靠性进行观察</w:t>
      </w:r>
      <w:r>
        <w:rPr>
          <w:rFonts w:hint="eastAsia"/>
          <w:color w:val="auto"/>
          <w:highlight w:val="none"/>
          <w:lang w:eastAsia="zh-CN"/>
        </w:rPr>
        <w:t>，</w:t>
      </w:r>
      <w:r>
        <w:rPr>
          <w:rFonts w:hint="eastAsia"/>
          <w:color w:val="auto"/>
          <w:highlight w:val="none"/>
        </w:rPr>
        <w:t>作为试运行验收测试的内容。在此期间由于产品设计、性能及集成等方面出现的问题均应由中标方免费负责及时处理，但在修复后重新进行试运行。</w:t>
      </w:r>
    </w:p>
    <w:p>
      <w:pPr>
        <w:pStyle w:val="87"/>
        <w:numPr>
          <w:ilvl w:val="1"/>
          <w:numId w:val="13"/>
        </w:numPr>
        <w:spacing w:line="600" w:lineRule="exact"/>
        <w:ind w:left="0" w:firstLine="426"/>
        <w:rPr>
          <w:color w:val="auto"/>
          <w:highlight w:val="none"/>
        </w:rPr>
      </w:pPr>
      <w:r>
        <w:rPr>
          <w:rFonts w:hint="eastAsia" w:ascii="宋体" w:hAnsi="宋体"/>
          <w:color w:val="auto"/>
          <w:highlight w:val="none"/>
        </w:rPr>
        <w:t>产品以及整个系统运行正常，且试运行期满后，提交试运行报告及测试报告后，申请竣工验收</w:t>
      </w:r>
      <w:r>
        <w:rPr>
          <w:rFonts w:hint="eastAsia"/>
          <w:color w:val="auto"/>
          <w:highlight w:val="none"/>
        </w:rPr>
        <w:t>。</w:t>
      </w:r>
    </w:p>
    <w:p>
      <w:pPr>
        <w:pStyle w:val="87"/>
        <w:numPr>
          <w:ilvl w:val="1"/>
          <w:numId w:val="13"/>
        </w:numPr>
        <w:spacing w:line="600" w:lineRule="exact"/>
        <w:ind w:left="0" w:firstLine="426"/>
        <w:rPr>
          <w:color w:val="auto"/>
          <w:highlight w:val="none"/>
        </w:rPr>
      </w:pPr>
      <w:r>
        <w:rPr>
          <w:rFonts w:hint="eastAsia"/>
          <w:color w:val="auto"/>
          <w:highlight w:val="none"/>
        </w:rPr>
        <w:t>自招标方、中标方双方签署竣工验收报告之日起，合同产品进入质保期。</w:t>
      </w:r>
    </w:p>
    <w:p>
      <w:pPr>
        <w:rPr>
          <w:rFonts w:hint="eastAsia" w:eastAsia="宋体"/>
          <w:color w:val="auto"/>
          <w:highlight w:val="none"/>
          <w:lang w:eastAsia="zh-CN"/>
        </w:rPr>
      </w:pPr>
    </w:p>
    <w:sectPr>
      <w:headerReference r:id="rId11" w:type="default"/>
      <w:footerReference r:id="rId12" w:type="default"/>
      <w:pgSz w:w="11906" w:h="16838"/>
      <w:pgMar w:top="1701" w:right="1134" w:bottom="1418" w:left="1474" w:header="851" w:footer="964" w:gutter="0"/>
      <w:pgNumType w:fmt="numberInDash"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jc w:val="both"/>
      <w:rPr>
        <w:rFonts w:ascii="Arial" w:hAnsi="Arial"/>
      </w:rPr>
    </w:pPr>
    <w:r>
      <w:rPr>
        <w:rFonts w:hint="eastAsia" w:ascii="Arial" w:hAnsi="Arial"/>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635</wp:posOffset>
              </wp:positionV>
              <wp:extent cx="5829300" cy="635"/>
              <wp:effectExtent l="0" t="0" r="0" b="0"/>
              <wp:wrapNone/>
              <wp:docPr id="1" name="直接连接符 1"/>
              <wp:cNvGraphicFramePr/>
              <a:graphic xmlns:a="http://schemas.openxmlformats.org/drawingml/2006/main">
                <a:graphicData uri="http://schemas.microsoft.com/office/word/2010/wordprocessingShape">
                  <wps:wsp>
                    <wps:cNvCnPr/>
                    <wps:spPr>
                      <a:xfrm flipV="1">
                        <a:off x="0" y="0"/>
                        <a:ext cx="5829300" cy="63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flip:y;margin-left:0pt;margin-top:0.05pt;height:0.05pt;width:459pt;z-index:251659264;mso-width-relative:page;mso-height-relative:page;" filled="f" stroked="t" coordsize="21600,21600" o:gfxdata="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B4MQH/RAAAAAgEAAA8AAAAAAAAAAQAgAAAAIgAAAGRycy9kb3ducmV2LnhtbFBLAQIUABQAAAAI&#10;AIdO4kAebGhM9AEAAOQDAAAOAAAAAAAAAAEAIAAAACABAABkcnMvZTJvRG9jLnhtbFBLBQYAAAAA&#10;BgAGAFkBAACGBQAAAAA=&#10;">
              <v:fill on="f" focussize="0,0"/>
              <v:stroke color="#000000" joinstyle="round"/>
              <v:imagedata o:title=""/>
              <o:lock v:ext="edit" aspectratio="f"/>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jc w:val="center"/>
      <w:rPr>
        <w:rFonts w:ascii="Arial" w:hAnsi="Arial"/>
      </w:rPr>
    </w:pPr>
    <w:r>
      <w:fldChar w:fldCharType="begin"/>
    </w:r>
    <w:r>
      <w:rPr>
        <w:rStyle w:val="37"/>
      </w:rPr>
      <w:instrText xml:space="preserve"> PAGE </w:instrText>
    </w:r>
    <w:r>
      <w:fldChar w:fldCharType="separate"/>
    </w:r>
    <w:r>
      <w:rPr>
        <w:rStyle w:val="37"/>
      </w:rPr>
      <w:t>- 8 -</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left="0" w:leftChars="0" w:firstLine="0" w:firstLineChars="0"/>
      <w:jc w:val="both"/>
      <w:rPr>
        <w:rFonts w:hint="eastAsia"/>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16"/>
    <w:multiLevelType w:val="multilevel"/>
    <w:tmpl w:val="00000016"/>
    <w:lvl w:ilvl="0" w:tentative="0">
      <w:start w:val="1"/>
      <w:numFmt w:val="decimal"/>
      <w:lvlText w:val="%1)"/>
      <w:lvlJc w:val="left"/>
      <w:pPr>
        <w:ind w:left="420" w:hanging="420"/>
      </w:pPr>
    </w:lvl>
    <w:lvl w:ilvl="1" w:tentative="0">
      <w:start w:val="1"/>
      <w:numFmt w:val="decimal"/>
      <w:lvlText w:val="%2)"/>
      <w:lvlJc w:val="left"/>
      <w:pPr>
        <w:ind w:left="704"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1A"/>
    <w:multiLevelType w:val="multilevel"/>
    <w:tmpl w:val="0000001A"/>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3">
    <w:nsid w:val="00000027"/>
    <w:multiLevelType w:val="multilevel"/>
    <w:tmpl w:val="0000002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CFD0A18"/>
    <w:multiLevelType w:val="multilevel"/>
    <w:tmpl w:val="0CFD0A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DEC5039"/>
    <w:multiLevelType w:val="multilevel"/>
    <w:tmpl w:val="0DEC5039"/>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13A26E29"/>
    <w:multiLevelType w:val="multilevel"/>
    <w:tmpl w:val="13A26E29"/>
    <w:lvl w:ilvl="0" w:tentative="0">
      <w:start w:val="1"/>
      <w:numFmt w:val="decimal"/>
      <w:pStyle w:val="3"/>
      <w:lvlText w:val="%1"/>
      <w:lvlJc w:val="left"/>
      <w:pPr>
        <w:tabs>
          <w:tab w:val="left" w:pos="432"/>
        </w:tabs>
        <w:ind w:left="432" w:hanging="432"/>
      </w:pPr>
      <w:rPr>
        <w:rFonts w:hint="eastAsia"/>
        <w:lang w:val="sv-SE"/>
      </w:rPr>
    </w:lvl>
    <w:lvl w:ilvl="1" w:tentative="0">
      <w:start w:val="1"/>
      <w:numFmt w:val="decimal"/>
      <w:pStyle w:val="4"/>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pStyle w:val="6"/>
      <w:lvlText w:val="%1.%2.%3.%4"/>
      <w:lvlJc w:val="left"/>
      <w:pPr>
        <w:tabs>
          <w:tab w:val="left" w:pos="864"/>
        </w:tabs>
        <w:ind w:left="864" w:hanging="864"/>
      </w:pPr>
      <w:rPr>
        <w:rFonts w:hint="eastAsia"/>
      </w:rPr>
    </w:lvl>
    <w:lvl w:ilvl="4" w:tentative="0">
      <w:start w:val="1"/>
      <w:numFmt w:val="decimal"/>
      <w:pStyle w:val="7"/>
      <w:lvlText w:val="%1.%2.%3.%4.%5"/>
      <w:lvlJc w:val="left"/>
      <w:pPr>
        <w:tabs>
          <w:tab w:val="left" w:pos="1859"/>
        </w:tabs>
        <w:ind w:left="1859"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7">
    <w:nsid w:val="5B621A86"/>
    <w:multiLevelType w:val="multilevel"/>
    <w:tmpl w:val="5B621A86"/>
    <w:lvl w:ilvl="0" w:tentative="0">
      <w:start w:val="1"/>
      <w:numFmt w:val="bullet"/>
      <w:pStyle w:val="43"/>
      <w:lvlText w:val=""/>
      <w:lvlJc w:val="left"/>
      <w:pPr>
        <w:tabs>
          <w:tab w:val="left" w:pos="840"/>
        </w:tabs>
        <w:ind w:left="0" w:firstLine="420"/>
      </w:pPr>
      <w:rPr>
        <w:rFonts w:hint="default" w:ascii="Wingdings" w:hAnsi="Wingdings"/>
      </w:rPr>
    </w:lvl>
    <w:lvl w:ilvl="1" w:tentative="0">
      <w:start w:val="1"/>
      <w:numFmt w:val="none"/>
      <w:lvlRestart w:val="0"/>
      <w:lvlText w:val="%2"/>
      <w:lvlJc w:val="left"/>
      <w:pPr>
        <w:tabs>
          <w:tab w:val="left" w:pos="0"/>
        </w:tabs>
        <w:ind w:left="0" w:firstLine="0"/>
      </w:pPr>
      <w:rPr>
        <w:rFonts w:hint="eastAsia"/>
      </w:rPr>
    </w:lvl>
    <w:lvl w:ilvl="2" w:tentative="0">
      <w:start w:val="1"/>
      <w:numFmt w:val="none"/>
      <w:lvlRestart w:val="0"/>
      <w:lvlText w:val=""/>
      <w:lvlJc w:val="left"/>
      <w:pPr>
        <w:tabs>
          <w:tab w:val="left" w:pos="0"/>
        </w:tabs>
        <w:ind w:left="0" w:firstLine="0"/>
      </w:pPr>
      <w:rPr>
        <w:rFonts w:hint="eastAsia"/>
      </w:rPr>
    </w:lvl>
    <w:lvl w:ilvl="3" w:tentative="0">
      <w:start w:val="1"/>
      <w:numFmt w:val="none"/>
      <w:lvlRestart w:val="0"/>
      <w:lvlText w:val=""/>
      <w:lvlJc w:val="right"/>
      <w:pPr>
        <w:tabs>
          <w:tab w:val="left" w:pos="0"/>
        </w:tabs>
        <w:ind w:left="0" w:firstLine="0"/>
      </w:pPr>
      <w:rPr>
        <w:rFonts w:hint="eastAsia"/>
      </w:rPr>
    </w:lvl>
    <w:lvl w:ilvl="4" w:tentative="0">
      <w:start w:val="1"/>
      <w:numFmt w:val="none"/>
      <w:lvlRestart w:val="0"/>
      <w:lvlText w:val="%5"/>
      <w:lvlJc w:val="left"/>
      <w:pPr>
        <w:tabs>
          <w:tab w:val="left" w:pos="0"/>
        </w:tabs>
        <w:ind w:left="0" w:firstLine="0"/>
      </w:pPr>
      <w:rPr>
        <w:rFonts w:hint="eastAsia"/>
      </w:rPr>
    </w:lvl>
    <w:lvl w:ilvl="5" w:tentative="0">
      <w:start w:val="1"/>
      <w:numFmt w:val="none"/>
      <w:lvlRestart w:val="0"/>
      <w:lvlText w:val="%6"/>
      <w:lvlJc w:val="left"/>
      <w:pPr>
        <w:tabs>
          <w:tab w:val="left" w:pos="0"/>
        </w:tabs>
        <w:ind w:left="0" w:firstLine="0"/>
      </w:pPr>
      <w:rPr>
        <w:rFonts w:hint="eastAsia"/>
      </w:rPr>
    </w:lvl>
    <w:lvl w:ilvl="6" w:tentative="0">
      <w:start w:val="1"/>
      <w:numFmt w:val="none"/>
      <w:lvlRestart w:val="0"/>
      <w:lvlText w:val="%7"/>
      <w:lvlJc w:val="right"/>
      <w:pPr>
        <w:tabs>
          <w:tab w:val="left" w:pos="0"/>
        </w:tabs>
        <w:ind w:left="0" w:firstLine="0"/>
      </w:pPr>
      <w:rPr>
        <w:rFonts w:hint="eastAsia"/>
      </w:rPr>
    </w:lvl>
    <w:lvl w:ilvl="7" w:tentative="0">
      <w:start w:val="1"/>
      <w:numFmt w:val="none"/>
      <w:lvlRestart w:val="0"/>
      <w:lvlText w:val="%8"/>
      <w:lvlJc w:val="left"/>
      <w:pPr>
        <w:tabs>
          <w:tab w:val="left" w:pos="0"/>
        </w:tabs>
        <w:ind w:left="0" w:firstLine="0"/>
      </w:pPr>
      <w:rPr>
        <w:rFonts w:hint="eastAsia"/>
      </w:rPr>
    </w:lvl>
    <w:lvl w:ilvl="8" w:tentative="0">
      <w:start w:val="1"/>
      <w:numFmt w:val="none"/>
      <w:lvlRestart w:val="0"/>
      <w:lvlText w:val="%9"/>
      <w:lvlJc w:val="right"/>
      <w:pPr>
        <w:tabs>
          <w:tab w:val="left" w:pos="0"/>
        </w:tabs>
        <w:ind w:left="0" w:firstLine="0"/>
      </w:pPr>
      <w:rPr>
        <w:rFonts w:hint="eastAsia"/>
      </w:rPr>
    </w:lvl>
  </w:abstractNum>
  <w:abstractNum w:abstractNumId="8">
    <w:nsid w:val="5C4E9084"/>
    <w:multiLevelType w:val="multilevel"/>
    <w:tmpl w:val="5C4E9084"/>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9">
    <w:nsid w:val="5C4E90BE"/>
    <w:multiLevelType w:val="multilevel"/>
    <w:tmpl w:val="5C4E90BE"/>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0">
    <w:nsid w:val="5C4E914B"/>
    <w:multiLevelType w:val="multilevel"/>
    <w:tmpl w:val="5C4E914B"/>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1">
    <w:nsid w:val="6883480C"/>
    <w:multiLevelType w:val="multilevel"/>
    <w:tmpl w:val="6883480C"/>
    <w:lvl w:ilvl="0" w:tentative="0">
      <w:start w:val="1"/>
      <w:numFmt w:val="decimal"/>
      <w:pStyle w:val="58"/>
      <w:lvlText w:val="%1)"/>
      <w:lvlJc w:val="left"/>
      <w:pPr>
        <w:tabs>
          <w:tab w:val="left" w:pos="839"/>
        </w:tabs>
        <w:ind w:left="0" w:firstLine="420"/>
      </w:pPr>
      <w:rPr>
        <w:rFonts w:hint="eastAsia"/>
      </w:rPr>
    </w:lvl>
    <w:lvl w:ilvl="1" w:tentative="0">
      <w:start w:val="1"/>
      <w:numFmt w:val="lowerLetter"/>
      <w:pStyle w:val="59"/>
      <w:lvlText w:val="%2."/>
      <w:lvlJc w:val="left"/>
      <w:pPr>
        <w:tabs>
          <w:tab w:val="left" w:pos="839"/>
        </w:tabs>
        <w:ind w:left="0" w:firstLine="420"/>
      </w:pPr>
      <w:rPr>
        <w:rFonts w:hint="eastAsia"/>
      </w:rPr>
    </w:lvl>
    <w:lvl w:ilvl="2" w:tentative="0">
      <w:start w:val="1"/>
      <w:numFmt w:val="none"/>
      <w:lvlRestart w:val="0"/>
      <w:lvlText w:val=""/>
      <w:lvlJc w:val="left"/>
      <w:pPr>
        <w:tabs>
          <w:tab w:val="left" w:pos="1140"/>
        </w:tabs>
        <w:ind w:left="1140" w:hanging="432"/>
      </w:pPr>
      <w:rPr>
        <w:rFonts w:hint="eastAsia"/>
      </w:rPr>
    </w:lvl>
    <w:lvl w:ilvl="3" w:tentative="0">
      <w:start w:val="1"/>
      <w:numFmt w:val="none"/>
      <w:lvlRestart w:val="0"/>
      <w:lvlText w:val=""/>
      <w:lvlJc w:val="right"/>
      <w:pPr>
        <w:tabs>
          <w:tab w:val="left" w:pos="1284"/>
        </w:tabs>
        <w:ind w:left="1284" w:hanging="144"/>
      </w:pPr>
      <w:rPr>
        <w:rFonts w:hint="eastAsia"/>
      </w:rPr>
    </w:lvl>
    <w:lvl w:ilvl="4" w:tentative="0">
      <w:start w:val="1"/>
      <w:numFmt w:val="none"/>
      <w:lvlRestart w:val="0"/>
      <w:lvlText w:val="%5"/>
      <w:lvlJc w:val="left"/>
      <w:pPr>
        <w:tabs>
          <w:tab w:val="left" w:pos="1428"/>
        </w:tabs>
        <w:ind w:left="1428" w:hanging="432"/>
      </w:pPr>
      <w:rPr>
        <w:rFonts w:hint="eastAsia"/>
      </w:rPr>
    </w:lvl>
    <w:lvl w:ilvl="5" w:tentative="0">
      <w:start w:val="1"/>
      <w:numFmt w:val="none"/>
      <w:lvlRestart w:val="0"/>
      <w:lvlText w:val="%6"/>
      <w:lvlJc w:val="left"/>
      <w:pPr>
        <w:tabs>
          <w:tab w:val="left" w:pos="1572"/>
        </w:tabs>
        <w:ind w:left="1572" w:hanging="432"/>
      </w:pPr>
      <w:rPr>
        <w:rFonts w:hint="eastAsia"/>
      </w:rPr>
    </w:lvl>
    <w:lvl w:ilvl="6" w:tentative="0">
      <w:start w:val="1"/>
      <w:numFmt w:val="none"/>
      <w:lvlRestart w:val="0"/>
      <w:lvlText w:val="%7"/>
      <w:lvlJc w:val="right"/>
      <w:pPr>
        <w:tabs>
          <w:tab w:val="left" w:pos="1716"/>
        </w:tabs>
        <w:ind w:left="1716" w:hanging="288"/>
      </w:pPr>
      <w:rPr>
        <w:rFonts w:hint="eastAsia"/>
      </w:rPr>
    </w:lvl>
    <w:lvl w:ilvl="7" w:tentative="0">
      <w:start w:val="1"/>
      <w:numFmt w:val="none"/>
      <w:lvlRestart w:val="0"/>
      <w:lvlText w:val="%8"/>
      <w:lvlJc w:val="left"/>
      <w:pPr>
        <w:tabs>
          <w:tab w:val="left" w:pos="1860"/>
        </w:tabs>
        <w:ind w:left="1860" w:hanging="432"/>
      </w:pPr>
      <w:rPr>
        <w:rFonts w:hint="eastAsia"/>
      </w:rPr>
    </w:lvl>
    <w:lvl w:ilvl="8" w:tentative="0">
      <w:start w:val="1"/>
      <w:numFmt w:val="none"/>
      <w:lvlRestart w:val="0"/>
      <w:lvlText w:val="%9"/>
      <w:lvlJc w:val="right"/>
      <w:pPr>
        <w:tabs>
          <w:tab w:val="left" w:pos="2004"/>
        </w:tabs>
        <w:ind w:left="2004" w:hanging="144"/>
      </w:pPr>
      <w:rPr>
        <w:rFonts w:hint="eastAsia"/>
      </w:rPr>
    </w:lvl>
  </w:abstractNum>
  <w:abstractNum w:abstractNumId="12">
    <w:nsid w:val="7A65C87F"/>
    <w:multiLevelType w:val="multilevel"/>
    <w:tmpl w:val="7A65C87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6"/>
  </w:num>
  <w:num w:numId="2">
    <w:abstractNumId w:val="7"/>
  </w:num>
  <w:num w:numId="3">
    <w:abstractNumId w:val="11"/>
  </w:num>
  <w:num w:numId="4">
    <w:abstractNumId w:val="12"/>
  </w:num>
  <w:num w:numId="5">
    <w:abstractNumId w:val="4"/>
  </w:num>
  <w:num w:numId="6">
    <w:abstractNumId w:val="5"/>
  </w:num>
  <w:num w:numId="7">
    <w:abstractNumId w:val="3"/>
  </w:num>
  <w:num w:numId="8">
    <w:abstractNumId w:val="0"/>
  </w:num>
  <w:num w:numId="9">
    <w:abstractNumId w:val="2"/>
  </w:num>
  <w:num w:numId="10">
    <w:abstractNumId w:val="8"/>
  </w:num>
  <w:num w:numId="11">
    <w:abstractNumId w:val="9"/>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VhZTUxODIwYjI3ZmYwMDA0N2JmYWYyOTc2NjI0ZWIifQ=="/>
  </w:docVars>
  <w:rsids>
    <w:rsidRoot w:val="00E05DC9"/>
    <w:rsid w:val="00002291"/>
    <w:rsid w:val="00003D5C"/>
    <w:rsid w:val="00005384"/>
    <w:rsid w:val="00006CA8"/>
    <w:rsid w:val="00011ADF"/>
    <w:rsid w:val="000207BB"/>
    <w:rsid w:val="00021011"/>
    <w:rsid w:val="00030D9F"/>
    <w:rsid w:val="0003630F"/>
    <w:rsid w:val="00037CE1"/>
    <w:rsid w:val="00042878"/>
    <w:rsid w:val="00042D50"/>
    <w:rsid w:val="00043082"/>
    <w:rsid w:val="000469C4"/>
    <w:rsid w:val="00050756"/>
    <w:rsid w:val="00052A5F"/>
    <w:rsid w:val="000544FF"/>
    <w:rsid w:val="0005482B"/>
    <w:rsid w:val="000554CB"/>
    <w:rsid w:val="000650CD"/>
    <w:rsid w:val="00077CD0"/>
    <w:rsid w:val="00081C3C"/>
    <w:rsid w:val="00084AF6"/>
    <w:rsid w:val="00085F90"/>
    <w:rsid w:val="00086494"/>
    <w:rsid w:val="00086A33"/>
    <w:rsid w:val="00087ACF"/>
    <w:rsid w:val="000903EB"/>
    <w:rsid w:val="0009377B"/>
    <w:rsid w:val="00097CD6"/>
    <w:rsid w:val="000A2694"/>
    <w:rsid w:val="000A5898"/>
    <w:rsid w:val="000A6834"/>
    <w:rsid w:val="000B28C7"/>
    <w:rsid w:val="000B3DB4"/>
    <w:rsid w:val="000C2662"/>
    <w:rsid w:val="000D4DC5"/>
    <w:rsid w:val="000D6222"/>
    <w:rsid w:val="000E174A"/>
    <w:rsid w:val="000E1E22"/>
    <w:rsid w:val="000E2FBE"/>
    <w:rsid w:val="000E3E9E"/>
    <w:rsid w:val="000E57A5"/>
    <w:rsid w:val="000F3603"/>
    <w:rsid w:val="000F38F4"/>
    <w:rsid w:val="000F6761"/>
    <w:rsid w:val="000F73A9"/>
    <w:rsid w:val="0010244B"/>
    <w:rsid w:val="00105244"/>
    <w:rsid w:val="001068B3"/>
    <w:rsid w:val="001068EB"/>
    <w:rsid w:val="0012293B"/>
    <w:rsid w:val="0012459C"/>
    <w:rsid w:val="00124AB0"/>
    <w:rsid w:val="00131C1F"/>
    <w:rsid w:val="00132141"/>
    <w:rsid w:val="0013598B"/>
    <w:rsid w:val="00136AF0"/>
    <w:rsid w:val="00143063"/>
    <w:rsid w:val="00143B1A"/>
    <w:rsid w:val="001461FB"/>
    <w:rsid w:val="00147838"/>
    <w:rsid w:val="00150ADA"/>
    <w:rsid w:val="001555BB"/>
    <w:rsid w:val="0016070F"/>
    <w:rsid w:val="00161ED9"/>
    <w:rsid w:val="00162D4C"/>
    <w:rsid w:val="00164289"/>
    <w:rsid w:val="0016613E"/>
    <w:rsid w:val="001673BF"/>
    <w:rsid w:val="001711D8"/>
    <w:rsid w:val="00172CEE"/>
    <w:rsid w:val="00190716"/>
    <w:rsid w:val="00190CB6"/>
    <w:rsid w:val="00191687"/>
    <w:rsid w:val="0019233F"/>
    <w:rsid w:val="0019550C"/>
    <w:rsid w:val="0019700A"/>
    <w:rsid w:val="001A25D3"/>
    <w:rsid w:val="001B05EE"/>
    <w:rsid w:val="001B0D4E"/>
    <w:rsid w:val="001B3CF2"/>
    <w:rsid w:val="001B4139"/>
    <w:rsid w:val="001B6113"/>
    <w:rsid w:val="001B66E1"/>
    <w:rsid w:val="001B7C5B"/>
    <w:rsid w:val="001C15E7"/>
    <w:rsid w:val="001D0C80"/>
    <w:rsid w:val="001D321F"/>
    <w:rsid w:val="001D7D76"/>
    <w:rsid w:val="001E0A8E"/>
    <w:rsid w:val="001E18D3"/>
    <w:rsid w:val="001E19C3"/>
    <w:rsid w:val="001E3496"/>
    <w:rsid w:val="001E58AF"/>
    <w:rsid w:val="001E5DDE"/>
    <w:rsid w:val="001F0D45"/>
    <w:rsid w:val="001F3526"/>
    <w:rsid w:val="001F444C"/>
    <w:rsid w:val="001F5253"/>
    <w:rsid w:val="00202171"/>
    <w:rsid w:val="00203845"/>
    <w:rsid w:val="00210615"/>
    <w:rsid w:val="00220854"/>
    <w:rsid w:val="00223E9B"/>
    <w:rsid w:val="002258B4"/>
    <w:rsid w:val="00233A60"/>
    <w:rsid w:val="00236A34"/>
    <w:rsid w:val="00236E4B"/>
    <w:rsid w:val="00237C43"/>
    <w:rsid w:val="00242EC9"/>
    <w:rsid w:val="00247ED7"/>
    <w:rsid w:val="002541BD"/>
    <w:rsid w:val="002553FF"/>
    <w:rsid w:val="00257AAB"/>
    <w:rsid w:val="00260031"/>
    <w:rsid w:val="00261830"/>
    <w:rsid w:val="00272A86"/>
    <w:rsid w:val="002821A8"/>
    <w:rsid w:val="0028561D"/>
    <w:rsid w:val="00286673"/>
    <w:rsid w:val="00287BEB"/>
    <w:rsid w:val="002A4F0F"/>
    <w:rsid w:val="002A54BE"/>
    <w:rsid w:val="002B2913"/>
    <w:rsid w:val="002B4A1D"/>
    <w:rsid w:val="002C02E4"/>
    <w:rsid w:val="002C042C"/>
    <w:rsid w:val="002C0C23"/>
    <w:rsid w:val="002C36A7"/>
    <w:rsid w:val="002C625C"/>
    <w:rsid w:val="002D0F4B"/>
    <w:rsid w:val="002D0F6F"/>
    <w:rsid w:val="002D4A99"/>
    <w:rsid w:val="002D7599"/>
    <w:rsid w:val="002E3B35"/>
    <w:rsid w:val="002E5AB6"/>
    <w:rsid w:val="002F01B8"/>
    <w:rsid w:val="002F2F05"/>
    <w:rsid w:val="002F50A0"/>
    <w:rsid w:val="002F680A"/>
    <w:rsid w:val="003009CD"/>
    <w:rsid w:val="00300BD1"/>
    <w:rsid w:val="0030179B"/>
    <w:rsid w:val="00301EA0"/>
    <w:rsid w:val="00302217"/>
    <w:rsid w:val="003026EA"/>
    <w:rsid w:val="00303835"/>
    <w:rsid w:val="00315D1D"/>
    <w:rsid w:val="003254BD"/>
    <w:rsid w:val="00326BCD"/>
    <w:rsid w:val="00334766"/>
    <w:rsid w:val="00335073"/>
    <w:rsid w:val="003364AE"/>
    <w:rsid w:val="00352B78"/>
    <w:rsid w:val="003536CA"/>
    <w:rsid w:val="003538FB"/>
    <w:rsid w:val="003608E4"/>
    <w:rsid w:val="003637C1"/>
    <w:rsid w:val="0036386F"/>
    <w:rsid w:val="003640D0"/>
    <w:rsid w:val="00366204"/>
    <w:rsid w:val="00366558"/>
    <w:rsid w:val="00370A2B"/>
    <w:rsid w:val="00371220"/>
    <w:rsid w:val="00372B39"/>
    <w:rsid w:val="00373D07"/>
    <w:rsid w:val="00375E7A"/>
    <w:rsid w:val="00377847"/>
    <w:rsid w:val="00380E29"/>
    <w:rsid w:val="003860A3"/>
    <w:rsid w:val="00390562"/>
    <w:rsid w:val="00393330"/>
    <w:rsid w:val="003934F9"/>
    <w:rsid w:val="003A179B"/>
    <w:rsid w:val="003A57AC"/>
    <w:rsid w:val="003B15AF"/>
    <w:rsid w:val="003B1701"/>
    <w:rsid w:val="003B17E7"/>
    <w:rsid w:val="003C4FBD"/>
    <w:rsid w:val="003C7240"/>
    <w:rsid w:val="003D1FA4"/>
    <w:rsid w:val="003D2F8D"/>
    <w:rsid w:val="003D6933"/>
    <w:rsid w:val="003E16EB"/>
    <w:rsid w:val="003E2260"/>
    <w:rsid w:val="003E7FFE"/>
    <w:rsid w:val="003F15FF"/>
    <w:rsid w:val="003F2598"/>
    <w:rsid w:val="003F4B94"/>
    <w:rsid w:val="003F57FC"/>
    <w:rsid w:val="003F7A7E"/>
    <w:rsid w:val="003F7DCC"/>
    <w:rsid w:val="0040451D"/>
    <w:rsid w:val="004052D8"/>
    <w:rsid w:val="00405CCA"/>
    <w:rsid w:val="0041465E"/>
    <w:rsid w:val="004160D4"/>
    <w:rsid w:val="004176A1"/>
    <w:rsid w:val="0042124C"/>
    <w:rsid w:val="004228AA"/>
    <w:rsid w:val="0042383A"/>
    <w:rsid w:val="00426A2E"/>
    <w:rsid w:val="00430BB2"/>
    <w:rsid w:val="00432A62"/>
    <w:rsid w:val="00433929"/>
    <w:rsid w:val="0043699D"/>
    <w:rsid w:val="004416F0"/>
    <w:rsid w:val="00444631"/>
    <w:rsid w:val="00444C4A"/>
    <w:rsid w:val="004523CF"/>
    <w:rsid w:val="00456A54"/>
    <w:rsid w:val="00462094"/>
    <w:rsid w:val="004644EE"/>
    <w:rsid w:val="0047330A"/>
    <w:rsid w:val="00473B0A"/>
    <w:rsid w:val="004750C8"/>
    <w:rsid w:val="00477262"/>
    <w:rsid w:val="00480658"/>
    <w:rsid w:val="004836B6"/>
    <w:rsid w:val="004869F9"/>
    <w:rsid w:val="00490E03"/>
    <w:rsid w:val="00495ADE"/>
    <w:rsid w:val="0049637E"/>
    <w:rsid w:val="00497E10"/>
    <w:rsid w:val="004A758E"/>
    <w:rsid w:val="004B7E69"/>
    <w:rsid w:val="004C11DA"/>
    <w:rsid w:val="004C1823"/>
    <w:rsid w:val="004D452F"/>
    <w:rsid w:val="004D4552"/>
    <w:rsid w:val="004D5A9D"/>
    <w:rsid w:val="004D601F"/>
    <w:rsid w:val="004D6AEC"/>
    <w:rsid w:val="004E1A01"/>
    <w:rsid w:val="004E2CCD"/>
    <w:rsid w:val="004E2EDB"/>
    <w:rsid w:val="004E4EF0"/>
    <w:rsid w:val="004E52B4"/>
    <w:rsid w:val="004E5662"/>
    <w:rsid w:val="004F160D"/>
    <w:rsid w:val="004F3C0B"/>
    <w:rsid w:val="004F45FA"/>
    <w:rsid w:val="004F5C3F"/>
    <w:rsid w:val="00501018"/>
    <w:rsid w:val="00502C74"/>
    <w:rsid w:val="005035FA"/>
    <w:rsid w:val="005061FA"/>
    <w:rsid w:val="00507B4D"/>
    <w:rsid w:val="0051324A"/>
    <w:rsid w:val="00513AA4"/>
    <w:rsid w:val="005150B0"/>
    <w:rsid w:val="00527ED3"/>
    <w:rsid w:val="00531716"/>
    <w:rsid w:val="005339B2"/>
    <w:rsid w:val="00533CBB"/>
    <w:rsid w:val="0054658C"/>
    <w:rsid w:val="00555A91"/>
    <w:rsid w:val="00555B0A"/>
    <w:rsid w:val="00555F0E"/>
    <w:rsid w:val="0056181B"/>
    <w:rsid w:val="0058174C"/>
    <w:rsid w:val="00582133"/>
    <w:rsid w:val="00582913"/>
    <w:rsid w:val="00586171"/>
    <w:rsid w:val="005879C5"/>
    <w:rsid w:val="00593621"/>
    <w:rsid w:val="005949BF"/>
    <w:rsid w:val="005956AB"/>
    <w:rsid w:val="00597AB8"/>
    <w:rsid w:val="005A641D"/>
    <w:rsid w:val="005A6BF3"/>
    <w:rsid w:val="005B4707"/>
    <w:rsid w:val="005B52C2"/>
    <w:rsid w:val="005C1C62"/>
    <w:rsid w:val="005C210A"/>
    <w:rsid w:val="005C3B83"/>
    <w:rsid w:val="005D1430"/>
    <w:rsid w:val="005D68EB"/>
    <w:rsid w:val="005E073B"/>
    <w:rsid w:val="005E0B23"/>
    <w:rsid w:val="005E1BAE"/>
    <w:rsid w:val="005E51F3"/>
    <w:rsid w:val="005E6BEB"/>
    <w:rsid w:val="005E6E87"/>
    <w:rsid w:val="005F05B1"/>
    <w:rsid w:val="005F6C93"/>
    <w:rsid w:val="006019CF"/>
    <w:rsid w:val="00604879"/>
    <w:rsid w:val="0060515B"/>
    <w:rsid w:val="006065C5"/>
    <w:rsid w:val="00606646"/>
    <w:rsid w:val="00607C65"/>
    <w:rsid w:val="00613939"/>
    <w:rsid w:val="006151AF"/>
    <w:rsid w:val="006216E9"/>
    <w:rsid w:val="00631924"/>
    <w:rsid w:val="00631D72"/>
    <w:rsid w:val="006353BC"/>
    <w:rsid w:val="0064085C"/>
    <w:rsid w:val="00644789"/>
    <w:rsid w:val="00647340"/>
    <w:rsid w:val="00652494"/>
    <w:rsid w:val="006527D5"/>
    <w:rsid w:val="00652B3F"/>
    <w:rsid w:val="00661D6B"/>
    <w:rsid w:val="006646B5"/>
    <w:rsid w:val="006656AF"/>
    <w:rsid w:val="00670EC7"/>
    <w:rsid w:val="00671CD6"/>
    <w:rsid w:val="0067648F"/>
    <w:rsid w:val="006848BA"/>
    <w:rsid w:val="006914B4"/>
    <w:rsid w:val="00692328"/>
    <w:rsid w:val="00692981"/>
    <w:rsid w:val="00692A62"/>
    <w:rsid w:val="006954B8"/>
    <w:rsid w:val="00697364"/>
    <w:rsid w:val="006A27D6"/>
    <w:rsid w:val="006A5A07"/>
    <w:rsid w:val="006A76D0"/>
    <w:rsid w:val="006B0FFE"/>
    <w:rsid w:val="006B1EFB"/>
    <w:rsid w:val="006B2BE5"/>
    <w:rsid w:val="006B305E"/>
    <w:rsid w:val="006B6D48"/>
    <w:rsid w:val="006B6FD5"/>
    <w:rsid w:val="006B7A98"/>
    <w:rsid w:val="006C7C3B"/>
    <w:rsid w:val="006D5526"/>
    <w:rsid w:val="006E26D4"/>
    <w:rsid w:val="006E2BA2"/>
    <w:rsid w:val="006E39B8"/>
    <w:rsid w:val="006E3A11"/>
    <w:rsid w:val="006F3E53"/>
    <w:rsid w:val="006F4035"/>
    <w:rsid w:val="006F67DD"/>
    <w:rsid w:val="006F6FAF"/>
    <w:rsid w:val="006F7D33"/>
    <w:rsid w:val="007015D1"/>
    <w:rsid w:val="00702A29"/>
    <w:rsid w:val="007046FA"/>
    <w:rsid w:val="00707032"/>
    <w:rsid w:val="00714083"/>
    <w:rsid w:val="00716E56"/>
    <w:rsid w:val="00721105"/>
    <w:rsid w:val="007227A7"/>
    <w:rsid w:val="00723D75"/>
    <w:rsid w:val="007334B4"/>
    <w:rsid w:val="00742683"/>
    <w:rsid w:val="0074433A"/>
    <w:rsid w:val="00745BC1"/>
    <w:rsid w:val="00745C72"/>
    <w:rsid w:val="00752ED7"/>
    <w:rsid w:val="00752FE6"/>
    <w:rsid w:val="007602F9"/>
    <w:rsid w:val="007654CE"/>
    <w:rsid w:val="00770D06"/>
    <w:rsid w:val="00772692"/>
    <w:rsid w:val="00773E8F"/>
    <w:rsid w:val="00776CB2"/>
    <w:rsid w:val="00780071"/>
    <w:rsid w:val="007801A9"/>
    <w:rsid w:val="007809C3"/>
    <w:rsid w:val="0078236D"/>
    <w:rsid w:val="00783A20"/>
    <w:rsid w:val="0078403C"/>
    <w:rsid w:val="00784D13"/>
    <w:rsid w:val="00790F00"/>
    <w:rsid w:val="0079172D"/>
    <w:rsid w:val="00793755"/>
    <w:rsid w:val="007A0270"/>
    <w:rsid w:val="007A0B2D"/>
    <w:rsid w:val="007A12AE"/>
    <w:rsid w:val="007A28DA"/>
    <w:rsid w:val="007A5103"/>
    <w:rsid w:val="007B4028"/>
    <w:rsid w:val="007B464C"/>
    <w:rsid w:val="007B4B53"/>
    <w:rsid w:val="007B6925"/>
    <w:rsid w:val="007B7E60"/>
    <w:rsid w:val="007C0F38"/>
    <w:rsid w:val="007C24E4"/>
    <w:rsid w:val="007C4D11"/>
    <w:rsid w:val="007D1BA1"/>
    <w:rsid w:val="007D5754"/>
    <w:rsid w:val="007D5DBF"/>
    <w:rsid w:val="007F1117"/>
    <w:rsid w:val="007F1268"/>
    <w:rsid w:val="007F65EB"/>
    <w:rsid w:val="00800110"/>
    <w:rsid w:val="00802E58"/>
    <w:rsid w:val="008035A5"/>
    <w:rsid w:val="00803652"/>
    <w:rsid w:val="00807A0F"/>
    <w:rsid w:val="00813572"/>
    <w:rsid w:val="00813D60"/>
    <w:rsid w:val="00822A50"/>
    <w:rsid w:val="00824E61"/>
    <w:rsid w:val="00834214"/>
    <w:rsid w:val="008346C5"/>
    <w:rsid w:val="00834C35"/>
    <w:rsid w:val="00836E45"/>
    <w:rsid w:val="008440B1"/>
    <w:rsid w:val="00844120"/>
    <w:rsid w:val="00855D7F"/>
    <w:rsid w:val="0086006B"/>
    <w:rsid w:val="00860C81"/>
    <w:rsid w:val="00864606"/>
    <w:rsid w:val="00865411"/>
    <w:rsid w:val="008728E2"/>
    <w:rsid w:val="008743A4"/>
    <w:rsid w:val="00874F6D"/>
    <w:rsid w:val="00877D02"/>
    <w:rsid w:val="0088309B"/>
    <w:rsid w:val="00883397"/>
    <w:rsid w:val="008833CE"/>
    <w:rsid w:val="00887EBA"/>
    <w:rsid w:val="00891208"/>
    <w:rsid w:val="00893CE0"/>
    <w:rsid w:val="00894230"/>
    <w:rsid w:val="008A179F"/>
    <w:rsid w:val="008A43EC"/>
    <w:rsid w:val="008A5CE0"/>
    <w:rsid w:val="008B0978"/>
    <w:rsid w:val="008B7CAD"/>
    <w:rsid w:val="008C5680"/>
    <w:rsid w:val="008C65F0"/>
    <w:rsid w:val="008D04E9"/>
    <w:rsid w:val="008D0748"/>
    <w:rsid w:val="008D20EE"/>
    <w:rsid w:val="008E66C7"/>
    <w:rsid w:val="00900875"/>
    <w:rsid w:val="00902A70"/>
    <w:rsid w:val="00905B5D"/>
    <w:rsid w:val="0091249E"/>
    <w:rsid w:val="00913AA0"/>
    <w:rsid w:val="00917FE6"/>
    <w:rsid w:val="00920BD9"/>
    <w:rsid w:val="0092206B"/>
    <w:rsid w:val="00924BC3"/>
    <w:rsid w:val="00946E84"/>
    <w:rsid w:val="00951CF8"/>
    <w:rsid w:val="00956965"/>
    <w:rsid w:val="0095783A"/>
    <w:rsid w:val="00962723"/>
    <w:rsid w:val="0096331F"/>
    <w:rsid w:val="00970B35"/>
    <w:rsid w:val="00971E0E"/>
    <w:rsid w:val="009733B6"/>
    <w:rsid w:val="00975E7A"/>
    <w:rsid w:val="00982601"/>
    <w:rsid w:val="00983027"/>
    <w:rsid w:val="00983101"/>
    <w:rsid w:val="00992DED"/>
    <w:rsid w:val="009935CE"/>
    <w:rsid w:val="00995A3B"/>
    <w:rsid w:val="00995B47"/>
    <w:rsid w:val="009A61B3"/>
    <w:rsid w:val="009A7788"/>
    <w:rsid w:val="009B4D7F"/>
    <w:rsid w:val="009B5D64"/>
    <w:rsid w:val="009B75FB"/>
    <w:rsid w:val="009C2693"/>
    <w:rsid w:val="009C2D0B"/>
    <w:rsid w:val="009C37D6"/>
    <w:rsid w:val="009C4AC2"/>
    <w:rsid w:val="009C7807"/>
    <w:rsid w:val="009D3A14"/>
    <w:rsid w:val="009E0241"/>
    <w:rsid w:val="009E0633"/>
    <w:rsid w:val="009E4539"/>
    <w:rsid w:val="009E6544"/>
    <w:rsid w:val="009E7116"/>
    <w:rsid w:val="009F02B6"/>
    <w:rsid w:val="009F5283"/>
    <w:rsid w:val="00A0096C"/>
    <w:rsid w:val="00A023F9"/>
    <w:rsid w:val="00A068E5"/>
    <w:rsid w:val="00A06D98"/>
    <w:rsid w:val="00A07516"/>
    <w:rsid w:val="00A135E6"/>
    <w:rsid w:val="00A14062"/>
    <w:rsid w:val="00A203E8"/>
    <w:rsid w:val="00A21F4A"/>
    <w:rsid w:val="00A23489"/>
    <w:rsid w:val="00A2773A"/>
    <w:rsid w:val="00A277D3"/>
    <w:rsid w:val="00A30EC9"/>
    <w:rsid w:val="00A32A8D"/>
    <w:rsid w:val="00A333BC"/>
    <w:rsid w:val="00A33540"/>
    <w:rsid w:val="00A34832"/>
    <w:rsid w:val="00A35CC9"/>
    <w:rsid w:val="00A37F25"/>
    <w:rsid w:val="00A415C3"/>
    <w:rsid w:val="00A443DD"/>
    <w:rsid w:val="00A46D26"/>
    <w:rsid w:val="00A51DAC"/>
    <w:rsid w:val="00A54020"/>
    <w:rsid w:val="00A546D2"/>
    <w:rsid w:val="00A55AB5"/>
    <w:rsid w:val="00A57274"/>
    <w:rsid w:val="00A6541F"/>
    <w:rsid w:val="00A66988"/>
    <w:rsid w:val="00A705FF"/>
    <w:rsid w:val="00A70C37"/>
    <w:rsid w:val="00A7197A"/>
    <w:rsid w:val="00A7406D"/>
    <w:rsid w:val="00A74153"/>
    <w:rsid w:val="00A7487A"/>
    <w:rsid w:val="00A807D7"/>
    <w:rsid w:val="00A85DAE"/>
    <w:rsid w:val="00A91138"/>
    <w:rsid w:val="00A95094"/>
    <w:rsid w:val="00A97A75"/>
    <w:rsid w:val="00AA2F0B"/>
    <w:rsid w:val="00AA3CB1"/>
    <w:rsid w:val="00AA5E82"/>
    <w:rsid w:val="00AA661D"/>
    <w:rsid w:val="00AA6EA0"/>
    <w:rsid w:val="00AB1695"/>
    <w:rsid w:val="00AB5194"/>
    <w:rsid w:val="00AB57CB"/>
    <w:rsid w:val="00AB69E3"/>
    <w:rsid w:val="00AB6EDD"/>
    <w:rsid w:val="00AB7A05"/>
    <w:rsid w:val="00AC08D0"/>
    <w:rsid w:val="00AC12B5"/>
    <w:rsid w:val="00AE0176"/>
    <w:rsid w:val="00AE2C1A"/>
    <w:rsid w:val="00AE4E22"/>
    <w:rsid w:val="00AE5FC4"/>
    <w:rsid w:val="00AF005A"/>
    <w:rsid w:val="00AF26FE"/>
    <w:rsid w:val="00AF3C53"/>
    <w:rsid w:val="00AF552A"/>
    <w:rsid w:val="00B00CAE"/>
    <w:rsid w:val="00B00CBA"/>
    <w:rsid w:val="00B044F7"/>
    <w:rsid w:val="00B06788"/>
    <w:rsid w:val="00B069E5"/>
    <w:rsid w:val="00B06D94"/>
    <w:rsid w:val="00B10579"/>
    <w:rsid w:val="00B20B66"/>
    <w:rsid w:val="00B213CE"/>
    <w:rsid w:val="00B2386F"/>
    <w:rsid w:val="00B23D31"/>
    <w:rsid w:val="00B2412A"/>
    <w:rsid w:val="00B2586D"/>
    <w:rsid w:val="00B3436D"/>
    <w:rsid w:val="00B34930"/>
    <w:rsid w:val="00B373C3"/>
    <w:rsid w:val="00B4642E"/>
    <w:rsid w:val="00B5175C"/>
    <w:rsid w:val="00B51CEB"/>
    <w:rsid w:val="00B57B84"/>
    <w:rsid w:val="00B61232"/>
    <w:rsid w:val="00B645E6"/>
    <w:rsid w:val="00B6797C"/>
    <w:rsid w:val="00B81250"/>
    <w:rsid w:val="00B9097F"/>
    <w:rsid w:val="00B933D2"/>
    <w:rsid w:val="00B95C28"/>
    <w:rsid w:val="00B96656"/>
    <w:rsid w:val="00B96DB1"/>
    <w:rsid w:val="00BA1CDC"/>
    <w:rsid w:val="00BA2329"/>
    <w:rsid w:val="00BA2584"/>
    <w:rsid w:val="00BA31D6"/>
    <w:rsid w:val="00BA52F0"/>
    <w:rsid w:val="00BA5A63"/>
    <w:rsid w:val="00BA70BB"/>
    <w:rsid w:val="00BB1229"/>
    <w:rsid w:val="00BB167B"/>
    <w:rsid w:val="00BB33BF"/>
    <w:rsid w:val="00BB3C1C"/>
    <w:rsid w:val="00BB56E8"/>
    <w:rsid w:val="00BB6685"/>
    <w:rsid w:val="00BC4877"/>
    <w:rsid w:val="00BC59D3"/>
    <w:rsid w:val="00BC7B02"/>
    <w:rsid w:val="00BD721B"/>
    <w:rsid w:val="00BE03EE"/>
    <w:rsid w:val="00BE0E4A"/>
    <w:rsid w:val="00BE532E"/>
    <w:rsid w:val="00BE66A2"/>
    <w:rsid w:val="00BE6CC5"/>
    <w:rsid w:val="00BF07BE"/>
    <w:rsid w:val="00BF37FE"/>
    <w:rsid w:val="00C02816"/>
    <w:rsid w:val="00C03733"/>
    <w:rsid w:val="00C05017"/>
    <w:rsid w:val="00C0518B"/>
    <w:rsid w:val="00C060D8"/>
    <w:rsid w:val="00C105BE"/>
    <w:rsid w:val="00C135D6"/>
    <w:rsid w:val="00C148BE"/>
    <w:rsid w:val="00C1589F"/>
    <w:rsid w:val="00C15EDB"/>
    <w:rsid w:val="00C25584"/>
    <w:rsid w:val="00C27530"/>
    <w:rsid w:val="00C31BA7"/>
    <w:rsid w:val="00C3479C"/>
    <w:rsid w:val="00C37965"/>
    <w:rsid w:val="00C427BC"/>
    <w:rsid w:val="00C51213"/>
    <w:rsid w:val="00C57536"/>
    <w:rsid w:val="00C62CFC"/>
    <w:rsid w:val="00C656E2"/>
    <w:rsid w:val="00C7469F"/>
    <w:rsid w:val="00C77C7D"/>
    <w:rsid w:val="00C829CB"/>
    <w:rsid w:val="00C850F1"/>
    <w:rsid w:val="00C85A58"/>
    <w:rsid w:val="00C9081B"/>
    <w:rsid w:val="00C91A04"/>
    <w:rsid w:val="00C954B5"/>
    <w:rsid w:val="00C9589F"/>
    <w:rsid w:val="00C963E3"/>
    <w:rsid w:val="00CA0D58"/>
    <w:rsid w:val="00CA348F"/>
    <w:rsid w:val="00CA44A2"/>
    <w:rsid w:val="00CA5E42"/>
    <w:rsid w:val="00CB6DFB"/>
    <w:rsid w:val="00CC26FB"/>
    <w:rsid w:val="00CC2D44"/>
    <w:rsid w:val="00CC5218"/>
    <w:rsid w:val="00CD3950"/>
    <w:rsid w:val="00CD43FC"/>
    <w:rsid w:val="00CD5B95"/>
    <w:rsid w:val="00CD7C4A"/>
    <w:rsid w:val="00CE4788"/>
    <w:rsid w:val="00CE47F8"/>
    <w:rsid w:val="00CF64B8"/>
    <w:rsid w:val="00CF7F30"/>
    <w:rsid w:val="00D0332A"/>
    <w:rsid w:val="00D05AB8"/>
    <w:rsid w:val="00D12B1F"/>
    <w:rsid w:val="00D12EC6"/>
    <w:rsid w:val="00D13606"/>
    <w:rsid w:val="00D16219"/>
    <w:rsid w:val="00D16403"/>
    <w:rsid w:val="00D17B6E"/>
    <w:rsid w:val="00D17F50"/>
    <w:rsid w:val="00D22A82"/>
    <w:rsid w:val="00D312BA"/>
    <w:rsid w:val="00D321FE"/>
    <w:rsid w:val="00D34222"/>
    <w:rsid w:val="00D36598"/>
    <w:rsid w:val="00D42A81"/>
    <w:rsid w:val="00D4437A"/>
    <w:rsid w:val="00D44420"/>
    <w:rsid w:val="00D54BD9"/>
    <w:rsid w:val="00D55DE5"/>
    <w:rsid w:val="00D601CC"/>
    <w:rsid w:val="00D6149B"/>
    <w:rsid w:val="00D61730"/>
    <w:rsid w:val="00D70B8F"/>
    <w:rsid w:val="00D714E0"/>
    <w:rsid w:val="00D753BA"/>
    <w:rsid w:val="00D87589"/>
    <w:rsid w:val="00DA0333"/>
    <w:rsid w:val="00DA3DB8"/>
    <w:rsid w:val="00DA5459"/>
    <w:rsid w:val="00DA68FF"/>
    <w:rsid w:val="00DA7273"/>
    <w:rsid w:val="00DA75A1"/>
    <w:rsid w:val="00DB22C9"/>
    <w:rsid w:val="00DB3095"/>
    <w:rsid w:val="00DB4347"/>
    <w:rsid w:val="00DC1A81"/>
    <w:rsid w:val="00DC51F2"/>
    <w:rsid w:val="00DC572C"/>
    <w:rsid w:val="00DD39E4"/>
    <w:rsid w:val="00DD42DD"/>
    <w:rsid w:val="00DD5F72"/>
    <w:rsid w:val="00DE1AFA"/>
    <w:rsid w:val="00DE3A7C"/>
    <w:rsid w:val="00DE491B"/>
    <w:rsid w:val="00DE4D8B"/>
    <w:rsid w:val="00DE5CAC"/>
    <w:rsid w:val="00DF30D6"/>
    <w:rsid w:val="00DF70B0"/>
    <w:rsid w:val="00E014F9"/>
    <w:rsid w:val="00E01747"/>
    <w:rsid w:val="00E0213E"/>
    <w:rsid w:val="00E0362D"/>
    <w:rsid w:val="00E04229"/>
    <w:rsid w:val="00E042B1"/>
    <w:rsid w:val="00E04531"/>
    <w:rsid w:val="00E05DC9"/>
    <w:rsid w:val="00E125E5"/>
    <w:rsid w:val="00E12A78"/>
    <w:rsid w:val="00E13A2B"/>
    <w:rsid w:val="00E157B1"/>
    <w:rsid w:val="00E16A97"/>
    <w:rsid w:val="00E17313"/>
    <w:rsid w:val="00E214F0"/>
    <w:rsid w:val="00E231DA"/>
    <w:rsid w:val="00E238F9"/>
    <w:rsid w:val="00E26F9E"/>
    <w:rsid w:val="00E35B4C"/>
    <w:rsid w:val="00E365F2"/>
    <w:rsid w:val="00E43585"/>
    <w:rsid w:val="00E478B1"/>
    <w:rsid w:val="00E53E4C"/>
    <w:rsid w:val="00E5429D"/>
    <w:rsid w:val="00E61E86"/>
    <w:rsid w:val="00E65C92"/>
    <w:rsid w:val="00E65CAA"/>
    <w:rsid w:val="00E65D90"/>
    <w:rsid w:val="00E71EB0"/>
    <w:rsid w:val="00E71FAF"/>
    <w:rsid w:val="00E73532"/>
    <w:rsid w:val="00E839FB"/>
    <w:rsid w:val="00E851FC"/>
    <w:rsid w:val="00E91526"/>
    <w:rsid w:val="00E919CA"/>
    <w:rsid w:val="00E95B1A"/>
    <w:rsid w:val="00EA09A3"/>
    <w:rsid w:val="00EA21C5"/>
    <w:rsid w:val="00EA6905"/>
    <w:rsid w:val="00EB5F3E"/>
    <w:rsid w:val="00EB77F0"/>
    <w:rsid w:val="00EB7F34"/>
    <w:rsid w:val="00EC2702"/>
    <w:rsid w:val="00EC5BBB"/>
    <w:rsid w:val="00EC5EAF"/>
    <w:rsid w:val="00ED656B"/>
    <w:rsid w:val="00EE0285"/>
    <w:rsid w:val="00F0246D"/>
    <w:rsid w:val="00F026D4"/>
    <w:rsid w:val="00F23732"/>
    <w:rsid w:val="00F23FE5"/>
    <w:rsid w:val="00F27926"/>
    <w:rsid w:val="00F279B4"/>
    <w:rsid w:val="00F36A1C"/>
    <w:rsid w:val="00F40BC8"/>
    <w:rsid w:val="00F47F6F"/>
    <w:rsid w:val="00F53DA8"/>
    <w:rsid w:val="00F567B4"/>
    <w:rsid w:val="00F62792"/>
    <w:rsid w:val="00F656EA"/>
    <w:rsid w:val="00F65792"/>
    <w:rsid w:val="00F71D35"/>
    <w:rsid w:val="00F72A88"/>
    <w:rsid w:val="00F73A95"/>
    <w:rsid w:val="00F75614"/>
    <w:rsid w:val="00F75661"/>
    <w:rsid w:val="00F765FD"/>
    <w:rsid w:val="00F81209"/>
    <w:rsid w:val="00F94A9B"/>
    <w:rsid w:val="00FA1CA4"/>
    <w:rsid w:val="00FB07DE"/>
    <w:rsid w:val="00FB40F8"/>
    <w:rsid w:val="00FB634F"/>
    <w:rsid w:val="00FB6B83"/>
    <w:rsid w:val="00FB6CD1"/>
    <w:rsid w:val="00FB77C7"/>
    <w:rsid w:val="00FC0F17"/>
    <w:rsid w:val="00FC546B"/>
    <w:rsid w:val="00FC65EA"/>
    <w:rsid w:val="00FE23DC"/>
    <w:rsid w:val="00FE589B"/>
    <w:rsid w:val="00FE5A36"/>
    <w:rsid w:val="00FE66A1"/>
    <w:rsid w:val="00FF271C"/>
    <w:rsid w:val="00FF6C30"/>
    <w:rsid w:val="010158D6"/>
    <w:rsid w:val="0151194F"/>
    <w:rsid w:val="01671C4E"/>
    <w:rsid w:val="01BB71BD"/>
    <w:rsid w:val="01BD23EE"/>
    <w:rsid w:val="01DA0B48"/>
    <w:rsid w:val="01F90182"/>
    <w:rsid w:val="01FF65D1"/>
    <w:rsid w:val="020113ED"/>
    <w:rsid w:val="0240705E"/>
    <w:rsid w:val="024625B0"/>
    <w:rsid w:val="02E121AF"/>
    <w:rsid w:val="02E70D76"/>
    <w:rsid w:val="02F02C73"/>
    <w:rsid w:val="02FE3510"/>
    <w:rsid w:val="03020317"/>
    <w:rsid w:val="034D1A82"/>
    <w:rsid w:val="036B733D"/>
    <w:rsid w:val="036D6AC2"/>
    <w:rsid w:val="03B40D23"/>
    <w:rsid w:val="03C0596D"/>
    <w:rsid w:val="03DF460C"/>
    <w:rsid w:val="0422662D"/>
    <w:rsid w:val="042934A2"/>
    <w:rsid w:val="04305996"/>
    <w:rsid w:val="04346599"/>
    <w:rsid w:val="0493699D"/>
    <w:rsid w:val="04A529BD"/>
    <w:rsid w:val="04D618FE"/>
    <w:rsid w:val="05044D34"/>
    <w:rsid w:val="050B74E1"/>
    <w:rsid w:val="050D5C84"/>
    <w:rsid w:val="0522507E"/>
    <w:rsid w:val="052470FB"/>
    <w:rsid w:val="0551513B"/>
    <w:rsid w:val="05741C9F"/>
    <w:rsid w:val="059C0DCC"/>
    <w:rsid w:val="05B4066A"/>
    <w:rsid w:val="05B57B80"/>
    <w:rsid w:val="05C22BB5"/>
    <w:rsid w:val="05F85B3D"/>
    <w:rsid w:val="05F93F49"/>
    <w:rsid w:val="062F6FC3"/>
    <w:rsid w:val="0634632E"/>
    <w:rsid w:val="063D77F5"/>
    <w:rsid w:val="064A0C19"/>
    <w:rsid w:val="065B7E9B"/>
    <w:rsid w:val="066E2377"/>
    <w:rsid w:val="067374D5"/>
    <w:rsid w:val="06AA4553"/>
    <w:rsid w:val="06ED323C"/>
    <w:rsid w:val="06F86D73"/>
    <w:rsid w:val="07435FE8"/>
    <w:rsid w:val="074D4D6C"/>
    <w:rsid w:val="07D021ED"/>
    <w:rsid w:val="080815BA"/>
    <w:rsid w:val="083644EB"/>
    <w:rsid w:val="08493CEC"/>
    <w:rsid w:val="08571FAF"/>
    <w:rsid w:val="08D625AD"/>
    <w:rsid w:val="08E44A3F"/>
    <w:rsid w:val="08E95CA9"/>
    <w:rsid w:val="09071A14"/>
    <w:rsid w:val="091E5A36"/>
    <w:rsid w:val="09230B2E"/>
    <w:rsid w:val="093F1AD9"/>
    <w:rsid w:val="095630F1"/>
    <w:rsid w:val="0971724B"/>
    <w:rsid w:val="09857ADC"/>
    <w:rsid w:val="098A1D74"/>
    <w:rsid w:val="098D09FF"/>
    <w:rsid w:val="09C30B86"/>
    <w:rsid w:val="0A0E4349"/>
    <w:rsid w:val="0A141330"/>
    <w:rsid w:val="0A39301B"/>
    <w:rsid w:val="0A400353"/>
    <w:rsid w:val="0ABA4DD0"/>
    <w:rsid w:val="0AD32958"/>
    <w:rsid w:val="0ADA14FA"/>
    <w:rsid w:val="0AE84F86"/>
    <w:rsid w:val="0BAE374A"/>
    <w:rsid w:val="0BB2656C"/>
    <w:rsid w:val="0BB863E7"/>
    <w:rsid w:val="0BC65E11"/>
    <w:rsid w:val="0BFA57C9"/>
    <w:rsid w:val="0C4241C7"/>
    <w:rsid w:val="0C467A48"/>
    <w:rsid w:val="0C575BA7"/>
    <w:rsid w:val="0C7926B1"/>
    <w:rsid w:val="0CC24B12"/>
    <w:rsid w:val="0CCB0197"/>
    <w:rsid w:val="0CD034A3"/>
    <w:rsid w:val="0D1C2AFA"/>
    <w:rsid w:val="0D20492F"/>
    <w:rsid w:val="0D5F0EDB"/>
    <w:rsid w:val="0DB227D4"/>
    <w:rsid w:val="0DB278FD"/>
    <w:rsid w:val="0E132E9A"/>
    <w:rsid w:val="0E1834C1"/>
    <w:rsid w:val="0E1A3847"/>
    <w:rsid w:val="0E2B0985"/>
    <w:rsid w:val="0E3C58D5"/>
    <w:rsid w:val="0E430CE5"/>
    <w:rsid w:val="0E5B5169"/>
    <w:rsid w:val="0EAC1B24"/>
    <w:rsid w:val="0EB93C3D"/>
    <w:rsid w:val="0F311B96"/>
    <w:rsid w:val="0F4D47A1"/>
    <w:rsid w:val="0F4F61AB"/>
    <w:rsid w:val="0F57359F"/>
    <w:rsid w:val="0F693E0D"/>
    <w:rsid w:val="0F8924A9"/>
    <w:rsid w:val="0F8F7DCE"/>
    <w:rsid w:val="0FBF163F"/>
    <w:rsid w:val="0FCC0F53"/>
    <w:rsid w:val="0FD4086B"/>
    <w:rsid w:val="0FE55519"/>
    <w:rsid w:val="100F30C6"/>
    <w:rsid w:val="10181477"/>
    <w:rsid w:val="10492E3A"/>
    <w:rsid w:val="10524E78"/>
    <w:rsid w:val="10684D0C"/>
    <w:rsid w:val="108F0552"/>
    <w:rsid w:val="10A20886"/>
    <w:rsid w:val="10B6257F"/>
    <w:rsid w:val="10D02FB0"/>
    <w:rsid w:val="10E35691"/>
    <w:rsid w:val="10FA5354"/>
    <w:rsid w:val="1179646D"/>
    <w:rsid w:val="11AC5CCD"/>
    <w:rsid w:val="11B252F5"/>
    <w:rsid w:val="11B80FAC"/>
    <w:rsid w:val="11CA3F82"/>
    <w:rsid w:val="11E043BF"/>
    <w:rsid w:val="122130F3"/>
    <w:rsid w:val="12413B02"/>
    <w:rsid w:val="127141F0"/>
    <w:rsid w:val="12853ADC"/>
    <w:rsid w:val="12B046B7"/>
    <w:rsid w:val="130242F7"/>
    <w:rsid w:val="13252C24"/>
    <w:rsid w:val="132B00B1"/>
    <w:rsid w:val="13336A79"/>
    <w:rsid w:val="136F66CF"/>
    <w:rsid w:val="137E1C1B"/>
    <w:rsid w:val="138F65AB"/>
    <w:rsid w:val="13967256"/>
    <w:rsid w:val="13C3411C"/>
    <w:rsid w:val="13DC7FD1"/>
    <w:rsid w:val="13F14BE0"/>
    <w:rsid w:val="13F7629C"/>
    <w:rsid w:val="13F9306F"/>
    <w:rsid w:val="14461693"/>
    <w:rsid w:val="14492CD6"/>
    <w:rsid w:val="144D21E5"/>
    <w:rsid w:val="147321EF"/>
    <w:rsid w:val="149D0AE7"/>
    <w:rsid w:val="14A311FF"/>
    <w:rsid w:val="14B81AB4"/>
    <w:rsid w:val="14C22F60"/>
    <w:rsid w:val="14C72C92"/>
    <w:rsid w:val="14FB79FC"/>
    <w:rsid w:val="150E6EB8"/>
    <w:rsid w:val="154137DB"/>
    <w:rsid w:val="155D20CA"/>
    <w:rsid w:val="15620E6F"/>
    <w:rsid w:val="157A6ECD"/>
    <w:rsid w:val="15807BD8"/>
    <w:rsid w:val="159D498A"/>
    <w:rsid w:val="15BD7CC2"/>
    <w:rsid w:val="15BF639B"/>
    <w:rsid w:val="15C60441"/>
    <w:rsid w:val="160D352C"/>
    <w:rsid w:val="160F5C0D"/>
    <w:rsid w:val="161B7041"/>
    <w:rsid w:val="162A5DFF"/>
    <w:rsid w:val="16435C8A"/>
    <w:rsid w:val="16712320"/>
    <w:rsid w:val="16733F99"/>
    <w:rsid w:val="16BE1A3E"/>
    <w:rsid w:val="16DA1D67"/>
    <w:rsid w:val="16DA3CE8"/>
    <w:rsid w:val="17167F51"/>
    <w:rsid w:val="175361C0"/>
    <w:rsid w:val="176B65EE"/>
    <w:rsid w:val="176F1A4E"/>
    <w:rsid w:val="17816282"/>
    <w:rsid w:val="17902301"/>
    <w:rsid w:val="17B00001"/>
    <w:rsid w:val="18216F40"/>
    <w:rsid w:val="18505EFA"/>
    <w:rsid w:val="1860175F"/>
    <w:rsid w:val="18704FEB"/>
    <w:rsid w:val="18744007"/>
    <w:rsid w:val="18835BFE"/>
    <w:rsid w:val="18B96776"/>
    <w:rsid w:val="18CC4658"/>
    <w:rsid w:val="193C2959"/>
    <w:rsid w:val="19A21095"/>
    <w:rsid w:val="19B73355"/>
    <w:rsid w:val="19B81AA1"/>
    <w:rsid w:val="19CD6CAE"/>
    <w:rsid w:val="19CF55EE"/>
    <w:rsid w:val="19FA05D8"/>
    <w:rsid w:val="1A012EEA"/>
    <w:rsid w:val="1A0761F6"/>
    <w:rsid w:val="1A113E67"/>
    <w:rsid w:val="1A274EB5"/>
    <w:rsid w:val="1A7D724D"/>
    <w:rsid w:val="1AA80E44"/>
    <w:rsid w:val="1ADA6401"/>
    <w:rsid w:val="1AFE1D3D"/>
    <w:rsid w:val="1B02346E"/>
    <w:rsid w:val="1B195C38"/>
    <w:rsid w:val="1B302BE8"/>
    <w:rsid w:val="1B475CEB"/>
    <w:rsid w:val="1B4B46D8"/>
    <w:rsid w:val="1B6B68B7"/>
    <w:rsid w:val="1B736034"/>
    <w:rsid w:val="1BBA6460"/>
    <w:rsid w:val="1BCD60AB"/>
    <w:rsid w:val="1C306445"/>
    <w:rsid w:val="1C360AEC"/>
    <w:rsid w:val="1C6728EE"/>
    <w:rsid w:val="1C7477A2"/>
    <w:rsid w:val="1C794B4D"/>
    <w:rsid w:val="1C7F277C"/>
    <w:rsid w:val="1CC16191"/>
    <w:rsid w:val="1CD93FBD"/>
    <w:rsid w:val="1CDF07BC"/>
    <w:rsid w:val="1CE8524C"/>
    <w:rsid w:val="1D154EB0"/>
    <w:rsid w:val="1D3425C9"/>
    <w:rsid w:val="1D63026E"/>
    <w:rsid w:val="1D8E1856"/>
    <w:rsid w:val="1D913947"/>
    <w:rsid w:val="1DC77356"/>
    <w:rsid w:val="1E060761"/>
    <w:rsid w:val="1E32497E"/>
    <w:rsid w:val="1E510D0C"/>
    <w:rsid w:val="1E9A2EA4"/>
    <w:rsid w:val="1EA00976"/>
    <w:rsid w:val="1EB2621F"/>
    <w:rsid w:val="1ED91699"/>
    <w:rsid w:val="1F02282C"/>
    <w:rsid w:val="1F1915B1"/>
    <w:rsid w:val="1F8E0C6E"/>
    <w:rsid w:val="1F9954E9"/>
    <w:rsid w:val="1FC1175E"/>
    <w:rsid w:val="2007768E"/>
    <w:rsid w:val="200816B8"/>
    <w:rsid w:val="200F23E0"/>
    <w:rsid w:val="201541EB"/>
    <w:rsid w:val="201D3653"/>
    <w:rsid w:val="202E4B7D"/>
    <w:rsid w:val="202F1568"/>
    <w:rsid w:val="203F0CAA"/>
    <w:rsid w:val="20636CBF"/>
    <w:rsid w:val="20643DEF"/>
    <w:rsid w:val="207544E1"/>
    <w:rsid w:val="20A61CF0"/>
    <w:rsid w:val="21097572"/>
    <w:rsid w:val="21451656"/>
    <w:rsid w:val="217D202E"/>
    <w:rsid w:val="21E96D34"/>
    <w:rsid w:val="21EC7F96"/>
    <w:rsid w:val="21F21D8A"/>
    <w:rsid w:val="222E1ACF"/>
    <w:rsid w:val="2272285F"/>
    <w:rsid w:val="22804C96"/>
    <w:rsid w:val="22AB210C"/>
    <w:rsid w:val="22B079AD"/>
    <w:rsid w:val="22D16D29"/>
    <w:rsid w:val="22F61413"/>
    <w:rsid w:val="23485EFB"/>
    <w:rsid w:val="23AC3AFD"/>
    <w:rsid w:val="23CE666F"/>
    <w:rsid w:val="23EC39AF"/>
    <w:rsid w:val="24195A89"/>
    <w:rsid w:val="245100DF"/>
    <w:rsid w:val="245E5405"/>
    <w:rsid w:val="246F534D"/>
    <w:rsid w:val="247B337E"/>
    <w:rsid w:val="249D1FB5"/>
    <w:rsid w:val="24AF46C7"/>
    <w:rsid w:val="250F1AC0"/>
    <w:rsid w:val="2530781B"/>
    <w:rsid w:val="253E439A"/>
    <w:rsid w:val="2540102A"/>
    <w:rsid w:val="25D05E49"/>
    <w:rsid w:val="25DC25E9"/>
    <w:rsid w:val="25EB6089"/>
    <w:rsid w:val="26175C46"/>
    <w:rsid w:val="262B30DA"/>
    <w:rsid w:val="2636468D"/>
    <w:rsid w:val="265E72F5"/>
    <w:rsid w:val="26991D4F"/>
    <w:rsid w:val="26BE320A"/>
    <w:rsid w:val="26C93DB0"/>
    <w:rsid w:val="26F5531C"/>
    <w:rsid w:val="273D24A7"/>
    <w:rsid w:val="27866227"/>
    <w:rsid w:val="27B0283F"/>
    <w:rsid w:val="27D42FA7"/>
    <w:rsid w:val="27DC4A42"/>
    <w:rsid w:val="27FA31EE"/>
    <w:rsid w:val="280023AD"/>
    <w:rsid w:val="280C6A98"/>
    <w:rsid w:val="28221788"/>
    <w:rsid w:val="28287B04"/>
    <w:rsid w:val="2848292F"/>
    <w:rsid w:val="2856697C"/>
    <w:rsid w:val="286258C1"/>
    <w:rsid w:val="287D38FB"/>
    <w:rsid w:val="28B568D5"/>
    <w:rsid w:val="28CB19EB"/>
    <w:rsid w:val="28FC339E"/>
    <w:rsid w:val="291C62F7"/>
    <w:rsid w:val="29244687"/>
    <w:rsid w:val="29684C6F"/>
    <w:rsid w:val="2968605F"/>
    <w:rsid w:val="29922A2C"/>
    <w:rsid w:val="29A15300"/>
    <w:rsid w:val="29A8436A"/>
    <w:rsid w:val="29B4047C"/>
    <w:rsid w:val="29C537FA"/>
    <w:rsid w:val="29D136C4"/>
    <w:rsid w:val="29F341A6"/>
    <w:rsid w:val="2A00442A"/>
    <w:rsid w:val="2A0A61FB"/>
    <w:rsid w:val="2A1016C6"/>
    <w:rsid w:val="2A54408F"/>
    <w:rsid w:val="2A673735"/>
    <w:rsid w:val="2A996797"/>
    <w:rsid w:val="2AB53CDC"/>
    <w:rsid w:val="2ABF0E41"/>
    <w:rsid w:val="2AD07376"/>
    <w:rsid w:val="2AD524AB"/>
    <w:rsid w:val="2AD87375"/>
    <w:rsid w:val="2AE3030C"/>
    <w:rsid w:val="2B07191F"/>
    <w:rsid w:val="2B107449"/>
    <w:rsid w:val="2B226E40"/>
    <w:rsid w:val="2B4A4649"/>
    <w:rsid w:val="2BE7133E"/>
    <w:rsid w:val="2C154C0C"/>
    <w:rsid w:val="2C2B1074"/>
    <w:rsid w:val="2C2E3979"/>
    <w:rsid w:val="2C302071"/>
    <w:rsid w:val="2C62300F"/>
    <w:rsid w:val="2C7B7C5B"/>
    <w:rsid w:val="2CD35D4A"/>
    <w:rsid w:val="2CDD6F8C"/>
    <w:rsid w:val="2CF640B7"/>
    <w:rsid w:val="2D21315C"/>
    <w:rsid w:val="2D325F77"/>
    <w:rsid w:val="2D4135F6"/>
    <w:rsid w:val="2D6B1CB2"/>
    <w:rsid w:val="2D9A7B1B"/>
    <w:rsid w:val="2DC41FF5"/>
    <w:rsid w:val="2E156F69"/>
    <w:rsid w:val="2E3E255E"/>
    <w:rsid w:val="2E4D11FE"/>
    <w:rsid w:val="2E8F40C4"/>
    <w:rsid w:val="2EBC451F"/>
    <w:rsid w:val="2EF327B8"/>
    <w:rsid w:val="2F706E7D"/>
    <w:rsid w:val="2F7232DD"/>
    <w:rsid w:val="2F994FC1"/>
    <w:rsid w:val="2FC2095B"/>
    <w:rsid w:val="30036FF6"/>
    <w:rsid w:val="303555C7"/>
    <w:rsid w:val="304E5FBB"/>
    <w:rsid w:val="30910910"/>
    <w:rsid w:val="30E92487"/>
    <w:rsid w:val="30F75133"/>
    <w:rsid w:val="319A0B20"/>
    <w:rsid w:val="31A065E5"/>
    <w:rsid w:val="31A11FB3"/>
    <w:rsid w:val="31A949E3"/>
    <w:rsid w:val="31EA7553"/>
    <w:rsid w:val="322644EF"/>
    <w:rsid w:val="322E389B"/>
    <w:rsid w:val="325F1090"/>
    <w:rsid w:val="337E5948"/>
    <w:rsid w:val="33A74D35"/>
    <w:rsid w:val="33B50017"/>
    <w:rsid w:val="33C05244"/>
    <w:rsid w:val="34243940"/>
    <w:rsid w:val="344276A7"/>
    <w:rsid w:val="346259EE"/>
    <w:rsid w:val="346642FE"/>
    <w:rsid w:val="34C77D11"/>
    <w:rsid w:val="34EE15EE"/>
    <w:rsid w:val="351D2DF3"/>
    <w:rsid w:val="352970FA"/>
    <w:rsid w:val="355066CA"/>
    <w:rsid w:val="35535186"/>
    <w:rsid w:val="358E15F4"/>
    <w:rsid w:val="35F806E5"/>
    <w:rsid w:val="35FF78FB"/>
    <w:rsid w:val="36107489"/>
    <w:rsid w:val="365C3163"/>
    <w:rsid w:val="3668091F"/>
    <w:rsid w:val="369B76D2"/>
    <w:rsid w:val="36DB39CD"/>
    <w:rsid w:val="37156866"/>
    <w:rsid w:val="37352A03"/>
    <w:rsid w:val="373B10A7"/>
    <w:rsid w:val="37531431"/>
    <w:rsid w:val="37635922"/>
    <w:rsid w:val="376F4315"/>
    <w:rsid w:val="377648A1"/>
    <w:rsid w:val="37980946"/>
    <w:rsid w:val="37EA795C"/>
    <w:rsid w:val="38015653"/>
    <w:rsid w:val="383A1085"/>
    <w:rsid w:val="388A0871"/>
    <w:rsid w:val="38AE2FDE"/>
    <w:rsid w:val="38B14072"/>
    <w:rsid w:val="38CE389C"/>
    <w:rsid w:val="38D679F0"/>
    <w:rsid w:val="397F69A7"/>
    <w:rsid w:val="39A73CF9"/>
    <w:rsid w:val="39A83240"/>
    <w:rsid w:val="39B04F29"/>
    <w:rsid w:val="39C93F9E"/>
    <w:rsid w:val="3A0347B8"/>
    <w:rsid w:val="3A3B3A70"/>
    <w:rsid w:val="3A6901A6"/>
    <w:rsid w:val="3A7167A8"/>
    <w:rsid w:val="3A793D5D"/>
    <w:rsid w:val="3B121228"/>
    <w:rsid w:val="3B1C0828"/>
    <w:rsid w:val="3B2517EA"/>
    <w:rsid w:val="3B5A30DF"/>
    <w:rsid w:val="3B6E76FC"/>
    <w:rsid w:val="3B6F3168"/>
    <w:rsid w:val="3B711BBC"/>
    <w:rsid w:val="3B761C1F"/>
    <w:rsid w:val="3B766EC2"/>
    <w:rsid w:val="3B853DBF"/>
    <w:rsid w:val="3B8A3C4E"/>
    <w:rsid w:val="3BFF3617"/>
    <w:rsid w:val="3C042D63"/>
    <w:rsid w:val="3C0910A9"/>
    <w:rsid w:val="3C0C1625"/>
    <w:rsid w:val="3C0F01FD"/>
    <w:rsid w:val="3C201B3C"/>
    <w:rsid w:val="3C9C6154"/>
    <w:rsid w:val="3CAF17AD"/>
    <w:rsid w:val="3CB74069"/>
    <w:rsid w:val="3CD461EE"/>
    <w:rsid w:val="3CE7736A"/>
    <w:rsid w:val="3CEC23CF"/>
    <w:rsid w:val="3CEC4607"/>
    <w:rsid w:val="3D3F4162"/>
    <w:rsid w:val="3D7F084D"/>
    <w:rsid w:val="3D906F68"/>
    <w:rsid w:val="3D9564E4"/>
    <w:rsid w:val="3DC82773"/>
    <w:rsid w:val="3E04464D"/>
    <w:rsid w:val="3E1A7DE1"/>
    <w:rsid w:val="3E35467C"/>
    <w:rsid w:val="3E6636D4"/>
    <w:rsid w:val="3F39544B"/>
    <w:rsid w:val="3F70674A"/>
    <w:rsid w:val="3F850D51"/>
    <w:rsid w:val="3FBA7BFA"/>
    <w:rsid w:val="3FCB271F"/>
    <w:rsid w:val="3FF13618"/>
    <w:rsid w:val="3FF468D0"/>
    <w:rsid w:val="40295CD4"/>
    <w:rsid w:val="406C0665"/>
    <w:rsid w:val="406C3535"/>
    <w:rsid w:val="40772818"/>
    <w:rsid w:val="408C131D"/>
    <w:rsid w:val="40937BFF"/>
    <w:rsid w:val="40AB66E9"/>
    <w:rsid w:val="40B05B66"/>
    <w:rsid w:val="40C2596E"/>
    <w:rsid w:val="40D074EF"/>
    <w:rsid w:val="40DA062D"/>
    <w:rsid w:val="40DC77F1"/>
    <w:rsid w:val="410332F2"/>
    <w:rsid w:val="41104447"/>
    <w:rsid w:val="4138050F"/>
    <w:rsid w:val="415B5BE5"/>
    <w:rsid w:val="41845BA0"/>
    <w:rsid w:val="419F0436"/>
    <w:rsid w:val="41C612EC"/>
    <w:rsid w:val="41EB202B"/>
    <w:rsid w:val="423D6600"/>
    <w:rsid w:val="424D224F"/>
    <w:rsid w:val="42551EA9"/>
    <w:rsid w:val="42676605"/>
    <w:rsid w:val="428C5433"/>
    <w:rsid w:val="42CC5941"/>
    <w:rsid w:val="42E579BE"/>
    <w:rsid w:val="43165A9D"/>
    <w:rsid w:val="432C659B"/>
    <w:rsid w:val="43551D39"/>
    <w:rsid w:val="43A830DF"/>
    <w:rsid w:val="43A85796"/>
    <w:rsid w:val="43BA32CA"/>
    <w:rsid w:val="43C025A0"/>
    <w:rsid w:val="43D86C2F"/>
    <w:rsid w:val="43D940D4"/>
    <w:rsid w:val="441C4C12"/>
    <w:rsid w:val="441F3011"/>
    <w:rsid w:val="442A4738"/>
    <w:rsid w:val="442D235D"/>
    <w:rsid w:val="44645AC9"/>
    <w:rsid w:val="44E41455"/>
    <w:rsid w:val="44E86ADA"/>
    <w:rsid w:val="45044262"/>
    <w:rsid w:val="451859F7"/>
    <w:rsid w:val="451C070E"/>
    <w:rsid w:val="459C4696"/>
    <w:rsid w:val="45B746DA"/>
    <w:rsid w:val="45B80DA5"/>
    <w:rsid w:val="45F27331"/>
    <w:rsid w:val="462C2AE7"/>
    <w:rsid w:val="464B1DF7"/>
    <w:rsid w:val="465F60F6"/>
    <w:rsid w:val="46CF406D"/>
    <w:rsid w:val="46D93ADB"/>
    <w:rsid w:val="4703731C"/>
    <w:rsid w:val="47792ECE"/>
    <w:rsid w:val="4794337F"/>
    <w:rsid w:val="479C33A6"/>
    <w:rsid w:val="47ED7E4A"/>
    <w:rsid w:val="48073E38"/>
    <w:rsid w:val="483F75F8"/>
    <w:rsid w:val="485506F5"/>
    <w:rsid w:val="48AD1D9D"/>
    <w:rsid w:val="48D21E9C"/>
    <w:rsid w:val="49280EA3"/>
    <w:rsid w:val="494303AB"/>
    <w:rsid w:val="4979273A"/>
    <w:rsid w:val="4983262C"/>
    <w:rsid w:val="498D0070"/>
    <w:rsid w:val="49A2234A"/>
    <w:rsid w:val="49BA4F19"/>
    <w:rsid w:val="49C95ADB"/>
    <w:rsid w:val="4A3309D2"/>
    <w:rsid w:val="4A4C5229"/>
    <w:rsid w:val="4A514059"/>
    <w:rsid w:val="4AC464A4"/>
    <w:rsid w:val="4AC46F4D"/>
    <w:rsid w:val="4AD06758"/>
    <w:rsid w:val="4ADB2144"/>
    <w:rsid w:val="4AFC68BB"/>
    <w:rsid w:val="4AFE5A9C"/>
    <w:rsid w:val="4B1947F1"/>
    <w:rsid w:val="4B25285E"/>
    <w:rsid w:val="4B3305E7"/>
    <w:rsid w:val="4B832BC4"/>
    <w:rsid w:val="4B873D96"/>
    <w:rsid w:val="4BC27116"/>
    <w:rsid w:val="4BC85879"/>
    <w:rsid w:val="4BD97325"/>
    <w:rsid w:val="4C0810B0"/>
    <w:rsid w:val="4C2E7602"/>
    <w:rsid w:val="4C331FB2"/>
    <w:rsid w:val="4C62533E"/>
    <w:rsid w:val="4C7B2B06"/>
    <w:rsid w:val="4CC37467"/>
    <w:rsid w:val="4D5D520F"/>
    <w:rsid w:val="4D5F478F"/>
    <w:rsid w:val="4D933FD7"/>
    <w:rsid w:val="4DB26CE3"/>
    <w:rsid w:val="4E022ABD"/>
    <w:rsid w:val="4E1B3A89"/>
    <w:rsid w:val="4E306FA9"/>
    <w:rsid w:val="4E404F6A"/>
    <w:rsid w:val="4ED905C3"/>
    <w:rsid w:val="4EDC6B43"/>
    <w:rsid w:val="4EDF6CF2"/>
    <w:rsid w:val="4F2C1696"/>
    <w:rsid w:val="4F426DCF"/>
    <w:rsid w:val="4F632D5C"/>
    <w:rsid w:val="4F6D3D85"/>
    <w:rsid w:val="4FAF1F20"/>
    <w:rsid w:val="4FB74DC9"/>
    <w:rsid w:val="4FBD0D8C"/>
    <w:rsid w:val="4FDB4904"/>
    <w:rsid w:val="4FF16F94"/>
    <w:rsid w:val="50055A34"/>
    <w:rsid w:val="50177C97"/>
    <w:rsid w:val="504725E4"/>
    <w:rsid w:val="504E3428"/>
    <w:rsid w:val="505C77D3"/>
    <w:rsid w:val="506557EA"/>
    <w:rsid w:val="50836AA9"/>
    <w:rsid w:val="50A548CE"/>
    <w:rsid w:val="50CD0BAD"/>
    <w:rsid w:val="50E013D8"/>
    <w:rsid w:val="50EE182F"/>
    <w:rsid w:val="50F05E6E"/>
    <w:rsid w:val="50F24F31"/>
    <w:rsid w:val="51124210"/>
    <w:rsid w:val="512E48E5"/>
    <w:rsid w:val="51435F1D"/>
    <w:rsid w:val="516E7783"/>
    <w:rsid w:val="518554F0"/>
    <w:rsid w:val="518D2B21"/>
    <w:rsid w:val="51CD0128"/>
    <w:rsid w:val="51DA2677"/>
    <w:rsid w:val="51F87826"/>
    <w:rsid w:val="52083FBD"/>
    <w:rsid w:val="521F426E"/>
    <w:rsid w:val="522074F9"/>
    <w:rsid w:val="52595FA5"/>
    <w:rsid w:val="52715934"/>
    <w:rsid w:val="529245B1"/>
    <w:rsid w:val="52CA0823"/>
    <w:rsid w:val="52FA6A02"/>
    <w:rsid w:val="52FC7036"/>
    <w:rsid w:val="53094A77"/>
    <w:rsid w:val="53491C96"/>
    <w:rsid w:val="53672882"/>
    <w:rsid w:val="53761CED"/>
    <w:rsid w:val="537B71CA"/>
    <w:rsid w:val="53B43F7C"/>
    <w:rsid w:val="53BA5279"/>
    <w:rsid w:val="53C36E76"/>
    <w:rsid w:val="53D55EA6"/>
    <w:rsid w:val="53DA113F"/>
    <w:rsid w:val="53E90768"/>
    <w:rsid w:val="541E22A0"/>
    <w:rsid w:val="542B2D98"/>
    <w:rsid w:val="543A21EA"/>
    <w:rsid w:val="54794946"/>
    <w:rsid w:val="54996AE7"/>
    <w:rsid w:val="54D322B1"/>
    <w:rsid w:val="54E07F1A"/>
    <w:rsid w:val="54F91C1A"/>
    <w:rsid w:val="55225FCB"/>
    <w:rsid w:val="552474C7"/>
    <w:rsid w:val="552A4A85"/>
    <w:rsid w:val="554535B7"/>
    <w:rsid w:val="556041A5"/>
    <w:rsid w:val="556239E2"/>
    <w:rsid w:val="55644E74"/>
    <w:rsid w:val="55BC323D"/>
    <w:rsid w:val="55CE0325"/>
    <w:rsid w:val="55D879E4"/>
    <w:rsid w:val="56265473"/>
    <w:rsid w:val="564A0B43"/>
    <w:rsid w:val="567629CE"/>
    <w:rsid w:val="568D6699"/>
    <w:rsid w:val="56925B4E"/>
    <w:rsid w:val="56B377DF"/>
    <w:rsid w:val="571959BE"/>
    <w:rsid w:val="57322383"/>
    <w:rsid w:val="573C398C"/>
    <w:rsid w:val="575224CC"/>
    <w:rsid w:val="57774210"/>
    <w:rsid w:val="57A041EE"/>
    <w:rsid w:val="57BE635C"/>
    <w:rsid w:val="57C87271"/>
    <w:rsid w:val="57E623D3"/>
    <w:rsid w:val="580F6E94"/>
    <w:rsid w:val="58167612"/>
    <w:rsid w:val="587E0945"/>
    <w:rsid w:val="58855967"/>
    <w:rsid w:val="589C4523"/>
    <w:rsid w:val="58A83E89"/>
    <w:rsid w:val="58EB5B20"/>
    <w:rsid w:val="592B583B"/>
    <w:rsid w:val="59446029"/>
    <w:rsid w:val="596606D9"/>
    <w:rsid w:val="596738CC"/>
    <w:rsid w:val="598B4BF5"/>
    <w:rsid w:val="598C2402"/>
    <w:rsid w:val="59B75146"/>
    <w:rsid w:val="59DF4591"/>
    <w:rsid w:val="59E145D5"/>
    <w:rsid w:val="59E74E45"/>
    <w:rsid w:val="59EA3823"/>
    <w:rsid w:val="59FA0FFD"/>
    <w:rsid w:val="5A4D17C1"/>
    <w:rsid w:val="5A6F12AE"/>
    <w:rsid w:val="5A8803F4"/>
    <w:rsid w:val="5A883D64"/>
    <w:rsid w:val="5A8A2D83"/>
    <w:rsid w:val="5A9F2E6A"/>
    <w:rsid w:val="5AAE38A2"/>
    <w:rsid w:val="5AB6428F"/>
    <w:rsid w:val="5AB657D7"/>
    <w:rsid w:val="5ABF66FF"/>
    <w:rsid w:val="5AC401E7"/>
    <w:rsid w:val="5AED6AD6"/>
    <w:rsid w:val="5AFA5EE2"/>
    <w:rsid w:val="5B036231"/>
    <w:rsid w:val="5B2C50E4"/>
    <w:rsid w:val="5B4F6AF7"/>
    <w:rsid w:val="5B5418F7"/>
    <w:rsid w:val="5BAF2D13"/>
    <w:rsid w:val="5BC70B2B"/>
    <w:rsid w:val="5BE04A8A"/>
    <w:rsid w:val="5C0A1D64"/>
    <w:rsid w:val="5C16499B"/>
    <w:rsid w:val="5C404771"/>
    <w:rsid w:val="5C9D1F3A"/>
    <w:rsid w:val="5CAE5C9B"/>
    <w:rsid w:val="5D162219"/>
    <w:rsid w:val="5D5A1DE6"/>
    <w:rsid w:val="5D830A97"/>
    <w:rsid w:val="5D8F2C7D"/>
    <w:rsid w:val="5DA4513B"/>
    <w:rsid w:val="5DA96369"/>
    <w:rsid w:val="5DC56AC7"/>
    <w:rsid w:val="5DE93056"/>
    <w:rsid w:val="5DEE17A1"/>
    <w:rsid w:val="5DF11787"/>
    <w:rsid w:val="5E104FD0"/>
    <w:rsid w:val="5E201EB5"/>
    <w:rsid w:val="5E206C8A"/>
    <w:rsid w:val="5E387AC8"/>
    <w:rsid w:val="5E4C4CAF"/>
    <w:rsid w:val="5E646D1E"/>
    <w:rsid w:val="5E676DD0"/>
    <w:rsid w:val="5E9C15B7"/>
    <w:rsid w:val="5EA86964"/>
    <w:rsid w:val="5EB92A59"/>
    <w:rsid w:val="5F2A2BC0"/>
    <w:rsid w:val="5F2D0A20"/>
    <w:rsid w:val="5F67093A"/>
    <w:rsid w:val="5F702FF1"/>
    <w:rsid w:val="5F887A42"/>
    <w:rsid w:val="5F8D54B7"/>
    <w:rsid w:val="5FAC55AE"/>
    <w:rsid w:val="5FC1218B"/>
    <w:rsid w:val="5FC20B0B"/>
    <w:rsid w:val="5FFD1635"/>
    <w:rsid w:val="60107195"/>
    <w:rsid w:val="60534363"/>
    <w:rsid w:val="608F46D6"/>
    <w:rsid w:val="612C7258"/>
    <w:rsid w:val="615715FA"/>
    <w:rsid w:val="61580A4B"/>
    <w:rsid w:val="617501C1"/>
    <w:rsid w:val="61A2701B"/>
    <w:rsid w:val="61AC3914"/>
    <w:rsid w:val="61D258E3"/>
    <w:rsid w:val="623F1C3E"/>
    <w:rsid w:val="626F038D"/>
    <w:rsid w:val="62745E47"/>
    <w:rsid w:val="6318215C"/>
    <w:rsid w:val="631A0B14"/>
    <w:rsid w:val="635E00FF"/>
    <w:rsid w:val="63CE6A42"/>
    <w:rsid w:val="63F5714F"/>
    <w:rsid w:val="64335A10"/>
    <w:rsid w:val="643739A8"/>
    <w:rsid w:val="64492E5C"/>
    <w:rsid w:val="64595C2C"/>
    <w:rsid w:val="648A4B3C"/>
    <w:rsid w:val="64AA720F"/>
    <w:rsid w:val="64B91BC4"/>
    <w:rsid w:val="64DC41C5"/>
    <w:rsid w:val="64ED2CF1"/>
    <w:rsid w:val="650F1820"/>
    <w:rsid w:val="652F0DE7"/>
    <w:rsid w:val="655F1AE9"/>
    <w:rsid w:val="65BD2897"/>
    <w:rsid w:val="65C86E43"/>
    <w:rsid w:val="65CE3A8E"/>
    <w:rsid w:val="65DB6A30"/>
    <w:rsid w:val="65E43C2D"/>
    <w:rsid w:val="660D0D24"/>
    <w:rsid w:val="664044D4"/>
    <w:rsid w:val="665A4132"/>
    <w:rsid w:val="666838E7"/>
    <w:rsid w:val="666C646C"/>
    <w:rsid w:val="667A011A"/>
    <w:rsid w:val="66BB5427"/>
    <w:rsid w:val="66D075E7"/>
    <w:rsid w:val="66D22D0B"/>
    <w:rsid w:val="671660B5"/>
    <w:rsid w:val="672E4B50"/>
    <w:rsid w:val="67356C13"/>
    <w:rsid w:val="67732E14"/>
    <w:rsid w:val="677636C5"/>
    <w:rsid w:val="679C714C"/>
    <w:rsid w:val="679D6AF9"/>
    <w:rsid w:val="67D65BC6"/>
    <w:rsid w:val="67F37354"/>
    <w:rsid w:val="680D5F54"/>
    <w:rsid w:val="681236F4"/>
    <w:rsid w:val="682C5066"/>
    <w:rsid w:val="684B3025"/>
    <w:rsid w:val="68747BD8"/>
    <w:rsid w:val="68B97E18"/>
    <w:rsid w:val="68E4720D"/>
    <w:rsid w:val="69195D89"/>
    <w:rsid w:val="693D0244"/>
    <w:rsid w:val="69487AC2"/>
    <w:rsid w:val="69666808"/>
    <w:rsid w:val="696A6941"/>
    <w:rsid w:val="698B2F43"/>
    <w:rsid w:val="69A06DA2"/>
    <w:rsid w:val="69AF1E82"/>
    <w:rsid w:val="69BF42B1"/>
    <w:rsid w:val="69DC1B63"/>
    <w:rsid w:val="69E66720"/>
    <w:rsid w:val="6A174AFA"/>
    <w:rsid w:val="6A3C33DE"/>
    <w:rsid w:val="6A4A3C55"/>
    <w:rsid w:val="6A8317BE"/>
    <w:rsid w:val="6A932E15"/>
    <w:rsid w:val="6A9C5300"/>
    <w:rsid w:val="6B0A1759"/>
    <w:rsid w:val="6B1E7F72"/>
    <w:rsid w:val="6B20385E"/>
    <w:rsid w:val="6B267794"/>
    <w:rsid w:val="6B4073A8"/>
    <w:rsid w:val="6B7A4C92"/>
    <w:rsid w:val="6B9F3F28"/>
    <w:rsid w:val="6BC4254A"/>
    <w:rsid w:val="6BD2516B"/>
    <w:rsid w:val="6BE65C64"/>
    <w:rsid w:val="6C147A93"/>
    <w:rsid w:val="6C4031A0"/>
    <w:rsid w:val="6C7B054B"/>
    <w:rsid w:val="6C946195"/>
    <w:rsid w:val="6CED7FE2"/>
    <w:rsid w:val="6D1674E0"/>
    <w:rsid w:val="6D1A0413"/>
    <w:rsid w:val="6D282574"/>
    <w:rsid w:val="6D6E7452"/>
    <w:rsid w:val="6D7F027A"/>
    <w:rsid w:val="6D806684"/>
    <w:rsid w:val="6D8807CC"/>
    <w:rsid w:val="6E0C3167"/>
    <w:rsid w:val="6E3E7F8B"/>
    <w:rsid w:val="6E5A4318"/>
    <w:rsid w:val="6E8F062E"/>
    <w:rsid w:val="6EAF10B5"/>
    <w:rsid w:val="6EB1401F"/>
    <w:rsid w:val="6EE37288"/>
    <w:rsid w:val="6EED62E3"/>
    <w:rsid w:val="6EFB0656"/>
    <w:rsid w:val="6F0C0A71"/>
    <w:rsid w:val="6F28489D"/>
    <w:rsid w:val="6F423E6F"/>
    <w:rsid w:val="6F486DCC"/>
    <w:rsid w:val="6FC742B7"/>
    <w:rsid w:val="6FC757B4"/>
    <w:rsid w:val="7005474A"/>
    <w:rsid w:val="70115191"/>
    <w:rsid w:val="702F740D"/>
    <w:rsid w:val="703D50B9"/>
    <w:rsid w:val="70496DEE"/>
    <w:rsid w:val="70502EDB"/>
    <w:rsid w:val="70D932AB"/>
    <w:rsid w:val="71117455"/>
    <w:rsid w:val="715C382B"/>
    <w:rsid w:val="71D07A9E"/>
    <w:rsid w:val="71D12CA5"/>
    <w:rsid w:val="71D62D16"/>
    <w:rsid w:val="71E10E5F"/>
    <w:rsid w:val="71F033AD"/>
    <w:rsid w:val="72025094"/>
    <w:rsid w:val="72326905"/>
    <w:rsid w:val="726B72E8"/>
    <w:rsid w:val="72710D21"/>
    <w:rsid w:val="7273785A"/>
    <w:rsid w:val="728614E5"/>
    <w:rsid w:val="7292206D"/>
    <w:rsid w:val="729F3BF6"/>
    <w:rsid w:val="72A64E75"/>
    <w:rsid w:val="72B020DF"/>
    <w:rsid w:val="72B252D4"/>
    <w:rsid w:val="72FA7AC5"/>
    <w:rsid w:val="735F1BDD"/>
    <w:rsid w:val="73834987"/>
    <w:rsid w:val="738370B6"/>
    <w:rsid w:val="73F164DA"/>
    <w:rsid w:val="740D45B9"/>
    <w:rsid w:val="74283869"/>
    <w:rsid w:val="7432313D"/>
    <w:rsid w:val="745A23B1"/>
    <w:rsid w:val="746216B1"/>
    <w:rsid w:val="747C2EBD"/>
    <w:rsid w:val="7486249F"/>
    <w:rsid w:val="74AB0D74"/>
    <w:rsid w:val="74B263C2"/>
    <w:rsid w:val="75030E64"/>
    <w:rsid w:val="75080AE9"/>
    <w:rsid w:val="750F08C7"/>
    <w:rsid w:val="753048AD"/>
    <w:rsid w:val="75381C1F"/>
    <w:rsid w:val="75400A5F"/>
    <w:rsid w:val="75664300"/>
    <w:rsid w:val="75770905"/>
    <w:rsid w:val="759C390E"/>
    <w:rsid w:val="75A230C3"/>
    <w:rsid w:val="75F061FF"/>
    <w:rsid w:val="76212B75"/>
    <w:rsid w:val="76513647"/>
    <w:rsid w:val="76A26B77"/>
    <w:rsid w:val="76D35A76"/>
    <w:rsid w:val="76EA6B52"/>
    <w:rsid w:val="77564FC0"/>
    <w:rsid w:val="7797237E"/>
    <w:rsid w:val="77D05213"/>
    <w:rsid w:val="77DC4AD7"/>
    <w:rsid w:val="780264D2"/>
    <w:rsid w:val="78346907"/>
    <w:rsid w:val="78464877"/>
    <w:rsid w:val="785116D4"/>
    <w:rsid w:val="78517245"/>
    <w:rsid w:val="78827DAA"/>
    <w:rsid w:val="78D66832"/>
    <w:rsid w:val="79002122"/>
    <w:rsid w:val="792675C1"/>
    <w:rsid w:val="795F7B1D"/>
    <w:rsid w:val="7988270D"/>
    <w:rsid w:val="79C01938"/>
    <w:rsid w:val="79CA5FA9"/>
    <w:rsid w:val="79E0038D"/>
    <w:rsid w:val="7A36378E"/>
    <w:rsid w:val="7A421502"/>
    <w:rsid w:val="7A583C2F"/>
    <w:rsid w:val="7A700169"/>
    <w:rsid w:val="7A7311FF"/>
    <w:rsid w:val="7A80094C"/>
    <w:rsid w:val="7A821EE5"/>
    <w:rsid w:val="7A8D4A9C"/>
    <w:rsid w:val="7AD325F0"/>
    <w:rsid w:val="7B0257FA"/>
    <w:rsid w:val="7B1C1411"/>
    <w:rsid w:val="7B1D208B"/>
    <w:rsid w:val="7B791678"/>
    <w:rsid w:val="7BA543C8"/>
    <w:rsid w:val="7BC15E4F"/>
    <w:rsid w:val="7C0C1B9F"/>
    <w:rsid w:val="7C357ED5"/>
    <w:rsid w:val="7C4F211F"/>
    <w:rsid w:val="7C52568F"/>
    <w:rsid w:val="7C823371"/>
    <w:rsid w:val="7CA16C7F"/>
    <w:rsid w:val="7D004CB1"/>
    <w:rsid w:val="7D1B5B54"/>
    <w:rsid w:val="7D320491"/>
    <w:rsid w:val="7D4D282D"/>
    <w:rsid w:val="7D6A05D4"/>
    <w:rsid w:val="7D86694D"/>
    <w:rsid w:val="7DBA6ED4"/>
    <w:rsid w:val="7DE47912"/>
    <w:rsid w:val="7E1647E5"/>
    <w:rsid w:val="7EA20A7E"/>
    <w:rsid w:val="7EB34C9F"/>
    <w:rsid w:val="7EC15935"/>
    <w:rsid w:val="7EEA0DCC"/>
    <w:rsid w:val="7F110969"/>
    <w:rsid w:val="7F28589F"/>
    <w:rsid w:val="7F383B46"/>
    <w:rsid w:val="7F58347D"/>
    <w:rsid w:val="7F650577"/>
    <w:rsid w:val="7F88606E"/>
    <w:rsid w:val="7FAE16CA"/>
    <w:rsid w:val="7FF27B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name="Normal Indent"/>
    <w:lsdException w:uiPriority="99" w:name="footnote text"/>
    <w:lsdException w:qFormat="1" w:unhideWhenUsed="0" w:uiPriority="0" w:name="annotation text"/>
    <w:lsdException w:qFormat="1" w:unhideWhenUsed="0" w:uiPriority="0" w:name="header"/>
    <w:lsdException w:qFormat="1" w:unhideWhenUsed="0" w:uiPriority="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80" w:lineRule="exact"/>
      <w:ind w:firstLine="200" w:firstLineChars="200"/>
      <w:jc w:val="both"/>
    </w:pPr>
    <w:rPr>
      <w:rFonts w:ascii="Times New Roman" w:hAnsi="Times New Roman" w:eastAsia="宋体" w:cs="Times New Roman"/>
      <w:kern w:val="2"/>
      <w:sz w:val="24"/>
      <w:szCs w:val="24"/>
      <w:lang w:val="en-US" w:eastAsia="zh-CN" w:bidi="ar-SA"/>
    </w:rPr>
  </w:style>
  <w:style w:type="paragraph" w:styleId="3">
    <w:name w:val="heading 1"/>
    <w:basedOn w:val="1"/>
    <w:next w:val="1"/>
    <w:qFormat/>
    <w:uiPriority w:val="0"/>
    <w:pPr>
      <w:keepNext/>
      <w:numPr>
        <w:ilvl w:val="0"/>
        <w:numId w:val="1"/>
      </w:numPr>
      <w:topLinePunct/>
      <w:adjustRightInd w:val="0"/>
      <w:spacing w:beforeLines="50" w:afterLines="50" w:line="240" w:lineRule="auto"/>
      <w:ind w:firstLine="0" w:firstLineChars="0"/>
      <w:jc w:val="left"/>
      <w:textAlignment w:val="center"/>
      <w:outlineLvl w:val="0"/>
    </w:pPr>
    <w:rPr>
      <w:b/>
      <w:bCs/>
      <w:snapToGrid w:val="0"/>
      <w:kern w:val="0"/>
      <w:sz w:val="28"/>
      <w:szCs w:val="32"/>
    </w:rPr>
  </w:style>
  <w:style w:type="paragraph" w:styleId="4">
    <w:name w:val="heading 2"/>
    <w:basedOn w:val="1"/>
    <w:next w:val="1"/>
    <w:qFormat/>
    <w:uiPriority w:val="0"/>
    <w:pPr>
      <w:keepNext/>
      <w:keepLines/>
      <w:numPr>
        <w:ilvl w:val="1"/>
        <w:numId w:val="1"/>
      </w:numPr>
      <w:topLinePunct/>
      <w:adjustRightInd w:val="0"/>
      <w:snapToGrid w:val="0"/>
      <w:spacing w:beforeLines="50" w:afterLines="50" w:line="240" w:lineRule="auto"/>
      <w:ind w:firstLine="0" w:firstLineChars="0"/>
      <w:jc w:val="left"/>
      <w:textAlignment w:val="center"/>
      <w:outlineLvl w:val="1"/>
    </w:pPr>
    <w:rPr>
      <w:rFonts w:cs="宋体"/>
      <w:b/>
      <w:bCs/>
      <w:color w:val="000000"/>
      <w:kern w:val="0"/>
      <w:sz w:val="28"/>
      <w:szCs w:val="32"/>
    </w:rPr>
  </w:style>
  <w:style w:type="paragraph" w:styleId="5">
    <w:name w:val="heading 3"/>
    <w:basedOn w:val="1"/>
    <w:next w:val="1"/>
    <w:qFormat/>
    <w:uiPriority w:val="0"/>
    <w:pPr>
      <w:keepNext/>
      <w:keepLines/>
      <w:topLinePunct/>
      <w:adjustRightInd w:val="0"/>
      <w:snapToGrid w:val="0"/>
      <w:ind w:firstLine="0" w:firstLineChars="0"/>
      <w:jc w:val="left"/>
      <w:textAlignment w:val="center"/>
      <w:outlineLvl w:val="2"/>
    </w:pPr>
    <w:rPr>
      <w:b/>
      <w:bCs/>
      <w:sz w:val="28"/>
      <w:szCs w:val="28"/>
      <w:lang w:val="sv-SE"/>
    </w:rPr>
  </w:style>
  <w:style w:type="paragraph" w:styleId="6">
    <w:name w:val="heading 4"/>
    <w:basedOn w:val="1"/>
    <w:next w:val="1"/>
    <w:qFormat/>
    <w:uiPriority w:val="0"/>
    <w:pPr>
      <w:keepNext/>
      <w:keepLines/>
      <w:numPr>
        <w:ilvl w:val="3"/>
        <w:numId w:val="1"/>
      </w:numPr>
      <w:tabs>
        <w:tab w:val="left" w:pos="426"/>
      </w:tabs>
      <w:topLinePunct/>
      <w:adjustRightInd w:val="0"/>
      <w:snapToGrid w:val="0"/>
      <w:spacing w:line="480" w:lineRule="atLeast"/>
      <w:ind w:left="0" w:firstLine="0" w:firstLineChars="0"/>
      <w:textAlignment w:val="center"/>
      <w:outlineLvl w:val="3"/>
    </w:pPr>
    <w:rPr>
      <w:b/>
      <w:bCs/>
      <w:lang w:val="sv-SE"/>
    </w:rPr>
  </w:style>
  <w:style w:type="paragraph" w:styleId="7">
    <w:name w:val="heading 5"/>
    <w:basedOn w:val="1"/>
    <w:next w:val="1"/>
    <w:qFormat/>
    <w:uiPriority w:val="0"/>
    <w:pPr>
      <w:keepNext/>
      <w:keepLines/>
      <w:numPr>
        <w:ilvl w:val="4"/>
        <w:numId w:val="1"/>
      </w:numPr>
      <w:tabs>
        <w:tab w:val="left" w:pos="709"/>
      </w:tabs>
      <w:topLinePunct/>
      <w:adjustRightInd w:val="0"/>
      <w:snapToGrid w:val="0"/>
      <w:spacing w:line="480" w:lineRule="atLeast"/>
      <w:ind w:left="142" w:firstLine="0" w:firstLineChars="0"/>
      <w:textAlignment w:val="center"/>
      <w:outlineLvl w:val="4"/>
    </w:pPr>
    <w:rPr>
      <w:b/>
      <w:bCs/>
      <w:szCs w:val="28"/>
    </w:rPr>
  </w:style>
  <w:style w:type="paragraph" w:styleId="8">
    <w:name w:val="heading 6"/>
    <w:basedOn w:val="1"/>
    <w:next w:val="1"/>
    <w:qFormat/>
    <w:uiPriority w:val="0"/>
    <w:pPr>
      <w:keepNext/>
      <w:keepLines/>
      <w:spacing w:before="240" w:after="64" w:line="320" w:lineRule="atLeast"/>
      <w:outlineLvl w:val="5"/>
    </w:pPr>
    <w:rPr>
      <w:rFonts w:ascii="Cambria" w:hAnsi="Cambria"/>
      <w:b/>
      <w:bCs/>
    </w:rPr>
  </w:style>
  <w:style w:type="paragraph" w:styleId="9">
    <w:name w:val="heading 7"/>
    <w:basedOn w:val="1"/>
    <w:next w:val="1"/>
    <w:qFormat/>
    <w:uiPriority w:val="0"/>
    <w:pPr>
      <w:keepNext/>
      <w:keepLines/>
      <w:spacing w:before="240" w:after="64" w:line="320" w:lineRule="atLeast"/>
      <w:outlineLvl w:val="6"/>
    </w:pPr>
    <w:rPr>
      <w:b/>
      <w:bCs/>
    </w:rPr>
  </w:style>
  <w:style w:type="paragraph" w:styleId="10">
    <w:name w:val="heading 8"/>
    <w:basedOn w:val="1"/>
    <w:next w:val="1"/>
    <w:qFormat/>
    <w:uiPriority w:val="0"/>
    <w:pPr>
      <w:keepNext/>
      <w:keepLines/>
      <w:spacing w:before="240" w:after="64" w:line="320" w:lineRule="atLeast"/>
      <w:outlineLvl w:val="7"/>
    </w:pPr>
    <w:rPr>
      <w:rFonts w:ascii="Cambria" w:hAnsi="Cambria"/>
    </w:rPr>
  </w:style>
  <w:style w:type="paragraph" w:styleId="11">
    <w:name w:val="heading 9"/>
    <w:basedOn w:val="1"/>
    <w:next w:val="1"/>
    <w:qFormat/>
    <w:uiPriority w:val="0"/>
    <w:pPr>
      <w:keepNext/>
      <w:keepLines/>
      <w:spacing w:before="240" w:after="64" w:line="320" w:lineRule="atLeast"/>
      <w:outlineLvl w:val="8"/>
    </w:pPr>
    <w:rPr>
      <w:rFonts w:ascii="Cambria" w:hAnsi="Cambria"/>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index 1"/>
    <w:basedOn w:val="1"/>
    <w:next w:val="1"/>
    <w:unhideWhenUsed/>
    <w:qFormat/>
    <w:uiPriority w:val="99"/>
    <w:rPr>
      <w:szCs w:val="20"/>
    </w:rPr>
  </w:style>
  <w:style w:type="paragraph" w:styleId="12">
    <w:name w:val="toc 7"/>
    <w:basedOn w:val="1"/>
    <w:next w:val="1"/>
    <w:semiHidden/>
    <w:qFormat/>
    <w:uiPriority w:val="0"/>
    <w:pPr>
      <w:spacing w:line="240" w:lineRule="auto"/>
      <w:ind w:left="1260" w:firstLine="0" w:firstLineChars="0"/>
      <w:jc w:val="left"/>
    </w:pPr>
    <w:rPr>
      <w:sz w:val="18"/>
      <w:szCs w:val="18"/>
    </w:rPr>
  </w:style>
  <w:style w:type="paragraph" w:styleId="13">
    <w:name w:val="Normal Indent"/>
    <w:basedOn w:val="1"/>
    <w:semiHidden/>
    <w:qFormat/>
    <w:uiPriority w:val="0"/>
    <w:pPr>
      <w:spacing w:line="240" w:lineRule="auto"/>
      <w:ind w:firstLine="420"/>
    </w:pPr>
    <w:rPr>
      <w:sz w:val="21"/>
    </w:rPr>
  </w:style>
  <w:style w:type="paragraph" w:styleId="14">
    <w:name w:val="caption"/>
    <w:basedOn w:val="1"/>
    <w:next w:val="1"/>
    <w:qFormat/>
    <w:uiPriority w:val="0"/>
    <w:rPr>
      <w:rFonts w:ascii="Cambria" w:hAnsi="Cambria" w:eastAsia="黑体"/>
      <w:sz w:val="20"/>
      <w:szCs w:val="20"/>
    </w:rPr>
  </w:style>
  <w:style w:type="paragraph" w:styleId="15">
    <w:name w:val="Document Map"/>
    <w:basedOn w:val="1"/>
    <w:semiHidden/>
    <w:qFormat/>
    <w:uiPriority w:val="0"/>
    <w:pPr>
      <w:shd w:val="clear" w:color="auto" w:fill="000080"/>
    </w:pPr>
  </w:style>
  <w:style w:type="paragraph" w:styleId="16">
    <w:name w:val="annotation text"/>
    <w:basedOn w:val="1"/>
    <w:semiHidden/>
    <w:qFormat/>
    <w:uiPriority w:val="0"/>
    <w:pPr>
      <w:jc w:val="left"/>
    </w:pPr>
  </w:style>
  <w:style w:type="paragraph" w:styleId="17">
    <w:name w:val="Body Text"/>
    <w:basedOn w:val="1"/>
    <w:qFormat/>
    <w:uiPriority w:val="0"/>
    <w:pPr>
      <w:spacing w:after="120"/>
    </w:pPr>
  </w:style>
  <w:style w:type="paragraph" w:styleId="18">
    <w:name w:val="Body Text Indent"/>
    <w:basedOn w:val="1"/>
    <w:semiHidden/>
    <w:qFormat/>
    <w:uiPriority w:val="0"/>
    <w:pPr>
      <w:spacing w:after="120" w:line="240" w:lineRule="auto"/>
      <w:ind w:left="420" w:leftChars="200" w:firstLine="0" w:firstLineChars="0"/>
    </w:pPr>
    <w:rPr>
      <w:sz w:val="21"/>
    </w:rPr>
  </w:style>
  <w:style w:type="paragraph" w:styleId="19">
    <w:name w:val="toc 5"/>
    <w:basedOn w:val="1"/>
    <w:next w:val="1"/>
    <w:semiHidden/>
    <w:qFormat/>
    <w:uiPriority w:val="0"/>
    <w:pPr>
      <w:spacing w:line="240" w:lineRule="auto"/>
      <w:ind w:left="840" w:firstLine="0" w:firstLineChars="0"/>
      <w:jc w:val="left"/>
    </w:pPr>
    <w:rPr>
      <w:sz w:val="18"/>
      <w:szCs w:val="18"/>
    </w:rPr>
  </w:style>
  <w:style w:type="paragraph" w:styleId="20">
    <w:name w:val="toc 3"/>
    <w:basedOn w:val="1"/>
    <w:next w:val="1"/>
    <w:qFormat/>
    <w:uiPriority w:val="39"/>
    <w:pPr>
      <w:tabs>
        <w:tab w:val="right" w:leader="dot" w:pos="9288"/>
      </w:tabs>
      <w:ind w:right="43" w:rightChars="18" w:firstLine="210" w:firstLineChars="100"/>
      <w:jc w:val="distribute"/>
    </w:pPr>
    <w:rPr>
      <w:iCs/>
      <w:sz w:val="21"/>
      <w:szCs w:val="20"/>
    </w:rPr>
  </w:style>
  <w:style w:type="paragraph" w:styleId="21">
    <w:name w:val="toc 8"/>
    <w:basedOn w:val="1"/>
    <w:next w:val="1"/>
    <w:semiHidden/>
    <w:qFormat/>
    <w:uiPriority w:val="0"/>
    <w:pPr>
      <w:spacing w:line="240" w:lineRule="auto"/>
      <w:ind w:left="1470" w:firstLine="0" w:firstLineChars="0"/>
      <w:jc w:val="left"/>
    </w:pPr>
    <w:rPr>
      <w:sz w:val="18"/>
      <w:szCs w:val="18"/>
    </w:rPr>
  </w:style>
  <w:style w:type="paragraph" w:styleId="22">
    <w:name w:val="Date"/>
    <w:basedOn w:val="1"/>
    <w:next w:val="1"/>
    <w:semiHidden/>
    <w:qFormat/>
    <w:uiPriority w:val="0"/>
    <w:pPr>
      <w:spacing w:line="240" w:lineRule="auto"/>
      <w:ind w:firstLine="0" w:firstLineChars="0"/>
    </w:pPr>
    <w:rPr>
      <w:rFonts w:ascii="宋体"/>
      <w:sz w:val="21"/>
      <w:szCs w:val="20"/>
    </w:rPr>
  </w:style>
  <w:style w:type="paragraph" w:styleId="23">
    <w:name w:val="Body Text Indent 2"/>
    <w:basedOn w:val="1"/>
    <w:semiHidden/>
    <w:qFormat/>
    <w:uiPriority w:val="0"/>
    <w:pPr>
      <w:spacing w:after="120" w:line="480" w:lineRule="auto"/>
      <w:ind w:left="420" w:leftChars="200" w:firstLine="0" w:firstLineChars="0"/>
    </w:pPr>
    <w:rPr>
      <w:sz w:val="21"/>
    </w:rPr>
  </w:style>
  <w:style w:type="paragraph" w:styleId="24">
    <w:name w:val="Balloon Text"/>
    <w:basedOn w:val="1"/>
    <w:semiHidden/>
    <w:qFormat/>
    <w:uiPriority w:val="0"/>
    <w:rPr>
      <w:sz w:val="18"/>
      <w:szCs w:val="18"/>
    </w:rPr>
  </w:style>
  <w:style w:type="paragraph" w:styleId="25">
    <w:name w:val="footer"/>
    <w:basedOn w:val="1"/>
    <w:semiHidden/>
    <w:qFormat/>
    <w:uiPriority w:val="0"/>
    <w:pPr>
      <w:tabs>
        <w:tab w:val="center" w:pos="4153"/>
        <w:tab w:val="right" w:pos="8306"/>
      </w:tabs>
      <w:snapToGrid w:val="0"/>
      <w:spacing w:line="240" w:lineRule="atLeast"/>
      <w:jc w:val="left"/>
    </w:pPr>
    <w:rPr>
      <w:sz w:val="18"/>
      <w:szCs w:val="18"/>
    </w:rPr>
  </w:style>
  <w:style w:type="paragraph" w:styleId="26">
    <w:name w:val="header"/>
    <w:basedOn w:val="1"/>
    <w:semiHidden/>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7">
    <w:name w:val="toc 1"/>
    <w:basedOn w:val="1"/>
    <w:next w:val="1"/>
    <w:qFormat/>
    <w:uiPriority w:val="39"/>
    <w:pPr>
      <w:tabs>
        <w:tab w:val="left" w:pos="630"/>
        <w:tab w:val="right" w:leader="dot" w:pos="9288"/>
      </w:tabs>
      <w:ind w:firstLine="0" w:firstLineChars="0"/>
      <w:jc w:val="left"/>
    </w:pPr>
    <w:rPr>
      <w:b/>
      <w:bCs/>
      <w:caps/>
      <w:szCs w:val="20"/>
    </w:rPr>
  </w:style>
  <w:style w:type="paragraph" w:styleId="28">
    <w:name w:val="toc 4"/>
    <w:basedOn w:val="1"/>
    <w:next w:val="1"/>
    <w:semiHidden/>
    <w:qFormat/>
    <w:uiPriority w:val="0"/>
    <w:pPr>
      <w:spacing w:line="240" w:lineRule="auto"/>
      <w:ind w:left="630" w:firstLine="0" w:firstLineChars="0"/>
      <w:jc w:val="left"/>
    </w:pPr>
    <w:rPr>
      <w:sz w:val="18"/>
      <w:szCs w:val="18"/>
    </w:rPr>
  </w:style>
  <w:style w:type="paragraph" w:styleId="29">
    <w:name w:val="toc 6"/>
    <w:basedOn w:val="1"/>
    <w:next w:val="1"/>
    <w:semiHidden/>
    <w:qFormat/>
    <w:uiPriority w:val="0"/>
    <w:pPr>
      <w:spacing w:line="240" w:lineRule="auto"/>
      <w:ind w:left="1050" w:firstLine="0" w:firstLineChars="0"/>
      <w:jc w:val="left"/>
    </w:pPr>
    <w:rPr>
      <w:sz w:val="18"/>
      <w:szCs w:val="18"/>
    </w:rPr>
  </w:style>
  <w:style w:type="paragraph" w:styleId="30">
    <w:name w:val="toc 2"/>
    <w:basedOn w:val="1"/>
    <w:next w:val="1"/>
    <w:qFormat/>
    <w:uiPriority w:val="39"/>
    <w:pPr>
      <w:tabs>
        <w:tab w:val="left" w:pos="1050"/>
        <w:tab w:val="right" w:leader="dot" w:pos="9288"/>
      </w:tabs>
      <w:ind w:firstLine="100" w:firstLineChars="100"/>
      <w:jc w:val="left"/>
    </w:pPr>
    <w:rPr>
      <w:smallCaps/>
      <w:sz w:val="21"/>
      <w:szCs w:val="20"/>
    </w:rPr>
  </w:style>
  <w:style w:type="paragraph" w:styleId="31">
    <w:name w:val="toc 9"/>
    <w:basedOn w:val="1"/>
    <w:next w:val="1"/>
    <w:semiHidden/>
    <w:qFormat/>
    <w:uiPriority w:val="0"/>
    <w:pPr>
      <w:spacing w:line="240" w:lineRule="auto"/>
      <w:ind w:left="1680" w:firstLine="0" w:firstLineChars="0"/>
      <w:jc w:val="left"/>
    </w:pPr>
    <w:rPr>
      <w:sz w:val="18"/>
      <w:szCs w:val="18"/>
    </w:rPr>
  </w:style>
  <w:style w:type="paragraph" w:styleId="32">
    <w:name w:val="annotation subject"/>
    <w:basedOn w:val="16"/>
    <w:next w:val="16"/>
    <w:semiHidden/>
    <w:qFormat/>
    <w:uiPriority w:val="0"/>
    <w:rPr>
      <w:b/>
      <w:bCs/>
    </w:rPr>
  </w:style>
  <w:style w:type="table" w:styleId="34">
    <w:name w:val="Table Grid"/>
    <w:basedOn w:val="33"/>
    <w:qFormat/>
    <w:uiPriority w:val="0"/>
    <w:pPr>
      <w:widowControl w:val="0"/>
      <w:spacing w:line="480" w:lineRule="exact"/>
      <w:ind w:firstLine="20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0"/>
    <w:rPr>
      <w:b/>
      <w:bCs/>
    </w:rPr>
  </w:style>
  <w:style w:type="character" w:styleId="37">
    <w:name w:val="page number"/>
    <w:basedOn w:val="35"/>
    <w:semiHidden/>
    <w:qFormat/>
    <w:uiPriority w:val="0"/>
  </w:style>
  <w:style w:type="character" w:styleId="38">
    <w:name w:val="Hyperlink"/>
    <w:qFormat/>
    <w:uiPriority w:val="99"/>
    <w:rPr>
      <w:color w:val="0000FF"/>
      <w:u w:val="single"/>
    </w:rPr>
  </w:style>
  <w:style w:type="character" w:styleId="39">
    <w:name w:val="annotation reference"/>
    <w:semiHidden/>
    <w:qFormat/>
    <w:uiPriority w:val="0"/>
    <w:rPr>
      <w:sz w:val="21"/>
      <w:szCs w:val="21"/>
    </w:rPr>
  </w:style>
  <w:style w:type="character" w:customStyle="1" w:styleId="40">
    <w:name w:val="“上标”样式"/>
    <w:qFormat/>
    <w:uiPriority w:val="0"/>
    <w:rPr>
      <w:rFonts w:ascii="Times New Roman" w:hAnsi="Times New Roman" w:eastAsia="宋体"/>
      <w:sz w:val="24"/>
      <w:vertAlign w:val="superscript"/>
    </w:rPr>
  </w:style>
  <w:style w:type="character" w:customStyle="1" w:styleId="41">
    <w:name w:val="“下标”样式"/>
    <w:qFormat/>
    <w:uiPriority w:val="0"/>
    <w:rPr>
      <w:vertAlign w:val="subscript"/>
    </w:rPr>
  </w:style>
  <w:style w:type="paragraph" w:customStyle="1" w:styleId="42">
    <w:name w:val="正文文字样式"/>
    <w:basedOn w:val="1"/>
    <w:qFormat/>
    <w:uiPriority w:val="0"/>
    <w:pPr>
      <w:ind w:firstLine="480"/>
    </w:pPr>
  </w:style>
  <w:style w:type="paragraph" w:customStyle="1" w:styleId="43">
    <w:name w:val="项目符号"/>
    <w:basedOn w:val="1"/>
    <w:qFormat/>
    <w:uiPriority w:val="0"/>
    <w:pPr>
      <w:numPr>
        <w:ilvl w:val="0"/>
        <w:numId w:val="2"/>
      </w:numPr>
      <w:ind w:firstLine="0" w:firstLineChars="0"/>
    </w:pPr>
  </w:style>
  <w:style w:type="paragraph" w:customStyle="1" w:styleId="44">
    <w:name w:val="封面一级标题文字"/>
    <w:basedOn w:val="42"/>
    <w:qFormat/>
    <w:uiPriority w:val="0"/>
    <w:pPr>
      <w:spacing w:line="640" w:lineRule="exact"/>
      <w:ind w:firstLine="0" w:firstLineChars="0"/>
      <w:jc w:val="center"/>
    </w:pPr>
    <w:rPr>
      <w:rFonts w:ascii="黑体" w:hAnsi="黑体" w:eastAsia="黑体"/>
      <w:b/>
      <w:bCs/>
      <w:sz w:val="52"/>
    </w:rPr>
  </w:style>
  <w:style w:type="paragraph" w:customStyle="1" w:styleId="45">
    <w:name w:val="封面二级标题文字"/>
    <w:basedOn w:val="42"/>
    <w:semiHidden/>
    <w:qFormat/>
    <w:uiPriority w:val="0"/>
    <w:pPr>
      <w:ind w:firstLine="0" w:firstLineChars="0"/>
      <w:jc w:val="center"/>
    </w:pPr>
    <w:rPr>
      <w:rFonts w:ascii="黑体" w:eastAsia="黑体"/>
      <w:b/>
      <w:sz w:val="44"/>
      <w:szCs w:val="44"/>
    </w:rPr>
  </w:style>
  <w:style w:type="paragraph" w:customStyle="1" w:styleId="46">
    <w:name w:val="封面文档编号"/>
    <w:basedOn w:val="42"/>
    <w:semiHidden/>
    <w:qFormat/>
    <w:uiPriority w:val="0"/>
    <w:pPr>
      <w:spacing w:line="640" w:lineRule="exact"/>
      <w:ind w:firstLine="0" w:firstLineChars="0"/>
      <w:jc w:val="center"/>
    </w:pPr>
    <w:rPr>
      <w:rFonts w:ascii="黑体" w:eastAsia="黑体"/>
      <w:b/>
      <w:sz w:val="32"/>
      <w:szCs w:val="32"/>
    </w:rPr>
  </w:style>
  <w:style w:type="paragraph" w:customStyle="1" w:styleId="47">
    <w:name w:val="封面“EPC联合体”中文文字"/>
    <w:basedOn w:val="42"/>
    <w:semiHidden/>
    <w:qFormat/>
    <w:uiPriority w:val="0"/>
    <w:pPr>
      <w:ind w:firstLine="0" w:firstLineChars="0"/>
      <w:jc w:val="center"/>
    </w:pPr>
    <w:rPr>
      <w:rFonts w:hAnsi="宋体"/>
      <w:b/>
      <w:sz w:val="32"/>
      <w:szCs w:val="32"/>
    </w:rPr>
  </w:style>
  <w:style w:type="paragraph" w:customStyle="1" w:styleId="48">
    <w:name w:val="封面日期地点文字"/>
    <w:basedOn w:val="42"/>
    <w:semiHidden/>
    <w:qFormat/>
    <w:uiPriority w:val="0"/>
    <w:pPr>
      <w:spacing w:line="360" w:lineRule="exact"/>
      <w:ind w:firstLine="0" w:firstLineChars="0"/>
      <w:jc w:val="center"/>
    </w:pPr>
    <w:rPr>
      <w:sz w:val="32"/>
      <w:szCs w:val="32"/>
    </w:rPr>
  </w:style>
  <w:style w:type="paragraph" w:customStyle="1" w:styleId="49">
    <w:name w:val="封面“EPC联合体”西文文字"/>
    <w:basedOn w:val="47"/>
    <w:semiHidden/>
    <w:qFormat/>
    <w:uiPriority w:val="0"/>
    <w:rPr>
      <w:rFonts w:hAnsi="Times New Roman"/>
    </w:rPr>
  </w:style>
  <w:style w:type="character" w:customStyle="1" w:styleId="50">
    <w:name w:val="正文文字样式 Char Char"/>
    <w:qFormat/>
    <w:uiPriority w:val="0"/>
    <w:rPr>
      <w:rFonts w:eastAsia="宋体"/>
      <w:kern w:val="2"/>
      <w:sz w:val="24"/>
      <w:szCs w:val="24"/>
      <w:lang w:val="en-US" w:eastAsia="zh-CN" w:bidi="ar-SA"/>
    </w:rPr>
  </w:style>
  <w:style w:type="character" w:customStyle="1" w:styleId="51">
    <w:name w:val="封面“EPC联合体”中文文字 Char Char"/>
    <w:qFormat/>
    <w:uiPriority w:val="0"/>
    <w:rPr>
      <w:rFonts w:hAnsi="宋体" w:eastAsia="宋体"/>
      <w:b/>
      <w:kern w:val="2"/>
      <w:sz w:val="32"/>
      <w:szCs w:val="32"/>
      <w:lang w:val="en-US" w:eastAsia="zh-CN" w:bidi="ar-SA"/>
    </w:rPr>
  </w:style>
  <w:style w:type="character" w:customStyle="1" w:styleId="52">
    <w:name w:val="封面“EPC联合体”西文文字 Char Char"/>
    <w:basedOn w:val="51"/>
    <w:qFormat/>
    <w:uiPriority w:val="0"/>
    <w:rPr>
      <w:rFonts w:hAnsi="宋体" w:eastAsia="宋体"/>
      <w:kern w:val="2"/>
      <w:sz w:val="32"/>
      <w:szCs w:val="32"/>
      <w:lang w:val="en-US" w:eastAsia="zh-CN" w:bidi="ar-SA"/>
    </w:rPr>
  </w:style>
  <w:style w:type="paragraph" w:customStyle="1" w:styleId="53">
    <w:name w:val="签名页文字"/>
    <w:basedOn w:val="42"/>
    <w:semiHidden/>
    <w:qFormat/>
    <w:uiPriority w:val="0"/>
    <w:pPr>
      <w:spacing w:line="600" w:lineRule="exact"/>
      <w:ind w:left="1100" w:leftChars="1100" w:firstLine="0" w:firstLineChars="0"/>
    </w:pPr>
    <w:rPr>
      <w:sz w:val="32"/>
      <w:szCs w:val="32"/>
    </w:rPr>
  </w:style>
  <w:style w:type="paragraph" w:customStyle="1" w:styleId="54">
    <w:name w:val="Char"/>
    <w:basedOn w:val="1"/>
    <w:semiHidden/>
    <w:qFormat/>
    <w:uiPriority w:val="0"/>
    <w:pPr>
      <w:spacing w:line="240" w:lineRule="auto"/>
      <w:ind w:firstLine="0" w:firstLineChars="225"/>
    </w:pPr>
    <w:rPr>
      <w:rFonts w:ascii="仿宋_GB2312" w:eastAsia="仿宋_GB2312"/>
      <w:b/>
      <w:sz w:val="32"/>
      <w:szCs w:val="32"/>
    </w:rPr>
  </w:style>
  <w:style w:type="paragraph" w:customStyle="1" w:styleId="55">
    <w:name w:val="版本记录标题文字"/>
    <w:basedOn w:val="1"/>
    <w:semiHidden/>
    <w:qFormat/>
    <w:uiPriority w:val="0"/>
    <w:pPr>
      <w:ind w:firstLine="0" w:firstLineChars="0"/>
    </w:pPr>
  </w:style>
  <w:style w:type="paragraph" w:customStyle="1" w:styleId="56">
    <w:name w:val="版本记录表格内文字"/>
    <w:basedOn w:val="1"/>
    <w:semiHidden/>
    <w:qFormat/>
    <w:uiPriority w:val="0"/>
    <w:pPr>
      <w:spacing w:line="360" w:lineRule="auto"/>
      <w:ind w:firstLine="0" w:firstLineChars="0"/>
      <w:jc w:val="center"/>
    </w:pPr>
  </w:style>
  <w:style w:type="paragraph" w:customStyle="1" w:styleId="57">
    <w:name w:val="“目录”"/>
    <w:basedOn w:val="42"/>
    <w:semiHidden/>
    <w:qFormat/>
    <w:uiPriority w:val="0"/>
    <w:pPr>
      <w:ind w:firstLine="0" w:firstLineChars="0"/>
      <w:jc w:val="center"/>
    </w:pPr>
    <w:rPr>
      <w:b/>
      <w:sz w:val="44"/>
    </w:rPr>
  </w:style>
  <w:style w:type="paragraph" w:customStyle="1" w:styleId="58">
    <w:name w:val="1级列项"/>
    <w:basedOn w:val="42"/>
    <w:qFormat/>
    <w:uiPriority w:val="0"/>
    <w:pPr>
      <w:numPr>
        <w:ilvl w:val="0"/>
        <w:numId w:val="3"/>
      </w:numPr>
      <w:ind w:firstLine="0" w:firstLineChars="0"/>
    </w:pPr>
  </w:style>
  <w:style w:type="paragraph" w:customStyle="1" w:styleId="59">
    <w:name w:val="2级列项"/>
    <w:basedOn w:val="58"/>
    <w:qFormat/>
    <w:uiPriority w:val="0"/>
    <w:pPr>
      <w:numPr>
        <w:ilvl w:val="1"/>
      </w:numPr>
    </w:pPr>
  </w:style>
  <w:style w:type="paragraph" w:customStyle="1" w:styleId="60">
    <w:name w:val="图名/表名/表头样式"/>
    <w:basedOn w:val="42"/>
    <w:qFormat/>
    <w:uiPriority w:val="0"/>
    <w:pPr>
      <w:ind w:firstLine="0" w:firstLineChars="0"/>
      <w:jc w:val="center"/>
    </w:pPr>
    <w:rPr>
      <w:b/>
      <w:sz w:val="21"/>
      <w:szCs w:val="21"/>
    </w:rPr>
  </w:style>
  <w:style w:type="paragraph" w:customStyle="1" w:styleId="61">
    <w:name w:val="表格文字样式"/>
    <w:basedOn w:val="42"/>
    <w:qFormat/>
    <w:uiPriority w:val="0"/>
    <w:pPr>
      <w:ind w:firstLine="0" w:firstLineChars="0"/>
    </w:pPr>
    <w:rPr>
      <w:sz w:val="21"/>
      <w:szCs w:val="21"/>
    </w:rPr>
  </w:style>
  <w:style w:type="paragraph" w:customStyle="1" w:styleId="62">
    <w:name w:val="样式 正文缩进正文（首行缩进两字）四号特点标题4表正文正文非缩进缩进ALT+Z段1正文不缩进特点 Char..."/>
    <w:basedOn w:val="13"/>
    <w:qFormat/>
    <w:uiPriority w:val="0"/>
    <w:pPr>
      <w:spacing w:line="360" w:lineRule="auto"/>
      <w:ind w:firstLine="480"/>
    </w:pPr>
    <w:rPr>
      <w:rFonts w:ascii="宋体" w:hAnsi="宋体" w:cs="宋体"/>
      <w:sz w:val="24"/>
      <w:szCs w:val="20"/>
    </w:rPr>
  </w:style>
  <w:style w:type="paragraph" w:customStyle="1" w:styleId="63">
    <w:name w:val="表正文"/>
    <w:basedOn w:val="1"/>
    <w:next w:val="23"/>
    <w:qFormat/>
    <w:uiPriority w:val="0"/>
    <w:pPr>
      <w:spacing w:line="240" w:lineRule="auto"/>
      <w:ind w:firstLine="570" w:firstLineChars="0"/>
    </w:pPr>
    <w:rPr>
      <w:sz w:val="28"/>
      <w:szCs w:val="20"/>
    </w:rPr>
  </w:style>
  <w:style w:type="character" w:customStyle="1" w:styleId="64">
    <w:name w:val="日期 Char"/>
    <w:qFormat/>
    <w:uiPriority w:val="0"/>
    <w:rPr>
      <w:rFonts w:ascii="宋体"/>
      <w:kern w:val="2"/>
      <w:sz w:val="21"/>
    </w:rPr>
  </w:style>
  <w:style w:type="paragraph" w:customStyle="1" w:styleId="65">
    <w:name w:val="样式1"/>
    <w:basedOn w:val="1"/>
    <w:qFormat/>
    <w:uiPriority w:val="0"/>
    <w:pPr>
      <w:spacing w:line="360" w:lineRule="auto"/>
      <w:ind w:firstLine="425" w:firstLineChars="0"/>
    </w:pPr>
    <w:rPr>
      <w:szCs w:val="20"/>
    </w:rPr>
  </w:style>
  <w:style w:type="character" w:customStyle="1" w:styleId="66">
    <w:name w:val="正文文本缩进 Char"/>
    <w:qFormat/>
    <w:uiPriority w:val="0"/>
    <w:rPr>
      <w:kern w:val="2"/>
      <w:sz w:val="21"/>
      <w:szCs w:val="24"/>
    </w:rPr>
  </w:style>
  <w:style w:type="character" w:customStyle="1" w:styleId="67">
    <w:name w:val="正文文本缩进 2 Char"/>
    <w:qFormat/>
    <w:uiPriority w:val="0"/>
    <w:rPr>
      <w:kern w:val="2"/>
      <w:sz w:val="21"/>
      <w:szCs w:val="24"/>
    </w:rPr>
  </w:style>
  <w:style w:type="character" w:customStyle="1" w:styleId="68">
    <w:name w:val="标题 1 Char"/>
    <w:qFormat/>
    <w:uiPriority w:val="0"/>
    <w:rPr>
      <w:b/>
      <w:bCs/>
      <w:snapToGrid w:val="0"/>
      <w:sz w:val="28"/>
      <w:szCs w:val="32"/>
    </w:rPr>
  </w:style>
  <w:style w:type="character" w:customStyle="1" w:styleId="69">
    <w:name w:val="标题 2 Char"/>
    <w:qFormat/>
    <w:uiPriority w:val="0"/>
    <w:rPr>
      <w:rFonts w:cs="宋体"/>
      <w:b/>
      <w:bCs/>
      <w:color w:val="000000"/>
      <w:sz w:val="28"/>
      <w:szCs w:val="32"/>
    </w:rPr>
  </w:style>
  <w:style w:type="character" w:customStyle="1" w:styleId="70">
    <w:name w:val="标题 3 Char"/>
    <w:qFormat/>
    <w:uiPriority w:val="0"/>
    <w:rPr>
      <w:b/>
      <w:bCs/>
      <w:kern w:val="2"/>
      <w:sz w:val="28"/>
      <w:szCs w:val="28"/>
      <w:lang w:val="sv-SE"/>
    </w:rPr>
  </w:style>
  <w:style w:type="character" w:customStyle="1" w:styleId="71">
    <w:name w:val="标题 4 Char"/>
    <w:qFormat/>
    <w:uiPriority w:val="0"/>
    <w:rPr>
      <w:b/>
      <w:bCs/>
      <w:kern w:val="2"/>
      <w:sz w:val="24"/>
      <w:szCs w:val="24"/>
      <w:lang w:val="sv-SE"/>
    </w:rPr>
  </w:style>
  <w:style w:type="character" w:customStyle="1" w:styleId="72">
    <w:name w:val="标题 5 Char"/>
    <w:qFormat/>
    <w:uiPriority w:val="0"/>
    <w:rPr>
      <w:b/>
      <w:bCs/>
      <w:kern w:val="2"/>
      <w:sz w:val="24"/>
      <w:szCs w:val="28"/>
    </w:rPr>
  </w:style>
  <w:style w:type="character" w:customStyle="1" w:styleId="73">
    <w:name w:val="标题 6 Char"/>
    <w:semiHidden/>
    <w:qFormat/>
    <w:uiPriority w:val="0"/>
    <w:rPr>
      <w:rFonts w:ascii="Cambria" w:hAnsi="Cambria" w:eastAsia="宋体" w:cs="Times New Roman"/>
      <w:b/>
      <w:bCs/>
      <w:kern w:val="2"/>
      <w:sz w:val="24"/>
      <w:szCs w:val="24"/>
    </w:rPr>
  </w:style>
  <w:style w:type="character" w:customStyle="1" w:styleId="74">
    <w:name w:val="标题 7 Char"/>
    <w:semiHidden/>
    <w:qFormat/>
    <w:uiPriority w:val="0"/>
    <w:rPr>
      <w:b/>
      <w:bCs/>
      <w:kern w:val="2"/>
      <w:sz w:val="24"/>
      <w:szCs w:val="24"/>
    </w:rPr>
  </w:style>
  <w:style w:type="character" w:customStyle="1" w:styleId="75">
    <w:name w:val="标题 8 Char"/>
    <w:semiHidden/>
    <w:qFormat/>
    <w:uiPriority w:val="0"/>
    <w:rPr>
      <w:rFonts w:ascii="Cambria" w:hAnsi="Cambria" w:eastAsia="宋体" w:cs="Times New Roman"/>
      <w:kern w:val="2"/>
      <w:sz w:val="24"/>
      <w:szCs w:val="24"/>
    </w:rPr>
  </w:style>
  <w:style w:type="character" w:customStyle="1" w:styleId="76">
    <w:name w:val="标题 9 Char"/>
    <w:semiHidden/>
    <w:qFormat/>
    <w:uiPriority w:val="0"/>
    <w:rPr>
      <w:rFonts w:ascii="Cambria" w:hAnsi="Cambria" w:eastAsia="宋体" w:cs="Times New Roman"/>
      <w:kern w:val="2"/>
      <w:sz w:val="21"/>
      <w:szCs w:val="21"/>
    </w:rPr>
  </w:style>
  <w:style w:type="paragraph" w:customStyle="1" w:styleId="77">
    <w:name w:val="GEDI一级标题"/>
    <w:basedOn w:val="3"/>
    <w:qFormat/>
    <w:uiPriority w:val="0"/>
    <w:pPr>
      <w:numPr>
        <w:numId w:val="0"/>
      </w:numPr>
    </w:pPr>
  </w:style>
  <w:style w:type="character" w:customStyle="1" w:styleId="78">
    <w:name w:val="GEDI一级标题 Char"/>
    <w:basedOn w:val="68"/>
    <w:qFormat/>
    <w:uiPriority w:val="0"/>
    <w:rPr>
      <w:snapToGrid w:val="0"/>
      <w:sz w:val="28"/>
      <w:szCs w:val="32"/>
    </w:rPr>
  </w:style>
  <w:style w:type="paragraph" w:customStyle="1" w:styleId="79">
    <w:name w:val="GEDI二级标题"/>
    <w:basedOn w:val="4"/>
    <w:qFormat/>
    <w:uiPriority w:val="0"/>
    <w:pPr>
      <w:numPr>
        <w:ilvl w:val="0"/>
        <w:numId w:val="0"/>
      </w:numPr>
    </w:pPr>
  </w:style>
  <w:style w:type="character" w:customStyle="1" w:styleId="80">
    <w:name w:val="GEDI二级标题 Char"/>
    <w:basedOn w:val="69"/>
    <w:qFormat/>
    <w:uiPriority w:val="0"/>
    <w:rPr>
      <w:rFonts w:cs="宋体"/>
      <w:color w:val="000000"/>
      <w:sz w:val="28"/>
      <w:szCs w:val="32"/>
    </w:rPr>
  </w:style>
  <w:style w:type="paragraph" w:customStyle="1" w:styleId="81">
    <w:name w:val="GEDI三级标题"/>
    <w:basedOn w:val="5"/>
    <w:qFormat/>
    <w:uiPriority w:val="0"/>
  </w:style>
  <w:style w:type="character" w:customStyle="1" w:styleId="82">
    <w:name w:val="GEDI三级标题 Char"/>
    <w:basedOn w:val="70"/>
    <w:qFormat/>
    <w:uiPriority w:val="0"/>
    <w:rPr>
      <w:kern w:val="2"/>
      <w:sz w:val="28"/>
      <w:szCs w:val="28"/>
      <w:lang w:val="sv-SE"/>
    </w:rPr>
  </w:style>
  <w:style w:type="paragraph" w:customStyle="1" w:styleId="83">
    <w:name w:val="GEDI四级标题"/>
    <w:basedOn w:val="6"/>
    <w:qFormat/>
    <w:uiPriority w:val="0"/>
    <w:pPr>
      <w:numPr>
        <w:ilvl w:val="0"/>
        <w:numId w:val="0"/>
      </w:numPr>
      <w:tabs>
        <w:tab w:val="clear" w:pos="864"/>
      </w:tabs>
    </w:pPr>
  </w:style>
  <w:style w:type="character" w:customStyle="1" w:styleId="84">
    <w:name w:val="GEDI四级标题 Char"/>
    <w:basedOn w:val="71"/>
    <w:qFormat/>
    <w:uiPriority w:val="0"/>
    <w:rPr>
      <w:kern w:val="2"/>
      <w:sz w:val="24"/>
      <w:szCs w:val="24"/>
      <w:lang w:val="sv-SE"/>
    </w:rPr>
  </w:style>
  <w:style w:type="paragraph" w:customStyle="1" w:styleId="85">
    <w:name w:val="GEDI五级标题"/>
    <w:basedOn w:val="7"/>
    <w:qFormat/>
    <w:uiPriority w:val="0"/>
    <w:pPr>
      <w:numPr>
        <w:ilvl w:val="0"/>
        <w:numId w:val="0"/>
      </w:numPr>
    </w:pPr>
  </w:style>
  <w:style w:type="character" w:customStyle="1" w:styleId="86">
    <w:name w:val="GEDI五级标题 Char"/>
    <w:basedOn w:val="72"/>
    <w:qFormat/>
    <w:uiPriority w:val="0"/>
    <w:rPr>
      <w:kern w:val="2"/>
      <w:sz w:val="24"/>
      <w:szCs w:val="28"/>
    </w:rPr>
  </w:style>
  <w:style w:type="paragraph" w:customStyle="1" w:styleId="87">
    <w:name w:val="GEDI一级项目编号"/>
    <w:basedOn w:val="58"/>
    <w:qFormat/>
    <w:uiPriority w:val="0"/>
    <w:pPr>
      <w:numPr>
        <w:numId w:val="0"/>
      </w:numPr>
      <w:adjustRightInd w:val="0"/>
      <w:snapToGrid w:val="0"/>
      <w:spacing w:line="480" w:lineRule="atLeast"/>
    </w:pPr>
  </w:style>
  <w:style w:type="character" w:customStyle="1" w:styleId="88">
    <w:name w:val="GEDI一级项目编号 Char"/>
    <w:qFormat/>
    <w:uiPriority w:val="0"/>
    <w:rPr>
      <w:kern w:val="2"/>
      <w:sz w:val="24"/>
      <w:szCs w:val="24"/>
    </w:rPr>
  </w:style>
  <w:style w:type="paragraph" w:customStyle="1" w:styleId="89">
    <w:name w:val="GEDI正文样式"/>
    <w:basedOn w:val="42"/>
    <w:qFormat/>
    <w:uiPriority w:val="0"/>
    <w:pPr>
      <w:adjustRightInd w:val="0"/>
      <w:snapToGrid w:val="0"/>
      <w:spacing w:line="480" w:lineRule="atLeast"/>
    </w:pPr>
  </w:style>
  <w:style w:type="character" w:customStyle="1" w:styleId="90">
    <w:name w:val="GEDI正文样式 Char"/>
    <w:basedOn w:val="50"/>
    <w:qFormat/>
    <w:uiPriority w:val="0"/>
    <w:rPr>
      <w:rFonts w:eastAsia="宋体"/>
      <w:kern w:val="2"/>
      <w:sz w:val="24"/>
      <w:szCs w:val="24"/>
      <w:lang w:val="en-US" w:eastAsia="zh-CN" w:bidi="ar-SA"/>
    </w:rPr>
  </w:style>
  <w:style w:type="paragraph" w:customStyle="1" w:styleId="91">
    <w:name w:val="GEDI二级项目编号"/>
    <w:basedOn w:val="59"/>
    <w:qFormat/>
    <w:uiPriority w:val="0"/>
    <w:pPr>
      <w:numPr>
        <w:ilvl w:val="0"/>
        <w:numId w:val="0"/>
      </w:numPr>
      <w:tabs>
        <w:tab w:val="clear" w:pos="839"/>
      </w:tabs>
      <w:adjustRightInd w:val="0"/>
      <w:snapToGrid w:val="0"/>
      <w:spacing w:line="480" w:lineRule="atLeast"/>
    </w:pPr>
  </w:style>
  <w:style w:type="character" w:customStyle="1" w:styleId="92">
    <w:name w:val="GEDI二级项目编号 Char"/>
    <w:qFormat/>
    <w:uiPriority w:val="0"/>
    <w:rPr>
      <w:kern w:val="2"/>
      <w:sz w:val="24"/>
      <w:szCs w:val="24"/>
    </w:rPr>
  </w:style>
  <w:style w:type="paragraph" w:customStyle="1" w:styleId="93">
    <w:name w:val="列出段落1"/>
    <w:basedOn w:val="1"/>
    <w:qFormat/>
    <w:uiPriority w:val="0"/>
    <w:pPr>
      <w:ind w:firstLine="420"/>
    </w:pPr>
  </w:style>
  <w:style w:type="paragraph" w:customStyle="1" w:styleId="94">
    <w:name w:val="修订1"/>
    <w:hidden/>
    <w:semiHidden/>
    <w:qFormat/>
    <w:uiPriority w:val="0"/>
    <w:rPr>
      <w:rFonts w:ascii="Times New Roman" w:hAnsi="Times New Roman" w:eastAsia="宋体" w:cs="Times New Roman"/>
      <w:kern w:val="2"/>
      <w:sz w:val="24"/>
      <w:szCs w:val="24"/>
      <w:lang w:val="en-US" w:eastAsia="zh-CN" w:bidi="ar-SA"/>
    </w:rPr>
  </w:style>
  <w:style w:type="paragraph" w:customStyle="1" w:styleId="95">
    <w:name w:val="Char Char Char Char Char Char Char Char Char Char Char Char Char Char Char Char"/>
    <w:basedOn w:val="1"/>
    <w:qFormat/>
    <w:uiPriority w:val="0"/>
    <w:pPr>
      <w:widowControl/>
      <w:spacing w:before="100" w:beforeAutospacing="1" w:after="100" w:afterAutospacing="1" w:line="330" w:lineRule="atLeast"/>
      <w:ind w:left="360" w:firstLine="0" w:firstLineChars="0"/>
      <w:jc w:val="left"/>
    </w:pPr>
    <w:rPr>
      <w:rFonts w:ascii="ˎ̥" w:hAnsi="ˎ̥" w:cs="宋体"/>
      <w:color w:val="51585D"/>
      <w:kern w:val="0"/>
      <w:sz w:val="21"/>
      <w:szCs w:val="18"/>
    </w:rPr>
  </w:style>
  <w:style w:type="paragraph" w:customStyle="1" w:styleId="96">
    <w:name w:val="Char1"/>
    <w:basedOn w:val="1"/>
    <w:qFormat/>
    <w:uiPriority w:val="0"/>
    <w:pPr>
      <w:widowControl/>
      <w:spacing w:after="160" w:line="240" w:lineRule="exact"/>
      <w:ind w:firstLine="0" w:firstLineChars="0"/>
      <w:jc w:val="left"/>
    </w:pPr>
    <w:rPr>
      <w:rFonts w:ascii="Verdana" w:hAnsi="Verdana"/>
      <w:kern w:val="0"/>
      <w:sz w:val="21"/>
      <w:szCs w:val="20"/>
      <w:lang w:eastAsia="en-US"/>
    </w:rPr>
  </w:style>
  <w:style w:type="paragraph" w:customStyle="1" w:styleId="97">
    <w:name w:val="默认段落字体 Para Char Char Char Char"/>
    <w:basedOn w:val="1"/>
    <w:qFormat/>
    <w:uiPriority w:val="0"/>
    <w:pPr>
      <w:spacing w:line="360" w:lineRule="auto"/>
      <w:ind w:firstLine="0" w:firstLineChars="0"/>
    </w:pPr>
    <w:rPr>
      <w:rFonts w:ascii="Tahoma" w:hAnsi="Tahoma"/>
      <w:szCs w:val="20"/>
    </w:rPr>
  </w:style>
  <w:style w:type="paragraph" w:customStyle="1" w:styleId="98">
    <w:name w:val="Char Char"/>
    <w:basedOn w:val="1"/>
    <w:qFormat/>
    <w:uiPriority w:val="0"/>
    <w:pPr>
      <w:widowControl/>
      <w:spacing w:before="100" w:beforeAutospacing="1" w:after="100" w:afterAutospacing="1" w:line="330" w:lineRule="atLeast"/>
      <w:ind w:left="360" w:firstLine="0" w:firstLineChars="0"/>
      <w:jc w:val="left"/>
    </w:pPr>
    <w:rPr>
      <w:rFonts w:ascii="ˎ̥" w:hAnsi="ˎ̥" w:cs="宋体"/>
      <w:color w:val="51585D"/>
      <w:kern w:val="0"/>
      <w:sz w:val="21"/>
      <w:szCs w:val="18"/>
    </w:rPr>
  </w:style>
  <w:style w:type="character" w:customStyle="1" w:styleId="99">
    <w:name w:val="font01"/>
    <w:basedOn w:val="35"/>
    <w:qFormat/>
    <w:uiPriority w:val="0"/>
    <w:rPr>
      <w:rFonts w:hint="eastAsia" w:ascii="微软雅黑" w:hAnsi="微软雅黑" w:eastAsia="微软雅黑" w:cs="微软雅黑"/>
      <w:i/>
      <w:color w:val="000000"/>
      <w:sz w:val="18"/>
      <w:szCs w:val="18"/>
      <w:u w:val="none"/>
    </w:rPr>
  </w:style>
  <w:style w:type="paragraph" w:customStyle="1" w:styleId="100">
    <w:name w:val="封面落款"/>
    <w:basedOn w:val="101"/>
    <w:qFormat/>
    <w:uiPriority w:val="0"/>
    <w:rPr>
      <w:sz w:val="36"/>
    </w:rPr>
  </w:style>
  <w:style w:type="paragraph" w:customStyle="1" w:styleId="101">
    <w:name w:val="封面标题"/>
    <w:basedOn w:val="1"/>
    <w:qFormat/>
    <w:uiPriority w:val="0"/>
    <w:pPr>
      <w:jc w:val="center"/>
    </w:pPr>
    <w:rPr>
      <w:rFonts w:eastAsia="黑体"/>
      <w:sz w:val="48"/>
    </w:rPr>
  </w:style>
  <w:style w:type="paragraph" w:customStyle="1" w:styleId="102">
    <w:name w:val="列出段落11"/>
    <w:basedOn w:val="1"/>
    <w:qFormat/>
    <w:uiPriority w:val="34"/>
    <w:pPr>
      <w:ind w:firstLine="420"/>
    </w:pPr>
  </w:style>
  <w:style w:type="character" w:customStyle="1" w:styleId="103">
    <w:name w:val="font11"/>
    <w:basedOn w:val="35"/>
    <w:qFormat/>
    <w:uiPriority w:val="0"/>
    <w:rPr>
      <w:rFonts w:hint="eastAsia" w:ascii="宋体" w:hAnsi="宋体" w:eastAsia="宋体" w:cs="宋体"/>
      <w:color w:val="000000"/>
      <w:sz w:val="21"/>
      <w:szCs w:val="21"/>
      <w:u w:val="none"/>
    </w:rPr>
  </w:style>
  <w:style w:type="character" w:customStyle="1" w:styleId="104">
    <w:name w:val="font21"/>
    <w:basedOn w:val="35"/>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7595\&#26700;&#38754;\&#32593;&#32476;&#20449;&#24687;&#37096;&#25991;&#26723;&#27169;&#26495;V1.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62B9B9-3249-4C2F-B997-511CC51FFCF3}">
  <ds:schemaRefs/>
</ds:datastoreItem>
</file>

<file path=docProps/app.xml><?xml version="1.0" encoding="utf-8"?>
<Properties xmlns="http://schemas.openxmlformats.org/officeDocument/2006/extended-properties" xmlns:vt="http://schemas.openxmlformats.org/officeDocument/2006/docPropsVTypes">
  <Template>网络信息部文档模板V1.dot</Template>
  <Company>GEDI</Company>
  <Pages>18</Pages>
  <Words>2984</Words>
  <Characters>3381</Characters>
  <Lines>46</Lines>
  <Paragraphs>13</Paragraphs>
  <TotalTime>2</TotalTime>
  <ScaleCrop>false</ScaleCrop>
  <LinksUpToDate>false</LinksUpToDate>
  <CharactersWithSpaces>3483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2018-09-06T14:37:00Z</dcterms:created>
  <dc:creator>G7595</dc:creator>
  <cp:lastModifiedBy>张朝</cp:lastModifiedBy>
  <cp:lastPrinted>2010-06-03T10:10:00Z</cp:lastPrinted>
  <dcterms:modified xsi:type="dcterms:W3CDTF">2025-12-17T09:29:59Z</dcterms:modified>
  <dc:title>网络信息部文档模板</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2052-11.8.2.12085</vt:lpwstr>
  </property>
  <property fmtid="{D5CDD505-2E9C-101B-9397-08002B2CF9AE}" pid="4" name="_2015_ms_pID_725343">
    <vt:lpwstr>(3)LXhebanf7nCHMUPJlfAtKpE8m5B25LOsREbp/+Qna6EVXtpyhp2BzYp3P9C3q+5Iy1JuB+ng
aItpY/kcotczJawgNd2J2gB9s94Mek9dPZQ8lIs45B4yz8tm+5JG15Wa/6ACjL44juNTZHOP
V0e1knQemAuoDJSbX8JKvp+ugUuZ4dC8VxAVbfNof5mZAjTKbr9QK4Ri0A8TaE8R5NIT91PY
KIMMIcCBwhWxNtOn5t</vt:lpwstr>
  </property>
  <property fmtid="{D5CDD505-2E9C-101B-9397-08002B2CF9AE}" pid="5" name="_2015_ms_pID_7253431">
    <vt:lpwstr>kZIffCdUschYHaJgJeottmSWv9eOBkbaQpeakJUeSJSeh4KuqY5B0m
e09NjtEX4VbE4WaWsxCH9ULKPI8FT6bS+JbvmJotc0rNpzQXTUf/AfeVP1Dfxa25MG584+Tb
veYKc0l826pmc8A4y1L8JbCBn7TlZsVPvGNPJhZqItvX8zZ8mSOWRbXRu1iMb1TNRDpJN5Dg
P6Fdkuxg0zoIg6nHK1wqyuflRT32RnCZHrIf</vt:lpwstr>
  </property>
  <property fmtid="{D5CDD505-2E9C-101B-9397-08002B2CF9AE}" pid="6" name="_2015_ms_pID_7253432">
    <vt:lpwstr>yg==</vt:lpwstr>
  </property>
  <property fmtid="{D5CDD505-2E9C-101B-9397-08002B2CF9AE}" pid="7" name="_readonly">
    <vt:lpwstr/>
  </property>
  <property fmtid="{D5CDD505-2E9C-101B-9397-08002B2CF9AE}" pid="8" name="_change">
    <vt:lpwstr/>
  </property>
  <property fmtid="{D5CDD505-2E9C-101B-9397-08002B2CF9AE}" pid="9" name="_full-control">
    <vt:lpwstr/>
  </property>
  <property fmtid="{D5CDD505-2E9C-101B-9397-08002B2CF9AE}" pid="10" name="sflag">
    <vt:lpwstr>1497772896</vt:lpwstr>
  </property>
  <property fmtid="{D5CDD505-2E9C-101B-9397-08002B2CF9AE}" pid="11" name="ICV">
    <vt:lpwstr>BBB970F9E8694E698ACAA60E2E156CC4_13</vt:lpwstr>
  </property>
  <property fmtid="{D5CDD505-2E9C-101B-9397-08002B2CF9AE}" pid="12" name="KSOTemplateDocerSaveRecord">
    <vt:lpwstr>eyJoZGlkIjoiZGVhZTUxODIwYjI3ZmYwMDA0N2JmYWYyOTc2NjI0ZWIiLCJ1c2VySWQiOiIyNTc2OTg0MzkifQ==</vt:lpwstr>
  </property>
</Properties>
</file>