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left="0" w:leftChars="0" w:firstLine="0" w:firstLineChars="0"/>
        <w:jc w:val="center"/>
        <w:rPr>
          <w:rFonts w:hint="default" w:ascii="宋体" w:hAnsi="宋体" w:eastAsia="宋体" w:cs="宋体"/>
          <w:b/>
          <w:color w:val="auto"/>
          <w:sz w:val="48"/>
          <w:szCs w:val="48"/>
          <w:lang w:val="en-US" w:eastAsia="zh-CN"/>
        </w:rPr>
      </w:pPr>
      <w:bookmarkStart w:id="63" w:name="_GoBack"/>
      <w:r>
        <w:rPr>
          <w:rFonts w:hint="eastAsia" w:ascii="宋体" w:hAnsi="宋体" w:cs="宋体"/>
          <w:b/>
          <w:color w:val="auto"/>
          <w:sz w:val="48"/>
          <w:szCs w:val="48"/>
          <w:lang w:val="en-US" w:eastAsia="zh-CN"/>
        </w:rPr>
        <w:t>鼎和保险涉笔</w:t>
      </w:r>
      <w:r>
        <w:rPr>
          <w:rFonts w:hint="eastAsia" w:ascii="宋体" w:hAnsi="宋体" w:eastAsia="宋体" w:cs="宋体"/>
          <w:b/>
          <w:color w:val="auto"/>
          <w:sz w:val="48"/>
          <w:szCs w:val="48"/>
          <w:lang w:eastAsia="zh-CN"/>
        </w:rPr>
        <w:t>电脑</w:t>
      </w:r>
      <w:r>
        <w:rPr>
          <w:rFonts w:hint="eastAsia" w:ascii="宋体" w:hAnsi="宋体" w:cs="宋体"/>
          <w:b/>
          <w:color w:val="auto"/>
          <w:sz w:val="48"/>
          <w:szCs w:val="48"/>
          <w:lang w:val="en-US" w:eastAsia="zh-CN"/>
        </w:rPr>
        <w:t>零星采购</w:t>
      </w:r>
    </w:p>
    <w:p>
      <w:pPr>
        <w:spacing w:line="360" w:lineRule="auto"/>
        <w:ind w:left="0" w:leftChars="0" w:firstLine="0" w:firstLineChars="0"/>
        <w:jc w:val="center"/>
        <w:rPr>
          <w:rFonts w:hint="eastAsia" w:ascii="宋体" w:hAnsi="宋体" w:eastAsia="宋体" w:cs="宋体"/>
          <w:b/>
          <w:color w:val="auto"/>
          <w:sz w:val="36"/>
        </w:rPr>
      </w:pPr>
      <w:r>
        <w:rPr>
          <w:rFonts w:hint="eastAsia" w:ascii="宋体" w:hAnsi="宋体" w:eastAsia="宋体" w:cs="宋体"/>
          <w:b/>
          <w:color w:val="auto"/>
          <w:sz w:val="48"/>
          <w:szCs w:val="48"/>
          <w:lang w:eastAsia="zh-CN"/>
        </w:rPr>
        <w:t>采购项目</w:t>
      </w:r>
      <w:r>
        <w:rPr>
          <w:rFonts w:hint="eastAsia" w:ascii="宋体" w:hAnsi="宋体" w:eastAsia="宋体" w:cs="宋体"/>
          <w:b/>
          <w:color w:val="auto"/>
          <w:sz w:val="48"/>
          <w:szCs w:val="48"/>
        </w:rPr>
        <w:t>招标技术条件书</w:t>
      </w:r>
    </w:p>
    <w:bookmarkEnd w:id="63"/>
    <w:p>
      <w:pPr>
        <w:pStyle w:val="4"/>
        <w:bidi w:val="0"/>
        <w:rPr>
          <w:rFonts w:hint="eastAsia" w:ascii="宋体" w:hAnsi="宋体" w:eastAsia="宋体" w:cs="宋体"/>
          <w:color w:val="auto"/>
          <w:sz w:val="24"/>
          <w:szCs w:val="24"/>
        </w:rPr>
      </w:pPr>
      <w:bookmarkStart w:id="0" w:name="_Toc27913"/>
      <w:bookmarkStart w:id="1" w:name="_Toc447006345"/>
      <w:bookmarkStart w:id="2" w:name="_Toc15635"/>
      <w:bookmarkStart w:id="3" w:name="_Toc29924"/>
      <w:bookmarkStart w:id="4" w:name="_Toc21975"/>
      <w:bookmarkStart w:id="5" w:name="_Toc347755024"/>
      <w:r>
        <w:rPr>
          <w:rFonts w:hint="eastAsia" w:ascii="宋体" w:hAnsi="宋体" w:eastAsia="宋体" w:cs="宋体"/>
          <w:color w:val="auto"/>
          <w:sz w:val="24"/>
          <w:szCs w:val="24"/>
        </w:rPr>
        <w:t>总则</w:t>
      </w:r>
      <w:bookmarkEnd w:id="0"/>
      <w:bookmarkEnd w:id="1"/>
      <w:bookmarkEnd w:id="2"/>
      <w:bookmarkEnd w:id="3"/>
      <w:bookmarkEnd w:id="4"/>
      <w:bookmarkEnd w:id="5"/>
    </w:p>
    <w:p>
      <w:pPr>
        <w:bidi w:val="0"/>
        <w:rPr>
          <w:rFonts w:hint="eastAsia" w:ascii="宋体" w:hAnsi="宋体" w:eastAsia="宋体" w:cs="宋体"/>
        </w:rPr>
      </w:pPr>
      <w:bookmarkStart w:id="6" w:name="_Toc446925632"/>
      <w:bookmarkStart w:id="7" w:name="_Toc447006347"/>
      <w:r>
        <w:rPr>
          <w:rFonts w:hint="eastAsia" w:ascii="宋体" w:hAnsi="宋体" w:eastAsia="宋体" w:cs="宋体"/>
        </w:rPr>
        <w:t>本技术条件书适用于</w:t>
      </w:r>
      <w:r>
        <w:rPr>
          <w:rFonts w:hint="eastAsia" w:ascii="宋体" w:hAnsi="宋体" w:cs="宋体"/>
          <w:lang w:eastAsia="zh-CN"/>
        </w:rPr>
        <w:t>鼎和保险涉笔电脑零星采购</w:t>
      </w:r>
      <w:r>
        <w:rPr>
          <w:rFonts w:hint="eastAsia" w:ascii="宋体" w:hAnsi="宋体" w:eastAsia="宋体" w:cs="宋体"/>
          <w:lang w:val="en-US" w:eastAsia="zh-CN"/>
        </w:rPr>
        <w:t>项目</w:t>
      </w:r>
      <w:r>
        <w:rPr>
          <w:rFonts w:hint="eastAsia" w:ascii="宋体" w:hAnsi="宋体" w:eastAsia="宋体" w:cs="宋体"/>
        </w:rPr>
        <w:t>，以及相关设备的功能、性能、安装等方面的技术要求。</w:t>
      </w:r>
      <w:bookmarkEnd w:id="6"/>
      <w:bookmarkEnd w:id="7"/>
    </w:p>
    <w:p>
      <w:pPr>
        <w:bidi w:val="0"/>
        <w:rPr>
          <w:rFonts w:hint="eastAsia" w:ascii="宋体" w:hAnsi="宋体" w:eastAsia="宋体" w:cs="宋体"/>
        </w:rPr>
      </w:pPr>
      <w:bookmarkStart w:id="8" w:name="_Toc447006348"/>
      <w:bookmarkStart w:id="9" w:name="_Toc446925633"/>
      <w:r>
        <w:rPr>
          <w:rFonts w:hint="eastAsia" w:ascii="宋体" w:hAnsi="宋体" w:eastAsia="宋体" w:cs="宋体"/>
        </w:rPr>
        <w:t>本技术条件书提出的是最低限度的技术要求, 并未对一切技术细节作出规定, 也未充分引述有关标准和规范的条文, 投标方应提供符合本技术条件书和工业标准的优质产品。</w:t>
      </w:r>
      <w:bookmarkEnd w:id="8"/>
      <w:bookmarkEnd w:id="9"/>
    </w:p>
    <w:p>
      <w:pPr>
        <w:bidi w:val="0"/>
        <w:rPr>
          <w:rFonts w:hint="eastAsia" w:ascii="宋体" w:hAnsi="宋体" w:eastAsia="宋体" w:cs="宋体"/>
        </w:rPr>
      </w:pPr>
      <w:bookmarkStart w:id="10" w:name="_Toc447006349"/>
      <w:bookmarkStart w:id="11" w:name="_Toc446925634"/>
      <w:r>
        <w:rPr>
          <w:rFonts w:hint="eastAsia" w:ascii="宋体" w:hAnsi="宋体" w:eastAsia="宋体" w:cs="宋体"/>
        </w:rPr>
        <w:t>如果投标方没有以书面形式对本技术条件书的条文提出异议, 则意味着投标方提供的设备</w:t>
      </w:r>
      <w:r>
        <w:rPr>
          <w:rFonts w:hint="eastAsia" w:ascii="宋体" w:hAnsi="宋体" w:cs="宋体"/>
          <w:lang w:eastAsia="zh-CN"/>
        </w:rPr>
        <w:t>（</w:t>
      </w:r>
      <w:r>
        <w:rPr>
          <w:rFonts w:hint="eastAsia" w:ascii="宋体" w:hAnsi="宋体" w:eastAsia="宋体" w:cs="宋体"/>
        </w:rPr>
        <w:t>或系统</w:t>
      </w:r>
      <w:r>
        <w:rPr>
          <w:rFonts w:hint="eastAsia" w:ascii="宋体" w:hAnsi="宋体" w:cs="宋体"/>
          <w:lang w:eastAsia="zh-CN"/>
        </w:rPr>
        <w:t>）</w:t>
      </w:r>
      <w:r>
        <w:rPr>
          <w:rFonts w:hint="eastAsia" w:ascii="宋体" w:hAnsi="宋体" w:eastAsia="宋体" w:cs="宋体"/>
        </w:rPr>
        <w:t>完全符合本技术条件书的要求。如有异议, 不管是多么微小, 都应在报价书中以“对招标技术文件的意见和同招标技术文件的差异”为标题的专门章节中加以详细描述。</w:t>
      </w:r>
      <w:bookmarkEnd w:id="10"/>
      <w:bookmarkEnd w:id="11"/>
    </w:p>
    <w:p>
      <w:pPr>
        <w:bidi w:val="0"/>
        <w:rPr>
          <w:rFonts w:hint="eastAsia" w:ascii="宋体" w:hAnsi="宋体" w:eastAsia="宋体" w:cs="宋体"/>
        </w:rPr>
      </w:pPr>
      <w:bookmarkStart w:id="12" w:name="_Toc447006350"/>
      <w:bookmarkStart w:id="13" w:name="_Toc446925635"/>
      <w:r>
        <w:rPr>
          <w:rFonts w:hint="eastAsia" w:ascii="宋体" w:hAnsi="宋体" w:eastAsia="宋体" w:cs="宋体"/>
        </w:rPr>
        <w:t>本技术条件书所使用的标准如遇与投标方所执行的标准不一致时, 按较高标准执行。</w:t>
      </w:r>
      <w:bookmarkEnd w:id="12"/>
      <w:bookmarkEnd w:id="13"/>
    </w:p>
    <w:p>
      <w:pPr>
        <w:bidi w:val="0"/>
        <w:rPr>
          <w:rFonts w:hint="eastAsia" w:ascii="宋体" w:hAnsi="宋体" w:eastAsia="宋体" w:cs="宋体"/>
        </w:rPr>
      </w:pPr>
      <w:bookmarkStart w:id="14" w:name="_Toc446925636"/>
      <w:bookmarkStart w:id="15" w:name="_Toc447006351"/>
      <w:r>
        <w:rPr>
          <w:rFonts w:hint="eastAsia" w:ascii="宋体" w:hAnsi="宋体" w:eastAsia="宋体" w:cs="宋体"/>
        </w:rPr>
        <w:t>本技术条件书经招、投标双方确认后作为订货合同的技术附件，与合同正文具有同等法律效力。</w:t>
      </w:r>
      <w:bookmarkEnd w:id="14"/>
      <w:bookmarkEnd w:id="15"/>
    </w:p>
    <w:p>
      <w:pPr>
        <w:bidi w:val="0"/>
        <w:rPr>
          <w:rFonts w:hint="eastAsia" w:ascii="宋体" w:hAnsi="宋体" w:eastAsia="宋体" w:cs="宋体"/>
        </w:rPr>
      </w:pPr>
      <w:bookmarkStart w:id="16" w:name="_Toc447006352"/>
      <w:bookmarkStart w:id="17" w:name="_Toc446925637"/>
      <w:r>
        <w:rPr>
          <w:rFonts w:hint="eastAsia" w:ascii="宋体" w:hAnsi="宋体" w:eastAsia="宋体" w:cs="宋体"/>
        </w:rPr>
        <w:t>投标方在应标技术文件中应如实反映应标产品与本技术条件书的技术差异。如果投标方没有提出技术差异，而在执行合同的过程中，招标方发现投标方提供的产品与其应标技术文件的条文存在差异，招标方有权利要求退货，并将对下一年度的评标工作有不同程度的影响。</w:t>
      </w:r>
      <w:bookmarkEnd w:id="16"/>
      <w:bookmarkEnd w:id="17"/>
    </w:p>
    <w:p>
      <w:pPr>
        <w:bidi w:val="0"/>
        <w:rPr>
          <w:rFonts w:hint="eastAsia" w:ascii="宋体" w:hAnsi="宋体" w:eastAsia="宋体" w:cs="宋体"/>
        </w:rPr>
      </w:pPr>
      <w:bookmarkStart w:id="18" w:name="_Toc446925638"/>
      <w:bookmarkStart w:id="19" w:name="_Toc447006353"/>
      <w:r>
        <w:rPr>
          <w:rFonts w:hint="eastAsia" w:ascii="宋体" w:hAnsi="宋体" w:eastAsia="宋体" w:cs="宋体"/>
        </w:rPr>
        <w:t>投标方应在应标技术部分按本技术条件书的要求如实详细的填写应标设备的标准配置表，并在应标商务部分按此标准配置进行报价，如发现二者有矛盾之处，将对评标工作有不同程度的影响。</w:t>
      </w:r>
      <w:bookmarkEnd w:id="18"/>
      <w:bookmarkEnd w:id="19"/>
    </w:p>
    <w:p>
      <w:pPr>
        <w:bidi w:val="0"/>
        <w:rPr>
          <w:rFonts w:hint="eastAsia" w:ascii="宋体" w:hAnsi="宋体" w:eastAsia="宋体" w:cs="宋体"/>
        </w:rPr>
      </w:pPr>
      <w:bookmarkStart w:id="20" w:name="_Toc447006354"/>
      <w:bookmarkStart w:id="21" w:name="_Toc446925639"/>
      <w:r>
        <w:rPr>
          <w:rFonts w:hint="eastAsia" w:ascii="宋体" w:hAnsi="宋体" w:eastAsia="宋体" w:cs="宋体"/>
        </w:rPr>
        <w:t>投标方应充分理解本技术条件书并按本技术条件书的具体条款、格式要求填写应标的技术文件，如发现应标的技术文件条款、格式不符合本技术条件书的要求，则认为应标不严肃，在评标时将有不同程度的扣分。</w:t>
      </w:r>
      <w:bookmarkEnd w:id="20"/>
      <w:bookmarkEnd w:id="21"/>
      <w:bookmarkStart w:id="22" w:name="_Toc447006355"/>
      <w:bookmarkStart w:id="23" w:name="_Toc446925640"/>
    </w:p>
    <w:p>
      <w:pPr>
        <w:pStyle w:val="2"/>
        <w:rPr>
          <w:rFonts w:hint="eastAsia" w:ascii="宋体" w:hAnsi="宋体" w:eastAsia="宋体" w:cs="宋体"/>
        </w:rPr>
      </w:pPr>
      <w:r>
        <w:rPr>
          <w:rFonts w:hint="eastAsia" w:ascii="宋体" w:hAnsi="宋体" w:eastAsia="宋体" w:cs="宋体"/>
          <w:sz w:val="24"/>
        </w:rPr>
        <w:t>标注“★”的条款为关键条款，投标方所投设备必须满足该参数要求。</w:t>
      </w:r>
    </w:p>
    <w:p>
      <w:pPr>
        <w:bidi w:val="0"/>
        <w:rPr>
          <w:rFonts w:hint="eastAsia" w:ascii="宋体" w:hAnsi="宋体" w:eastAsia="宋体" w:cs="宋体"/>
        </w:rPr>
      </w:pPr>
      <w:r>
        <w:rPr>
          <w:rFonts w:hint="eastAsia" w:ascii="宋体" w:hAnsi="宋体" w:eastAsia="宋体" w:cs="宋体"/>
        </w:rPr>
        <w:t>本技术条件书未尽事宜, 由招、投标双方协商确定。</w:t>
      </w:r>
      <w:bookmarkEnd w:id="22"/>
      <w:bookmarkEnd w:id="23"/>
    </w:p>
    <w:p>
      <w:pPr>
        <w:numPr>
          <w:ilvl w:val="0"/>
          <w:numId w:val="0"/>
        </w:numPr>
        <w:bidi w:val="0"/>
        <w:ind w:leftChars="0"/>
        <w:rPr>
          <w:rFonts w:hint="eastAsia" w:ascii="宋体" w:hAnsi="宋体" w:eastAsia="宋体" w:cs="宋体"/>
        </w:rPr>
      </w:pPr>
    </w:p>
    <w:p>
      <w:pPr>
        <w:pStyle w:val="4"/>
        <w:bidi w:val="0"/>
        <w:rPr>
          <w:rFonts w:hint="eastAsia" w:ascii="宋体" w:hAnsi="宋体" w:eastAsia="宋体" w:cs="宋体"/>
          <w:lang w:val="en-US" w:eastAsia="zh-CN"/>
        </w:rPr>
      </w:pPr>
      <w:bookmarkStart w:id="24" w:name="_Toc317067398"/>
      <w:bookmarkStart w:id="25" w:name="_Toc317690117"/>
      <w:bookmarkStart w:id="26" w:name="_Toc5551"/>
      <w:bookmarkStart w:id="27" w:name="_Toc347755025"/>
      <w:bookmarkStart w:id="28" w:name="_Toc317689829"/>
      <w:bookmarkStart w:id="29" w:name="_Toc246"/>
      <w:bookmarkStart w:id="30" w:name="_Toc5177"/>
      <w:bookmarkStart w:id="31" w:name="_Toc5428"/>
      <w:bookmarkStart w:id="32" w:name="_Toc447006356"/>
      <w:r>
        <w:rPr>
          <w:rFonts w:hint="eastAsia" w:ascii="宋体" w:hAnsi="宋体" w:eastAsia="宋体" w:cs="宋体"/>
          <w:lang w:val="en-US" w:eastAsia="zh-CN"/>
        </w:rPr>
        <w:t>工作范围</w:t>
      </w:r>
      <w:bookmarkEnd w:id="24"/>
      <w:bookmarkEnd w:id="25"/>
      <w:bookmarkEnd w:id="26"/>
      <w:bookmarkEnd w:id="27"/>
      <w:bookmarkEnd w:id="28"/>
      <w:bookmarkEnd w:id="29"/>
      <w:bookmarkEnd w:id="30"/>
      <w:bookmarkEnd w:id="31"/>
      <w:bookmarkEnd w:id="32"/>
    </w:p>
    <w:p>
      <w:pPr>
        <w:bidi w:val="0"/>
        <w:rPr>
          <w:rFonts w:hint="eastAsia" w:ascii="宋体" w:hAnsi="宋体" w:eastAsia="宋体" w:cs="宋体"/>
        </w:rPr>
      </w:pPr>
      <w:r>
        <w:rPr>
          <w:rFonts w:hint="eastAsia" w:ascii="宋体" w:hAnsi="宋体" w:eastAsia="宋体" w:cs="宋体"/>
        </w:rPr>
        <w:t>本技术条件适用于</w:t>
      </w:r>
      <w:r>
        <w:rPr>
          <w:rFonts w:hint="eastAsia" w:ascii="宋体" w:hAnsi="宋体" w:cs="宋体"/>
          <w:lang w:eastAsia="zh-CN"/>
        </w:rPr>
        <w:t>鼎和保险涉笔电脑零星采购</w:t>
      </w:r>
      <w:r>
        <w:rPr>
          <w:rFonts w:hint="eastAsia" w:ascii="宋体" w:hAnsi="宋体" w:eastAsia="宋体" w:cs="宋体"/>
          <w:lang w:val="en-US" w:eastAsia="zh-CN"/>
        </w:rPr>
        <w:t>项目</w:t>
      </w:r>
      <w:r>
        <w:rPr>
          <w:rFonts w:hint="eastAsia" w:ascii="宋体" w:hAnsi="宋体" w:eastAsia="宋体" w:cs="宋体"/>
          <w:lang w:eastAsia="zh-CN"/>
        </w:rPr>
        <w:t>，</w:t>
      </w:r>
      <w:r>
        <w:rPr>
          <w:rFonts w:hint="eastAsia" w:ascii="宋体" w:hAnsi="宋体" w:eastAsia="宋体" w:cs="宋体"/>
        </w:rPr>
        <w:t>范围包括</w:t>
      </w:r>
      <w:r>
        <w:rPr>
          <w:rFonts w:hint="eastAsia" w:ascii="宋体" w:hAnsi="宋体" w:eastAsia="宋体" w:cs="宋体"/>
          <w:lang w:val="en-US" w:eastAsia="zh-CN"/>
        </w:rPr>
        <w:t>涉密专用笔记本电脑、操作系统、流式软件</w:t>
      </w:r>
      <w:r>
        <w:rPr>
          <w:rFonts w:hint="eastAsia" w:ascii="宋体" w:hAnsi="宋体" w:cs="宋体"/>
          <w:lang w:val="en-US" w:eastAsia="zh-CN"/>
        </w:rPr>
        <w:t>、版式软件、病毒防治类软件、保密套件、打刻审计套件</w:t>
      </w:r>
      <w:r>
        <w:rPr>
          <w:rFonts w:hint="eastAsia" w:ascii="宋体" w:hAnsi="宋体" w:eastAsia="宋体" w:cs="宋体"/>
        </w:rPr>
        <w:t>。</w:t>
      </w:r>
    </w:p>
    <w:p>
      <w:pPr>
        <w:pStyle w:val="4"/>
        <w:bidi w:val="0"/>
        <w:rPr>
          <w:rFonts w:hint="eastAsia" w:ascii="宋体" w:hAnsi="宋体" w:eastAsia="宋体" w:cs="宋体"/>
          <w:lang w:val="en-US" w:eastAsia="zh-CN"/>
        </w:rPr>
      </w:pPr>
      <w:bookmarkStart w:id="33" w:name="_Toc27032"/>
      <w:bookmarkStart w:id="34" w:name="_Toc6399"/>
      <w:bookmarkStart w:id="35" w:name="_Toc447006357"/>
      <w:bookmarkStart w:id="36" w:name="_Toc3393"/>
      <w:bookmarkStart w:id="37" w:name="_Toc347755026"/>
      <w:bookmarkStart w:id="38" w:name="_Toc18611"/>
      <w:r>
        <w:rPr>
          <w:rFonts w:hint="eastAsia" w:ascii="宋体" w:hAnsi="宋体" w:eastAsia="宋体" w:cs="宋体"/>
          <w:lang w:val="en-US" w:eastAsia="zh-CN"/>
        </w:rPr>
        <w:t>引用标准</w:t>
      </w:r>
      <w:bookmarkEnd w:id="33"/>
      <w:bookmarkEnd w:id="34"/>
      <w:bookmarkEnd w:id="35"/>
      <w:bookmarkEnd w:id="36"/>
      <w:bookmarkEnd w:id="37"/>
      <w:bookmarkEnd w:id="38"/>
    </w:p>
    <w:p>
      <w:pPr>
        <w:bidi w:val="0"/>
        <w:rPr>
          <w:rFonts w:hint="eastAsia" w:ascii="宋体" w:hAnsi="宋体" w:eastAsia="宋体" w:cs="宋体"/>
        </w:rPr>
      </w:pPr>
      <w:r>
        <w:rPr>
          <w:rFonts w:hint="eastAsia" w:ascii="宋体" w:hAnsi="宋体" w:eastAsia="宋体" w:cs="宋体"/>
        </w:rPr>
        <w:t>除本招标书另有说明外，投标方提供的所有设备均应按照下列标准进行设计、制造、检验和安装。所用的标准必须是最新版本。如果这些标准的内容有不同之处时，应按照最高标准的条款执行或按双方协商同意的标准执行。如果投标方选用本条件书以外的标准时，需提交这种替换标准相当于或优于本条件书规定的标准的说明。标准如下：</w:t>
      </w:r>
    </w:p>
    <w:p>
      <w:pPr>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1</w:t>
      </w:r>
      <w:r>
        <w:rPr>
          <w:rFonts w:hint="eastAsia" w:ascii="宋体" w:hAnsi="宋体" w:eastAsia="宋体" w:cs="宋体"/>
        </w:rPr>
        <w:t>）GB-------中华人民共和国国家标准</w:t>
      </w:r>
    </w:p>
    <w:p>
      <w:pPr>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2</w:t>
      </w:r>
      <w:r>
        <w:rPr>
          <w:rFonts w:hint="eastAsia" w:ascii="宋体" w:hAnsi="宋体" w:eastAsia="宋体" w:cs="宋体"/>
        </w:rPr>
        <w:t>）DL-------中华人民共和国电力行业标准</w:t>
      </w:r>
    </w:p>
    <w:p>
      <w:pPr>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）《电力二次系统安全防护规定》</w:t>
      </w:r>
    </w:p>
    <w:p>
      <w:pPr>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4</w:t>
      </w:r>
      <w:r>
        <w:rPr>
          <w:rFonts w:hint="eastAsia" w:ascii="宋体" w:hAnsi="宋体" w:eastAsia="宋体" w:cs="宋体"/>
        </w:rPr>
        <w:t>）中国信息安全测评中心</w:t>
      </w:r>
    </w:p>
    <w:p>
      <w:pPr>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5</w:t>
      </w:r>
      <w:r>
        <w:rPr>
          <w:rFonts w:hint="eastAsia" w:ascii="宋体" w:hAnsi="宋体" w:eastAsia="宋体" w:cs="宋体"/>
        </w:rPr>
        <w:t>）国家保密科技测评中心</w:t>
      </w:r>
    </w:p>
    <w:p>
      <w:pPr>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6</w:t>
      </w:r>
      <w:r>
        <w:rPr>
          <w:rFonts w:hint="eastAsia" w:ascii="宋体" w:hAnsi="宋体" w:eastAsia="宋体" w:cs="宋体"/>
        </w:rPr>
        <w:t>）ISO------国际标准化组织标准</w:t>
      </w:r>
    </w:p>
    <w:p>
      <w:pPr>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7</w:t>
      </w:r>
      <w:r>
        <w:rPr>
          <w:rFonts w:hint="eastAsia" w:ascii="宋体" w:hAnsi="宋体" w:eastAsia="宋体" w:cs="宋体"/>
        </w:rPr>
        <w:t>）IEC------国际电工委员会标准</w:t>
      </w:r>
    </w:p>
    <w:p>
      <w:pPr>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8</w:t>
      </w:r>
      <w:r>
        <w:rPr>
          <w:rFonts w:hint="eastAsia" w:ascii="宋体" w:hAnsi="宋体" w:eastAsia="宋体" w:cs="宋体"/>
        </w:rPr>
        <w:t>）ITU-T----国际电信联盟标准</w:t>
      </w:r>
    </w:p>
    <w:p>
      <w:pPr>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9</w:t>
      </w:r>
      <w:r>
        <w:rPr>
          <w:rFonts w:hint="eastAsia" w:ascii="宋体" w:hAnsi="宋体" w:eastAsia="宋体" w:cs="宋体"/>
        </w:rPr>
        <w:t>）CCITT ------国际电报和电话咨询委员会</w:t>
      </w:r>
    </w:p>
    <w:p>
      <w:pPr>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0</w:t>
      </w:r>
      <w:r>
        <w:rPr>
          <w:rFonts w:hint="eastAsia" w:ascii="宋体" w:hAnsi="宋体" w:eastAsia="宋体" w:cs="宋体"/>
        </w:rPr>
        <w:t>）ITU------国际电信联盟</w:t>
      </w:r>
    </w:p>
    <w:p>
      <w:pPr>
        <w:bidi w:val="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11</w:t>
      </w:r>
      <w:r>
        <w:rPr>
          <w:rFonts w:hint="eastAsia" w:ascii="宋体" w:hAnsi="宋体" w:eastAsia="宋体" w:cs="宋体"/>
        </w:rPr>
        <w:t>）SI------标准国际单位制</w:t>
      </w:r>
    </w:p>
    <w:p>
      <w:pPr>
        <w:bidi w:val="0"/>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2</w:t>
      </w:r>
      <w:r>
        <w:rPr>
          <w:rFonts w:hint="eastAsia" w:ascii="宋体" w:hAnsi="宋体" w:eastAsia="宋体" w:cs="宋体"/>
        </w:rPr>
        <w:t>）其它招标方指定的规约</w:t>
      </w:r>
    </w:p>
    <w:p>
      <w:pPr>
        <w:pStyle w:val="4"/>
        <w:bidi w:val="0"/>
        <w:spacing w:line="360" w:lineRule="auto"/>
        <w:rPr>
          <w:rFonts w:hint="eastAsia" w:ascii="宋体" w:hAnsi="宋体" w:eastAsia="宋体" w:cs="宋体"/>
          <w:lang w:val="en-US" w:eastAsia="zh-CN"/>
        </w:rPr>
      </w:pPr>
      <w:bookmarkStart w:id="39" w:name="_Toc9442"/>
      <w:bookmarkStart w:id="40" w:name="_Toc296436998"/>
      <w:bookmarkStart w:id="41" w:name="_Toc23801"/>
      <w:bookmarkStart w:id="42" w:name="_Toc447006358"/>
      <w:bookmarkStart w:id="43" w:name="_Toc15353"/>
      <w:bookmarkStart w:id="44" w:name="_Toc10766"/>
      <w:r>
        <w:rPr>
          <w:rFonts w:hint="eastAsia" w:ascii="宋体" w:hAnsi="宋体" w:eastAsia="宋体" w:cs="宋体"/>
          <w:lang w:val="en-US" w:eastAsia="zh-CN"/>
        </w:rPr>
        <w:t>技术要求</w:t>
      </w:r>
      <w:bookmarkEnd w:id="39"/>
      <w:bookmarkEnd w:id="40"/>
      <w:bookmarkEnd w:id="41"/>
      <w:bookmarkEnd w:id="42"/>
      <w:bookmarkEnd w:id="43"/>
      <w:bookmarkEnd w:id="44"/>
    </w:p>
    <w:p>
      <w:pPr>
        <w:pStyle w:val="5"/>
        <w:numPr>
          <w:ilvl w:val="1"/>
          <w:numId w:val="1"/>
        </w:numPr>
        <w:bidi w:val="0"/>
        <w:spacing w:line="360" w:lineRule="auto"/>
        <w:rPr>
          <w:rFonts w:hint="eastAsia" w:ascii="宋体" w:hAnsi="宋体" w:eastAsia="宋体" w:cs="宋体"/>
          <w:lang w:val="en-US" w:eastAsia="zh-CN"/>
        </w:rPr>
      </w:pPr>
      <w:bookmarkStart w:id="45" w:name="_Toc14359"/>
      <w:r>
        <w:rPr>
          <w:rFonts w:hint="eastAsia" w:cs="宋体"/>
          <w:lang w:val="en-US" w:eastAsia="zh-CN"/>
        </w:rPr>
        <w:t>涉密专用笔记本电脑</w:t>
      </w:r>
      <w:bookmarkEnd w:id="45"/>
    </w:p>
    <w:tbl>
      <w:tblPr>
        <w:tblStyle w:val="1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2207"/>
        <w:gridCol w:w="55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pct"/>
            <w:noWrap w:val="0"/>
            <w:vAlign w:val="center"/>
          </w:tcPr>
          <w:p>
            <w:pPr>
              <w:numPr>
                <w:ilvl w:val="-1"/>
                <w:numId w:val="0"/>
              </w:numPr>
              <w:adjustRightInd w:val="0"/>
              <w:spacing w:line="360" w:lineRule="auto"/>
              <w:ind w:left="0" w:firstLine="0" w:firstLineChars="0"/>
              <w:jc w:val="center"/>
              <w:textAlignment w:val="baseline"/>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t>序号</w:t>
            </w:r>
          </w:p>
        </w:tc>
        <w:tc>
          <w:tcPr>
            <w:tcW w:w="1294" w:type="pct"/>
            <w:noWrap w:val="0"/>
            <w:vAlign w:val="center"/>
          </w:tcPr>
          <w:p>
            <w:pPr>
              <w:numPr>
                <w:ilvl w:val="-1"/>
                <w:numId w:val="0"/>
              </w:numPr>
              <w:adjustRightInd w:val="0"/>
              <w:spacing w:line="360" w:lineRule="auto"/>
              <w:ind w:left="0" w:firstLine="0" w:firstLineChars="0"/>
              <w:jc w:val="center"/>
              <w:textAlignment w:val="baseline"/>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lang w:val="en-US" w:eastAsia="zh-CN"/>
              </w:rPr>
              <w:t>设备</w:t>
            </w:r>
            <w:r>
              <w:rPr>
                <w:rFonts w:hint="eastAsia" w:ascii="仿宋_GB2312" w:hAnsi="仿宋_GB2312" w:eastAsia="仿宋_GB2312" w:cs="仿宋_GB2312"/>
                <w:color w:val="auto"/>
                <w:sz w:val="24"/>
                <w:szCs w:val="22"/>
                <w:highlight w:val="none"/>
              </w:rPr>
              <w:t>名称</w:t>
            </w:r>
          </w:p>
        </w:tc>
        <w:tc>
          <w:tcPr>
            <w:tcW w:w="3227" w:type="pct"/>
            <w:noWrap w:val="0"/>
            <w:vAlign w:val="center"/>
          </w:tcPr>
          <w:p>
            <w:pPr>
              <w:numPr>
                <w:ilvl w:val="-1"/>
                <w:numId w:val="0"/>
              </w:numPr>
              <w:adjustRightInd w:val="0"/>
              <w:spacing w:line="360" w:lineRule="auto"/>
              <w:ind w:left="0" w:firstLine="0" w:firstLineChars="0"/>
              <w:jc w:val="center"/>
              <w:textAlignment w:val="baseline"/>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t>规格参数要求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pct"/>
            <w:noWrap w:val="0"/>
            <w:vAlign w:val="center"/>
          </w:tcPr>
          <w:p>
            <w:pPr>
              <w:numPr>
                <w:ilvl w:val="-1"/>
                <w:numId w:val="0"/>
              </w:numPr>
              <w:adjustRightInd w:val="0"/>
              <w:spacing w:line="360" w:lineRule="auto"/>
              <w:ind w:left="0" w:firstLine="0" w:firstLineChars="0"/>
              <w:jc w:val="center"/>
              <w:textAlignment w:val="baseline"/>
              <w:rPr>
                <w:rFonts w:hint="eastAsia" w:ascii="仿宋_GB2312" w:hAnsi="仿宋_GB2312" w:eastAsia="仿宋_GB2312" w:cs="仿宋_GB2312"/>
                <w:color w:val="auto"/>
                <w:sz w:val="24"/>
                <w:szCs w:val="22"/>
                <w:highlight w:val="none"/>
                <w:lang w:val="en-US" w:eastAsia="zh-CN"/>
              </w:rPr>
            </w:pPr>
            <w:r>
              <w:rPr>
                <w:rFonts w:hint="eastAsia" w:ascii="仿宋_GB2312" w:hAnsi="仿宋_GB2312" w:eastAsia="仿宋_GB2312" w:cs="仿宋_GB2312"/>
                <w:color w:val="auto"/>
                <w:sz w:val="24"/>
                <w:szCs w:val="22"/>
                <w:highlight w:val="none"/>
                <w:lang w:val="en-US" w:eastAsia="zh-CN"/>
              </w:rPr>
              <w:t>6</w:t>
            </w:r>
          </w:p>
        </w:tc>
        <w:tc>
          <w:tcPr>
            <w:tcW w:w="1294" w:type="pct"/>
            <w:noWrap w:val="0"/>
            <w:vAlign w:val="center"/>
          </w:tcPr>
          <w:p>
            <w:pPr>
              <w:numPr>
                <w:ilvl w:val="-1"/>
                <w:numId w:val="0"/>
              </w:numPr>
              <w:adjustRightInd w:val="0"/>
              <w:snapToGrid w:val="0"/>
              <w:spacing w:line="360" w:lineRule="auto"/>
              <w:ind w:left="0" w:firstLine="0" w:firstLineChars="0"/>
              <w:jc w:val="center"/>
              <w:rPr>
                <w:rFonts w:hint="eastAsia" w:ascii="仿宋_GB2312" w:hAnsi="仿宋_GB2312" w:eastAsia="仿宋_GB2312" w:cs="仿宋_GB2312"/>
                <w:color w:val="auto"/>
                <w:sz w:val="24"/>
                <w:szCs w:val="22"/>
                <w:highlight w:val="none"/>
              </w:rPr>
            </w:pPr>
            <w:r>
              <w:rPr>
                <w:rFonts w:hint="eastAsia" w:ascii="仿宋_GB2312" w:hAnsi="仿宋_GB2312" w:eastAsia="仿宋_GB2312" w:cs="仿宋_GB2312"/>
                <w:color w:val="auto"/>
                <w:sz w:val="24"/>
                <w:szCs w:val="22"/>
                <w:highlight w:val="none"/>
              </w:rPr>
              <w:t>涉密笔记本电脑</w:t>
            </w:r>
          </w:p>
        </w:tc>
        <w:tc>
          <w:tcPr>
            <w:tcW w:w="322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1、便捷式计算机：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（1）★CPU不低于8核3.5GHz国产处理器。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（2）DDR5内存不低于32GB，支持双通道。</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lang w:val="en-US" w:eastAsia="zh-CN" w:bidi="ar-SA"/>
              </w:rPr>
              <w:t>（3）</w:t>
            </w:r>
            <w:r>
              <w:rPr>
                <w:rFonts w:hint="eastAsia" w:ascii="仿宋_GB2312" w:hAnsi="仿宋_GB2312" w:eastAsia="仿宋_GB2312" w:cs="仿宋_GB2312"/>
                <w:color w:val="auto"/>
                <w:kern w:val="2"/>
                <w:sz w:val="24"/>
                <w:szCs w:val="24"/>
                <w:highlight w:val="none"/>
                <w:lang w:val="en-US" w:eastAsia="zh-CN" w:bidi="ar-SA"/>
              </w:rPr>
              <w:t>存储盘不低于1TB M.2 PCIe 国产SSD硬盘，需安全可靠。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lang w:val="en-US" w:eastAsia="zh-CN" w:bidi="ar-SA"/>
              </w:rPr>
              <w:t>（4）屏幕</w:t>
            </w:r>
            <w:r>
              <w:rPr>
                <w:rFonts w:hint="eastAsia" w:ascii="仿宋_GB2312" w:hAnsi="仿宋_GB2312" w:eastAsia="仿宋_GB2312" w:cs="仿宋_GB2312"/>
                <w:color w:val="auto"/>
                <w:kern w:val="2"/>
                <w:sz w:val="24"/>
                <w:szCs w:val="24"/>
                <w:highlight w:val="none"/>
                <w:lang w:val="en-US" w:eastAsia="zh-CN" w:bidi="ar-SA"/>
              </w:rPr>
              <w:t>14英寸，分辨率1920*1080屏180°开合。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lang w:val="en-US" w:eastAsia="zh-CN" w:bidi="ar-SA"/>
              </w:rPr>
              <w:t>（5）</w:t>
            </w:r>
            <w:r>
              <w:rPr>
                <w:rFonts w:hint="eastAsia" w:ascii="仿宋_GB2312" w:hAnsi="仿宋_GB2312" w:eastAsia="仿宋_GB2312" w:cs="仿宋_GB2312"/>
                <w:color w:val="auto"/>
                <w:kern w:val="2"/>
                <w:sz w:val="24"/>
                <w:szCs w:val="24"/>
                <w:highlight w:val="none"/>
                <w:lang w:val="en-US" w:eastAsia="zh-CN" w:bidi="ar-SA"/>
              </w:rPr>
              <w:t>3*Type C、2*USB3.0、1*RJ45、HDMI、3.5mm 二合一音频接口。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lang w:val="en-US" w:eastAsia="zh-CN" w:bidi="ar-SA"/>
              </w:rPr>
              <w:t>（6）</w:t>
            </w:r>
            <w:r>
              <w:rPr>
                <w:rFonts w:hint="eastAsia" w:ascii="仿宋_GB2312" w:hAnsi="仿宋_GB2312" w:eastAsia="仿宋_GB2312" w:cs="仿宋_GB2312"/>
                <w:color w:val="auto"/>
                <w:kern w:val="2"/>
                <w:sz w:val="24"/>
                <w:szCs w:val="24"/>
                <w:highlight w:val="none"/>
                <w:lang w:val="en-US" w:eastAsia="zh-CN" w:bidi="ar-SA"/>
              </w:rPr>
              <w:t>720P物理防窥摄像头。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lang w:val="en-US" w:eastAsia="zh-CN" w:bidi="ar-SA"/>
              </w:rPr>
              <w:t>（7）</w:t>
            </w:r>
            <w:r>
              <w:rPr>
                <w:rFonts w:hint="eastAsia" w:ascii="仿宋_GB2312" w:hAnsi="仿宋_GB2312" w:eastAsia="仿宋_GB2312" w:cs="仿宋_GB2312"/>
                <w:color w:val="auto"/>
                <w:kern w:val="2"/>
                <w:sz w:val="24"/>
                <w:szCs w:val="24"/>
                <w:highlight w:val="none"/>
                <w:lang w:val="en-US" w:eastAsia="zh-CN" w:bidi="ar-SA"/>
              </w:rPr>
              <w:t>60WH电池。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lang w:val="en-US" w:eastAsia="zh-CN" w:bidi="ar-SA"/>
              </w:rPr>
              <w:t>（8）</w:t>
            </w:r>
            <w:r>
              <w:rPr>
                <w:rFonts w:hint="eastAsia" w:ascii="仿宋_GB2312" w:hAnsi="仿宋_GB2312" w:eastAsia="仿宋_GB2312" w:cs="仿宋_GB2312"/>
                <w:color w:val="auto"/>
                <w:kern w:val="2"/>
                <w:sz w:val="24"/>
                <w:szCs w:val="24"/>
                <w:highlight w:val="none"/>
                <w:lang w:val="en-US" w:eastAsia="zh-CN" w:bidi="ar-SA"/>
              </w:rPr>
              <w:t>一键指纹开机。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lang w:val="en-US" w:eastAsia="zh-CN" w:bidi="ar-SA"/>
              </w:rPr>
              <w:t>（10）</w:t>
            </w:r>
            <w:r>
              <w:rPr>
                <w:rFonts w:hint="eastAsia" w:ascii="仿宋_GB2312" w:hAnsi="仿宋_GB2312" w:eastAsia="仿宋_GB2312" w:cs="仿宋_GB2312"/>
                <w:color w:val="auto"/>
                <w:kern w:val="2"/>
                <w:sz w:val="24"/>
                <w:szCs w:val="24"/>
                <w:highlight w:val="none"/>
                <w:lang w:val="en-US" w:eastAsia="zh-CN" w:bidi="ar-SA"/>
              </w:rPr>
              <w:t>国产操作系统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2、配套软硬件：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安全保密套件管理系统包含主机监控与审计系统、终端安全登录系统（用户Ukey一个)、涉密计算机及移动存储介质保密管理系统（简称三合一，带有高速单导盒一个、SM专用移动红盘256GB一个）、三员key。（国产，需提供国家保密测评中心认证证书）。需提供安全保密套件与涉密笔记本电脑的兼容证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（2）★打印刻录审计系统（国产，需原厂授权及具备国家保密测评中心认证证书）。需提供打印刻录审计系统与涉密笔记本电脑的兼容证明。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（3）★病毒防治类软件（国产，需原厂授权具备国家保密测评中心认证证书）。需提供病毒防治类软件与涉密笔记本电脑的兼容证明。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（4）★流式软件（国产专业版办公软件，需提供国家保密测评中心认证证书）。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（5）</w:t>
            </w:r>
            <w:r>
              <w:rPr>
                <w:rFonts w:hint="eastAsia" w:ascii="仿宋_GB2312" w:hAnsi="仿宋_GB2312" w:eastAsia="仿宋_GB2312" w:cs="仿宋_GB2312"/>
                <w:color w:val="auto"/>
                <w:kern w:val="2"/>
                <w:sz w:val="28"/>
                <w:szCs w:val="28"/>
                <w:highlight w:val="none"/>
                <w:lang w:val="en-US" w:eastAsia="zh-CN" w:bidi="ar-SA"/>
              </w:rPr>
              <w:t>★</w:t>
            </w:r>
            <w:r>
              <w:rPr>
                <w:rFonts w:hint="eastAsia" w:ascii="仿宋_GB2312" w:hAnsi="仿宋_GB2312" w:eastAsia="仿宋_GB2312" w:cs="仿宋_GB2312"/>
                <w:color w:val="auto"/>
                <w:kern w:val="2"/>
                <w:sz w:val="24"/>
                <w:szCs w:val="24"/>
                <w:highlight w:val="none"/>
                <w:lang w:val="en-US" w:eastAsia="zh-CN" w:bidi="ar-SA"/>
              </w:rPr>
              <w:t>版式软件（国产版式办公套件软件，需提供国家保密测评中心认证证书）。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（7）</w:t>
            </w:r>
            <w:r>
              <w:rPr>
                <w:rFonts w:hint="eastAsia" w:ascii="仿宋_GB2312" w:hAnsi="仿宋_GB2312" w:eastAsia="仿宋_GB2312" w:cs="仿宋_GB2312"/>
                <w:color w:val="auto"/>
                <w:kern w:val="2"/>
                <w:sz w:val="28"/>
                <w:szCs w:val="28"/>
                <w:highlight w:val="none"/>
                <w:lang w:val="en-US" w:eastAsia="zh-CN" w:bidi="ar-SA"/>
              </w:rPr>
              <w:t>★</w:t>
            </w:r>
            <w:r>
              <w:rPr>
                <w:rFonts w:hint="eastAsia" w:ascii="仿宋_GB2312" w:hAnsi="仿宋_GB2312" w:eastAsia="仿宋_GB2312" w:cs="仿宋_GB2312"/>
                <w:color w:val="auto"/>
                <w:kern w:val="2"/>
                <w:sz w:val="24"/>
                <w:szCs w:val="24"/>
                <w:highlight w:val="none"/>
                <w:lang w:val="en-US" w:eastAsia="zh-CN" w:bidi="ar-SA"/>
              </w:rPr>
              <w:t>红黑电源插座（六位，需提供国家保密测评中心认证证书）。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3、维保要求：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整机维保3年。</w:t>
            </w:r>
          </w:p>
        </w:tc>
      </w:tr>
    </w:tbl>
    <w:p>
      <w:pPr>
        <w:numPr>
          <w:ilvl w:val="0"/>
          <w:numId w:val="0"/>
        </w:numPr>
        <w:bidi w:val="0"/>
        <w:ind w:leftChars="0"/>
        <w:rPr>
          <w:rFonts w:hint="eastAsia"/>
          <w:lang w:val="en-US" w:eastAsia="zh-CN"/>
        </w:rPr>
      </w:pPr>
    </w:p>
    <w:p>
      <w:pPr>
        <w:pStyle w:val="4"/>
        <w:bidi w:val="0"/>
        <w:rPr>
          <w:rFonts w:hint="eastAsia" w:ascii="宋体" w:hAnsi="宋体" w:eastAsia="宋体" w:cs="宋体"/>
        </w:rPr>
      </w:pPr>
      <w:bookmarkStart w:id="46" w:name="_Toc447006387"/>
      <w:bookmarkStart w:id="47" w:name="_Toc8627"/>
      <w:bookmarkStart w:id="48" w:name="_Toc187218714"/>
      <w:bookmarkStart w:id="49" w:name="_Toc347755034"/>
      <w:bookmarkStart w:id="50" w:name="_Toc341883746"/>
      <w:bookmarkStart w:id="51" w:name="_Toc17453"/>
      <w:bookmarkStart w:id="52" w:name="_Toc29679"/>
      <w:bookmarkStart w:id="53" w:name="_Toc9181"/>
      <w:r>
        <w:rPr>
          <w:rFonts w:hint="eastAsia" w:ascii="宋体" w:hAnsi="宋体" w:eastAsia="宋体" w:cs="宋体"/>
        </w:rPr>
        <w:t>技术性能偏差表</w:t>
      </w:r>
      <w:bookmarkEnd w:id="46"/>
      <w:bookmarkEnd w:id="47"/>
      <w:bookmarkEnd w:id="48"/>
      <w:bookmarkEnd w:id="49"/>
      <w:bookmarkEnd w:id="50"/>
      <w:bookmarkEnd w:id="51"/>
      <w:bookmarkEnd w:id="52"/>
      <w:bookmarkEnd w:id="53"/>
    </w:p>
    <w:p>
      <w:pPr>
        <w:spacing w:line="360" w:lineRule="auto"/>
        <w:rPr>
          <w:rFonts w:hint="eastAsia" w:ascii="宋体" w:hAnsi="宋体" w:eastAsia="宋体" w:cs="宋体"/>
          <w:color w:val="auto"/>
          <w:sz w:val="24"/>
        </w:rPr>
      </w:pPr>
      <w:r>
        <w:rPr>
          <w:rFonts w:hint="eastAsia" w:ascii="宋体" w:hAnsi="宋体" w:eastAsia="宋体" w:cs="宋体"/>
          <w:color w:val="auto"/>
          <w:sz w:val="24"/>
        </w:rPr>
        <w:t>投标方应将所供设备与本招标书技术文件有差异之处，无论优于或劣于本招标书技术文件要求，均汇集至以下表中。</w:t>
      </w:r>
    </w:p>
    <w:p>
      <w:pPr>
        <w:spacing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rPr>
        <w:t>技术差异表</w:t>
      </w:r>
    </w:p>
    <w:tbl>
      <w:tblPr>
        <w:tblStyle w:val="12"/>
        <w:tblW w:w="8565" w:type="dxa"/>
        <w:tblInd w:w="3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9"/>
        <w:gridCol w:w="1095"/>
        <w:gridCol w:w="2775"/>
        <w:gridCol w:w="1146"/>
        <w:gridCol w:w="2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49" w:type="dxa"/>
            <w:vMerge w:val="restart"/>
            <w:noWrap w:val="0"/>
            <w:vAlign w:val="center"/>
          </w:tcPr>
          <w:p>
            <w:pPr>
              <w:spacing w:line="360" w:lineRule="auto"/>
              <w:ind w:left="0" w:leftChars="0"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序号</w:t>
            </w:r>
          </w:p>
        </w:tc>
        <w:tc>
          <w:tcPr>
            <w:tcW w:w="3870" w:type="dxa"/>
            <w:gridSpan w:val="2"/>
            <w:noWrap w:val="0"/>
            <w:vAlign w:val="center"/>
          </w:tcPr>
          <w:p>
            <w:pPr>
              <w:spacing w:line="360" w:lineRule="auto"/>
              <w:ind w:left="0" w:leftChars="0"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采购技术条件书</w:t>
            </w:r>
          </w:p>
        </w:tc>
        <w:tc>
          <w:tcPr>
            <w:tcW w:w="3846" w:type="dxa"/>
            <w:gridSpan w:val="2"/>
            <w:noWrap w:val="0"/>
            <w:vAlign w:val="center"/>
          </w:tcPr>
          <w:p>
            <w:pPr>
              <w:spacing w:line="360" w:lineRule="auto"/>
              <w:ind w:left="0" w:leftChars="0"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49" w:type="dxa"/>
            <w:vMerge w:val="continue"/>
            <w:noWrap w:val="0"/>
            <w:vAlign w:val="center"/>
          </w:tcPr>
          <w:p>
            <w:pPr>
              <w:spacing w:line="360" w:lineRule="auto"/>
              <w:jc w:val="center"/>
              <w:rPr>
                <w:rFonts w:hint="eastAsia" w:ascii="宋体" w:hAnsi="宋体" w:eastAsia="宋体" w:cs="宋体"/>
                <w:color w:val="auto"/>
                <w:szCs w:val="21"/>
              </w:rPr>
            </w:pPr>
          </w:p>
        </w:tc>
        <w:tc>
          <w:tcPr>
            <w:tcW w:w="1095" w:type="dxa"/>
            <w:noWrap w:val="0"/>
            <w:vAlign w:val="center"/>
          </w:tcPr>
          <w:p>
            <w:pPr>
              <w:spacing w:line="360" w:lineRule="auto"/>
              <w:ind w:left="0" w:leftChars="0"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条目</w:t>
            </w:r>
          </w:p>
        </w:tc>
        <w:tc>
          <w:tcPr>
            <w:tcW w:w="2775" w:type="dxa"/>
            <w:noWrap w:val="0"/>
            <w:vAlign w:val="center"/>
          </w:tcPr>
          <w:p>
            <w:pPr>
              <w:spacing w:line="360" w:lineRule="auto"/>
              <w:ind w:left="0" w:leftChars="0"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简要内容</w:t>
            </w:r>
          </w:p>
        </w:tc>
        <w:tc>
          <w:tcPr>
            <w:tcW w:w="1146" w:type="dxa"/>
            <w:noWrap w:val="0"/>
            <w:vAlign w:val="center"/>
          </w:tcPr>
          <w:p>
            <w:pPr>
              <w:spacing w:line="360" w:lineRule="auto"/>
              <w:ind w:left="0" w:leftChars="0"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条目</w:t>
            </w:r>
          </w:p>
        </w:tc>
        <w:tc>
          <w:tcPr>
            <w:tcW w:w="2700" w:type="dxa"/>
            <w:noWrap w:val="0"/>
            <w:vAlign w:val="center"/>
          </w:tcPr>
          <w:p>
            <w:pPr>
              <w:spacing w:line="360" w:lineRule="auto"/>
              <w:ind w:left="0" w:leftChars="0" w:firstLine="0" w:firstLineChars="0"/>
              <w:jc w:val="center"/>
              <w:rPr>
                <w:rFonts w:hint="eastAsia" w:ascii="宋体" w:hAnsi="宋体" w:eastAsia="宋体" w:cs="宋体"/>
                <w:color w:val="auto"/>
                <w:szCs w:val="21"/>
              </w:rPr>
            </w:pPr>
            <w:r>
              <w:rPr>
                <w:rFonts w:hint="eastAsia" w:ascii="宋体" w:hAnsi="宋体" w:eastAsia="宋体" w:cs="宋体"/>
                <w:color w:val="auto"/>
                <w:szCs w:val="21"/>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noWrap w:val="0"/>
            <w:vAlign w:val="top"/>
          </w:tcPr>
          <w:p>
            <w:pPr>
              <w:spacing w:line="360" w:lineRule="auto"/>
              <w:jc w:val="center"/>
              <w:rPr>
                <w:rFonts w:hint="eastAsia" w:ascii="宋体" w:hAnsi="宋体" w:eastAsia="宋体" w:cs="宋体"/>
                <w:color w:val="auto"/>
                <w:szCs w:val="21"/>
              </w:rPr>
            </w:pPr>
          </w:p>
        </w:tc>
        <w:tc>
          <w:tcPr>
            <w:tcW w:w="1095" w:type="dxa"/>
            <w:noWrap w:val="0"/>
            <w:vAlign w:val="top"/>
          </w:tcPr>
          <w:p>
            <w:pPr>
              <w:spacing w:line="360" w:lineRule="auto"/>
              <w:jc w:val="center"/>
              <w:rPr>
                <w:rFonts w:hint="eastAsia" w:ascii="宋体" w:hAnsi="宋体" w:eastAsia="宋体" w:cs="宋体"/>
                <w:color w:val="auto"/>
                <w:szCs w:val="21"/>
              </w:rPr>
            </w:pPr>
          </w:p>
        </w:tc>
        <w:tc>
          <w:tcPr>
            <w:tcW w:w="2775" w:type="dxa"/>
            <w:noWrap w:val="0"/>
            <w:vAlign w:val="top"/>
          </w:tcPr>
          <w:p>
            <w:pPr>
              <w:spacing w:line="360" w:lineRule="auto"/>
              <w:jc w:val="center"/>
              <w:rPr>
                <w:rFonts w:hint="eastAsia" w:ascii="宋体" w:hAnsi="宋体" w:eastAsia="宋体" w:cs="宋体"/>
                <w:color w:val="auto"/>
                <w:szCs w:val="21"/>
              </w:rPr>
            </w:pPr>
          </w:p>
        </w:tc>
        <w:tc>
          <w:tcPr>
            <w:tcW w:w="1146" w:type="dxa"/>
            <w:noWrap w:val="0"/>
            <w:vAlign w:val="top"/>
          </w:tcPr>
          <w:p>
            <w:pPr>
              <w:spacing w:line="360" w:lineRule="auto"/>
              <w:jc w:val="center"/>
              <w:rPr>
                <w:rFonts w:hint="eastAsia" w:ascii="宋体" w:hAnsi="宋体" w:eastAsia="宋体" w:cs="宋体"/>
                <w:color w:val="auto"/>
                <w:szCs w:val="21"/>
              </w:rPr>
            </w:pPr>
          </w:p>
        </w:tc>
        <w:tc>
          <w:tcPr>
            <w:tcW w:w="2700" w:type="dxa"/>
            <w:noWrap w:val="0"/>
            <w:vAlign w:val="top"/>
          </w:tcPr>
          <w:p>
            <w:pPr>
              <w:spacing w:line="360" w:lineRule="auto"/>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noWrap w:val="0"/>
            <w:vAlign w:val="top"/>
          </w:tcPr>
          <w:p>
            <w:pPr>
              <w:spacing w:line="360" w:lineRule="auto"/>
              <w:jc w:val="center"/>
              <w:rPr>
                <w:rFonts w:hint="eastAsia" w:ascii="宋体" w:hAnsi="宋体" w:eastAsia="宋体" w:cs="宋体"/>
                <w:color w:val="auto"/>
                <w:szCs w:val="21"/>
              </w:rPr>
            </w:pPr>
          </w:p>
        </w:tc>
        <w:tc>
          <w:tcPr>
            <w:tcW w:w="1095" w:type="dxa"/>
            <w:noWrap w:val="0"/>
            <w:vAlign w:val="top"/>
          </w:tcPr>
          <w:p>
            <w:pPr>
              <w:spacing w:line="360" w:lineRule="auto"/>
              <w:jc w:val="center"/>
              <w:rPr>
                <w:rFonts w:hint="eastAsia" w:ascii="宋体" w:hAnsi="宋体" w:eastAsia="宋体" w:cs="宋体"/>
                <w:color w:val="auto"/>
                <w:szCs w:val="21"/>
              </w:rPr>
            </w:pPr>
          </w:p>
        </w:tc>
        <w:tc>
          <w:tcPr>
            <w:tcW w:w="2775" w:type="dxa"/>
            <w:noWrap w:val="0"/>
            <w:vAlign w:val="top"/>
          </w:tcPr>
          <w:p>
            <w:pPr>
              <w:spacing w:line="360" w:lineRule="auto"/>
              <w:jc w:val="center"/>
              <w:rPr>
                <w:rFonts w:hint="eastAsia" w:ascii="宋体" w:hAnsi="宋体" w:eastAsia="宋体" w:cs="宋体"/>
                <w:color w:val="auto"/>
                <w:szCs w:val="21"/>
              </w:rPr>
            </w:pPr>
          </w:p>
        </w:tc>
        <w:tc>
          <w:tcPr>
            <w:tcW w:w="1146" w:type="dxa"/>
            <w:noWrap w:val="0"/>
            <w:vAlign w:val="top"/>
          </w:tcPr>
          <w:p>
            <w:pPr>
              <w:spacing w:line="360" w:lineRule="auto"/>
              <w:jc w:val="center"/>
              <w:rPr>
                <w:rFonts w:hint="eastAsia" w:ascii="宋体" w:hAnsi="宋体" w:eastAsia="宋体" w:cs="宋体"/>
                <w:color w:val="auto"/>
                <w:szCs w:val="21"/>
              </w:rPr>
            </w:pPr>
          </w:p>
        </w:tc>
        <w:tc>
          <w:tcPr>
            <w:tcW w:w="2700" w:type="dxa"/>
            <w:noWrap w:val="0"/>
            <w:vAlign w:val="top"/>
          </w:tcPr>
          <w:p>
            <w:pPr>
              <w:spacing w:line="360" w:lineRule="auto"/>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noWrap w:val="0"/>
            <w:vAlign w:val="top"/>
          </w:tcPr>
          <w:p>
            <w:pPr>
              <w:spacing w:line="360" w:lineRule="auto"/>
              <w:jc w:val="center"/>
              <w:rPr>
                <w:rFonts w:hint="eastAsia" w:ascii="宋体" w:hAnsi="宋体" w:eastAsia="宋体" w:cs="宋体"/>
                <w:color w:val="auto"/>
                <w:szCs w:val="21"/>
              </w:rPr>
            </w:pPr>
          </w:p>
        </w:tc>
        <w:tc>
          <w:tcPr>
            <w:tcW w:w="1095" w:type="dxa"/>
            <w:noWrap w:val="0"/>
            <w:vAlign w:val="top"/>
          </w:tcPr>
          <w:p>
            <w:pPr>
              <w:spacing w:line="360" w:lineRule="auto"/>
              <w:jc w:val="center"/>
              <w:rPr>
                <w:rFonts w:hint="eastAsia" w:ascii="宋体" w:hAnsi="宋体" w:eastAsia="宋体" w:cs="宋体"/>
                <w:color w:val="auto"/>
                <w:szCs w:val="21"/>
              </w:rPr>
            </w:pPr>
          </w:p>
        </w:tc>
        <w:tc>
          <w:tcPr>
            <w:tcW w:w="2775" w:type="dxa"/>
            <w:noWrap w:val="0"/>
            <w:vAlign w:val="top"/>
          </w:tcPr>
          <w:p>
            <w:pPr>
              <w:spacing w:line="360" w:lineRule="auto"/>
              <w:jc w:val="center"/>
              <w:rPr>
                <w:rFonts w:hint="eastAsia" w:ascii="宋体" w:hAnsi="宋体" w:eastAsia="宋体" w:cs="宋体"/>
                <w:color w:val="auto"/>
                <w:szCs w:val="21"/>
              </w:rPr>
            </w:pPr>
          </w:p>
        </w:tc>
        <w:tc>
          <w:tcPr>
            <w:tcW w:w="1146" w:type="dxa"/>
            <w:noWrap w:val="0"/>
            <w:vAlign w:val="top"/>
          </w:tcPr>
          <w:p>
            <w:pPr>
              <w:spacing w:line="360" w:lineRule="auto"/>
              <w:jc w:val="center"/>
              <w:rPr>
                <w:rFonts w:hint="eastAsia" w:ascii="宋体" w:hAnsi="宋体" w:eastAsia="宋体" w:cs="宋体"/>
                <w:color w:val="auto"/>
                <w:szCs w:val="21"/>
              </w:rPr>
            </w:pPr>
          </w:p>
        </w:tc>
        <w:tc>
          <w:tcPr>
            <w:tcW w:w="2700" w:type="dxa"/>
            <w:noWrap w:val="0"/>
            <w:vAlign w:val="top"/>
          </w:tcPr>
          <w:p>
            <w:pPr>
              <w:spacing w:line="360" w:lineRule="auto"/>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noWrap w:val="0"/>
            <w:vAlign w:val="top"/>
          </w:tcPr>
          <w:p>
            <w:pPr>
              <w:spacing w:line="360" w:lineRule="auto"/>
              <w:jc w:val="center"/>
              <w:rPr>
                <w:rFonts w:hint="eastAsia" w:ascii="宋体" w:hAnsi="宋体" w:eastAsia="宋体" w:cs="宋体"/>
                <w:color w:val="auto"/>
                <w:szCs w:val="21"/>
              </w:rPr>
            </w:pPr>
          </w:p>
        </w:tc>
        <w:tc>
          <w:tcPr>
            <w:tcW w:w="1095" w:type="dxa"/>
            <w:noWrap w:val="0"/>
            <w:vAlign w:val="top"/>
          </w:tcPr>
          <w:p>
            <w:pPr>
              <w:spacing w:line="360" w:lineRule="auto"/>
              <w:jc w:val="center"/>
              <w:rPr>
                <w:rFonts w:hint="eastAsia" w:ascii="宋体" w:hAnsi="宋体" w:eastAsia="宋体" w:cs="宋体"/>
                <w:color w:val="auto"/>
                <w:szCs w:val="21"/>
              </w:rPr>
            </w:pPr>
          </w:p>
        </w:tc>
        <w:tc>
          <w:tcPr>
            <w:tcW w:w="2775" w:type="dxa"/>
            <w:noWrap w:val="0"/>
            <w:vAlign w:val="top"/>
          </w:tcPr>
          <w:p>
            <w:pPr>
              <w:spacing w:line="360" w:lineRule="auto"/>
              <w:jc w:val="center"/>
              <w:rPr>
                <w:rFonts w:hint="eastAsia" w:ascii="宋体" w:hAnsi="宋体" w:eastAsia="宋体" w:cs="宋体"/>
                <w:color w:val="auto"/>
                <w:szCs w:val="21"/>
              </w:rPr>
            </w:pPr>
          </w:p>
        </w:tc>
        <w:tc>
          <w:tcPr>
            <w:tcW w:w="1146" w:type="dxa"/>
            <w:noWrap w:val="0"/>
            <w:vAlign w:val="top"/>
          </w:tcPr>
          <w:p>
            <w:pPr>
              <w:spacing w:line="360" w:lineRule="auto"/>
              <w:jc w:val="center"/>
              <w:rPr>
                <w:rFonts w:hint="eastAsia" w:ascii="宋体" w:hAnsi="宋体" w:eastAsia="宋体" w:cs="宋体"/>
                <w:color w:val="auto"/>
                <w:szCs w:val="21"/>
              </w:rPr>
            </w:pPr>
          </w:p>
        </w:tc>
        <w:tc>
          <w:tcPr>
            <w:tcW w:w="2700" w:type="dxa"/>
            <w:noWrap w:val="0"/>
            <w:vAlign w:val="top"/>
          </w:tcPr>
          <w:p>
            <w:pPr>
              <w:spacing w:line="360" w:lineRule="auto"/>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noWrap w:val="0"/>
            <w:vAlign w:val="top"/>
          </w:tcPr>
          <w:p>
            <w:pPr>
              <w:spacing w:line="360" w:lineRule="auto"/>
              <w:jc w:val="center"/>
              <w:rPr>
                <w:rFonts w:hint="eastAsia" w:ascii="宋体" w:hAnsi="宋体" w:eastAsia="宋体" w:cs="宋体"/>
                <w:color w:val="auto"/>
                <w:szCs w:val="21"/>
              </w:rPr>
            </w:pPr>
          </w:p>
        </w:tc>
        <w:tc>
          <w:tcPr>
            <w:tcW w:w="1095" w:type="dxa"/>
            <w:noWrap w:val="0"/>
            <w:vAlign w:val="top"/>
          </w:tcPr>
          <w:p>
            <w:pPr>
              <w:spacing w:line="360" w:lineRule="auto"/>
              <w:jc w:val="center"/>
              <w:rPr>
                <w:rFonts w:hint="eastAsia" w:ascii="宋体" w:hAnsi="宋体" w:eastAsia="宋体" w:cs="宋体"/>
                <w:color w:val="auto"/>
                <w:szCs w:val="21"/>
              </w:rPr>
            </w:pPr>
          </w:p>
        </w:tc>
        <w:tc>
          <w:tcPr>
            <w:tcW w:w="2775" w:type="dxa"/>
            <w:noWrap w:val="0"/>
            <w:vAlign w:val="top"/>
          </w:tcPr>
          <w:p>
            <w:pPr>
              <w:spacing w:line="360" w:lineRule="auto"/>
              <w:jc w:val="center"/>
              <w:rPr>
                <w:rFonts w:hint="eastAsia" w:ascii="宋体" w:hAnsi="宋体" w:eastAsia="宋体" w:cs="宋体"/>
                <w:color w:val="auto"/>
                <w:szCs w:val="21"/>
              </w:rPr>
            </w:pPr>
          </w:p>
        </w:tc>
        <w:tc>
          <w:tcPr>
            <w:tcW w:w="1146" w:type="dxa"/>
            <w:noWrap w:val="0"/>
            <w:vAlign w:val="top"/>
          </w:tcPr>
          <w:p>
            <w:pPr>
              <w:spacing w:line="360" w:lineRule="auto"/>
              <w:jc w:val="center"/>
              <w:rPr>
                <w:rFonts w:hint="eastAsia" w:ascii="宋体" w:hAnsi="宋体" w:eastAsia="宋体" w:cs="宋体"/>
                <w:color w:val="auto"/>
                <w:szCs w:val="21"/>
              </w:rPr>
            </w:pPr>
          </w:p>
        </w:tc>
        <w:tc>
          <w:tcPr>
            <w:tcW w:w="2700" w:type="dxa"/>
            <w:noWrap w:val="0"/>
            <w:vAlign w:val="top"/>
          </w:tcPr>
          <w:p>
            <w:pPr>
              <w:spacing w:line="360" w:lineRule="auto"/>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noWrap w:val="0"/>
            <w:vAlign w:val="top"/>
          </w:tcPr>
          <w:p>
            <w:pPr>
              <w:spacing w:line="360" w:lineRule="auto"/>
              <w:jc w:val="center"/>
              <w:rPr>
                <w:rFonts w:hint="eastAsia" w:ascii="宋体" w:hAnsi="宋体" w:eastAsia="宋体" w:cs="宋体"/>
                <w:color w:val="auto"/>
                <w:szCs w:val="21"/>
              </w:rPr>
            </w:pPr>
          </w:p>
        </w:tc>
        <w:tc>
          <w:tcPr>
            <w:tcW w:w="1095" w:type="dxa"/>
            <w:noWrap w:val="0"/>
            <w:vAlign w:val="top"/>
          </w:tcPr>
          <w:p>
            <w:pPr>
              <w:spacing w:line="360" w:lineRule="auto"/>
              <w:jc w:val="center"/>
              <w:rPr>
                <w:rFonts w:hint="eastAsia" w:ascii="宋体" w:hAnsi="宋体" w:eastAsia="宋体" w:cs="宋体"/>
                <w:color w:val="auto"/>
                <w:szCs w:val="21"/>
              </w:rPr>
            </w:pPr>
          </w:p>
        </w:tc>
        <w:tc>
          <w:tcPr>
            <w:tcW w:w="2775" w:type="dxa"/>
            <w:noWrap w:val="0"/>
            <w:vAlign w:val="top"/>
          </w:tcPr>
          <w:p>
            <w:pPr>
              <w:spacing w:line="360" w:lineRule="auto"/>
              <w:jc w:val="center"/>
              <w:rPr>
                <w:rFonts w:hint="eastAsia" w:ascii="宋体" w:hAnsi="宋体" w:eastAsia="宋体" w:cs="宋体"/>
                <w:color w:val="auto"/>
                <w:szCs w:val="21"/>
              </w:rPr>
            </w:pPr>
          </w:p>
        </w:tc>
        <w:tc>
          <w:tcPr>
            <w:tcW w:w="1146" w:type="dxa"/>
            <w:noWrap w:val="0"/>
            <w:vAlign w:val="top"/>
          </w:tcPr>
          <w:p>
            <w:pPr>
              <w:spacing w:line="360" w:lineRule="auto"/>
              <w:jc w:val="center"/>
              <w:rPr>
                <w:rFonts w:hint="eastAsia" w:ascii="宋体" w:hAnsi="宋体" w:eastAsia="宋体" w:cs="宋体"/>
                <w:color w:val="auto"/>
                <w:szCs w:val="21"/>
              </w:rPr>
            </w:pPr>
          </w:p>
        </w:tc>
        <w:tc>
          <w:tcPr>
            <w:tcW w:w="2700" w:type="dxa"/>
            <w:noWrap w:val="0"/>
            <w:vAlign w:val="top"/>
          </w:tcPr>
          <w:p>
            <w:pPr>
              <w:spacing w:line="360" w:lineRule="auto"/>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noWrap w:val="0"/>
            <w:vAlign w:val="top"/>
          </w:tcPr>
          <w:p>
            <w:pPr>
              <w:spacing w:line="360" w:lineRule="auto"/>
              <w:jc w:val="center"/>
              <w:rPr>
                <w:rFonts w:hint="eastAsia" w:ascii="宋体" w:hAnsi="宋体" w:eastAsia="宋体" w:cs="宋体"/>
                <w:color w:val="auto"/>
                <w:szCs w:val="21"/>
              </w:rPr>
            </w:pPr>
          </w:p>
        </w:tc>
        <w:tc>
          <w:tcPr>
            <w:tcW w:w="1095" w:type="dxa"/>
            <w:noWrap w:val="0"/>
            <w:vAlign w:val="top"/>
          </w:tcPr>
          <w:p>
            <w:pPr>
              <w:spacing w:line="360" w:lineRule="auto"/>
              <w:jc w:val="center"/>
              <w:rPr>
                <w:rFonts w:hint="eastAsia" w:ascii="宋体" w:hAnsi="宋体" w:eastAsia="宋体" w:cs="宋体"/>
                <w:color w:val="auto"/>
                <w:szCs w:val="21"/>
              </w:rPr>
            </w:pPr>
          </w:p>
        </w:tc>
        <w:tc>
          <w:tcPr>
            <w:tcW w:w="2775" w:type="dxa"/>
            <w:noWrap w:val="0"/>
            <w:vAlign w:val="top"/>
          </w:tcPr>
          <w:p>
            <w:pPr>
              <w:spacing w:line="360" w:lineRule="auto"/>
              <w:jc w:val="center"/>
              <w:rPr>
                <w:rFonts w:hint="eastAsia" w:ascii="宋体" w:hAnsi="宋体" w:eastAsia="宋体" w:cs="宋体"/>
                <w:color w:val="auto"/>
                <w:szCs w:val="21"/>
              </w:rPr>
            </w:pPr>
          </w:p>
        </w:tc>
        <w:tc>
          <w:tcPr>
            <w:tcW w:w="1146" w:type="dxa"/>
            <w:noWrap w:val="0"/>
            <w:vAlign w:val="top"/>
          </w:tcPr>
          <w:p>
            <w:pPr>
              <w:spacing w:line="360" w:lineRule="auto"/>
              <w:jc w:val="center"/>
              <w:rPr>
                <w:rFonts w:hint="eastAsia" w:ascii="宋体" w:hAnsi="宋体" w:eastAsia="宋体" w:cs="宋体"/>
                <w:color w:val="auto"/>
                <w:szCs w:val="21"/>
              </w:rPr>
            </w:pPr>
          </w:p>
        </w:tc>
        <w:tc>
          <w:tcPr>
            <w:tcW w:w="2700" w:type="dxa"/>
            <w:noWrap w:val="0"/>
            <w:vAlign w:val="top"/>
          </w:tcPr>
          <w:p>
            <w:pPr>
              <w:spacing w:line="360" w:lineRule="auto"/>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9" w:type="dxa"/>
            <w:noWrap w:val="0"/>
            <w:vAlign w:val="top"/>
          </w:tcPr>
          <w:p>
            <w:pPr>
              <w:spacing w:line="360" w:lineRule="auto"/>
              <w:jc w:val="center"/>
              <w:rPr>
                <w:rFonts w:hint="eastAsia" w:ascii="宋体" w:hAnsi="宋体" w:eastAsia="宋体" w:cs="宋体"/>
                <w:color w:val="auto"/>
                <w:szCs w:val="21"/>
              </w:rPr>
            </w:pPr>
          </w:p>
        </w:tc>
        <w:tc>
          <w:tcPr>
            <w:tcW w:w="1095" w:type="dxa"/>
            <w:noWrap w:val="0"/>
            <w:vAlign w:val="top"/>
          </w:tcPr>
          <w:p>
            <w:pPr>
              <w:spacing w:line="360" w:lineRule="auto"/>
              <w:jc w:val="center"/>
              <w:rPr>
                <w:rFonts w:hint="eastAsia" w:ascii="宋体" w:hAnsi="宋体" w:eastAsia="宋体" w:cs="宋体"/>
                <w:color w:val="auto"/>
                <w:szCs w:val="21"/>
              </w:rPr>
            </w:pPr>
          </w:p>
        </w:tc>
        <w:tc>
          <w:tcPr>
            <w:tcW w:w="2775" w:type="dxa"/>
            <w:noWrap w:val="0"/>
            <w:vAlign w:val="top"/>
          </w:tcPr>
          <w:p>
            <w:pPr>
              <w:spacing w:line="360" w:lineRule="auto"/>
              <w:jc w:val="center"/>
              <w:rPr>
                <w:rFonts w:hint="eastAsia" w:ascii="宋体" w:hAnsi="宋体" w:eastAsia="宋体" w:cs="宋体"/>
                <w:color w:val="auto"/>
                <w:szCs w:val="21"/>
              </w:rPr>
            </w:pPr>
          </w:p>
        </w:tc>
        <w:tc>
          <w:tcPr>
            <w:tcW w:w="1146" w:type="dxa"/>
            <w:noWrap w:val="0"/>
            <w:vAlign w:val="top"/>
          </w:tcPr>
          <w:p>
            <w:pPr>
              <w:spacing w:line="360" w:lineRule="auto"/>
              <w:jc w:val="center"/>
              <w:rPr>
                <w:rFonts w:hint="eastAsia" w:ascii="宋体" w:hAnsi="宋体" w:eastAsia="宋体" w:cs="宋体"/>
                <w:color w:val="auto"/>
                <w:szCs w:val="21"/>
              </w:rPr>
            </w:pPr>
          </w:p>
        </w:tc>
        <w:tc>
          <w:tcPr>
            <w:tcW w:w="2700" w:type="dxa"/>
            <w:noWrap w:val="0"/>
            <w:vAlign w:val="top"/>
          </w:tcPr>
          <w:p>
            <w:pPr>
              <w:spacing w:line="360" w:lineRule="auto"/>
              <w:jc w:val="center"/>
              <w:rPr>
                <w:rFonts w:hint="eastAsia" w:ascii="宋体" w:hAnsi="宋体" w:eastAsia="宋体" w:cs="宋体"/>
                <w:color w:val="auto"/>
                <w:szCs w:val="21"/>
              </w:rPr>
            </w:pPr>
          </w:p>
        </w:tc>
      </w:tr>
    </w:tbl>
    <w:p>
      <w:pPr>
        <w:pStyle w:val="4"/>
        <w:bidi w:val="0"/>
        <w:rPr>
          <w:rFonts w:hint="eastAsia" w:ascii="宋体" w:hAnsi="宋体" w:eastAsia="宋体" w:cs="宋体"/>
        </w:rPr>
      </w:pPr>
      <w:bookmarkStart w:id="54" w:name="_Toc282420857"/>
      <w:bookmarkStart w:id="55" w:name="_Toc5453"/>
      <w:bookmarkStart w:id="56" w:name="_Toc447006388"/>
      <w:bookmarkStart w:id="57" w:name="_Toc4540"/>
      <w:bookmarkStart w:id="58" w:name="_Toc287602850"/>
      <w:bookmarkStart w:id="59" w:name="_Toc3568"/>
      <w:bookmarkStart w:id="60" w:name="_Toc282421446"/>
      <w:bookmarkStart w:id="61" w:name="_Toc399627558"/>
      <w:bookmarkStart w:id="62" w:name="_Toc3862"/>
      <w:r>
        <w:rPr>
          <w:rFonts w:hint="eastAsia" w:ascii="宋体" w:hAnsi="宋体" w:eastAsia="宋体" w:cs="宋体"/>
        </w:rPr>
        <w:t>投标方需说明的其他问题</w:t>
      </w:r>
      <w:bookmarkEnd w:id="54"/>
      <w:bookmarkEnd w:id="55"/>
      <w:bookmarkEnd w:id="56"/>
      <w:bookmarkEnd w:id="57"/>
      <w:bookmarkEnd w:id="58"/>
      <w:bookmarkEnd w:id="59"/>
      <w:bookmarkEnd w:id="60"/>
      <w:bookmarkEnd w:id="61"/>
      <w:bookmarkEnd w:id="62"/>
    </w:p>
    <w:p>
      <w:pPr>
        <w:pStyle w:val="16"/>
        <w:adjustRightInd w:val="0"/>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如有需说明的其他问题，投标方应通过书面形式提交，并加盖公章。</w:t>
      </w:r>
    </w:p>
    <w:sectPr>
      <w:footerReference r:id="rId5" w:type="default"/>
      <w:pgSz w:w="11906" w:h="16838"/>
      <w:pgMar w:top="936" w:right="1797" w:bottom="1247" w:left="1797" w:header="851" w:footer="737" w:gutter="0"/>
      <w:pgNumType w:start="1"/>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体">
    <w:altName w:val="仿宋"/>
    <w:panose1 w:val="00000000000000000000"/>
    <w:charset w:val="00"/>
    <w:family w:val="auto"/>
    <w:pitch w:val="default"/>
    <w:sig w:usb0="00000000" w:usb1="00000000" w:usb2="00000000" w:usb3="00000000" w:csb0="00040001" w:csb1="00000000"/>
  </w:font>
  <w:font w:name="方正书宋简体">
    <w:altName w:val="宋体"/>
    <w:panose1 w:val="00000000000000000000"/>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4"/>
      </w:rPr>
    </w:pPr>
    <w:r>
      <w:fldChar w:fldCharType="begin"/>
    </w:r>
    <w:r>
      <w:rPr>
        <w:rStyle w:val="14"/>
      </w:rPr>
      <w:instrText xml:space="preserve">PAGE  </w:instrText>
    </w:r>
    <w:r>
      <w:fldChar w:fldCharType="separate"/>
    </w:r>
    <w:r>
      <w:rPr>
        <w:rStyle w:val="14"/>
      </w:rPr>
      <w:t>2</w:t>
    </w:r>
    <w:r>
      <w:fldChar w:fldCharType="end"/>
    </w:r>
  </w:p>
  <w:p>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5623D8"/>
    <w:multiLevelType w:val="multilevel"/>
    <w:tmpl w:val="685623D8"/>
    <w:lvl w:ilvl="0" w:tentative="0">
      <w:start w:val="1"/>
      <w:numFmt w:val="decimal"/>
      <w:pStyle w:val="4"/>
      <w:lvlText w:val="%1."/>
      <w:lvlJc w:val="left"/>
      <w:pPr>
        <w:ind w:left="425" w:hanging="425"/>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1F1C6C"/>
    <w:rsid w:val="000F1646"/>
    <w:rsid w:val="008A1F9A"/>
    <w:rsid w:val="00AB17A5"/>
    <w:rsid w:val="00EB0B1C"/>
    <w:rsid w:val="017C43EA"/>
    <w:rsid w:val="01E16C73"/>
    <w:rsid w:val="02147175"/>
    <w:rsid w:val="055E1964"/>
    <w:rsid w:val="05F32BCE"/>
    <w:rsid w:val="084A08F3"/>
    <w:rsid w:val="0A560736"/>
    <w:rsid w:val="0CB240EA"/>
    <w:rsid w:val="0CDC5C3A"/>
    <w:rsid w:val="0D1A65C8"/>
    <w:rsid w:val="0E5C209B"/>
    <w:rsid w:val="0F420B2B"/>
    <w:rsid w:val="0F745A19"/>
    <w:rsid w:val="0FFE3F96"/>
    <w:rsid w:val="11E15554"/>
    <w:rsid w:val="12576EF8"/>
    <w:rsid w:val="16CC7185"/>
    <w:rsid w:val="198B0485"/>
    <w:rsid w:val="1DDC1FFC"/>
    <w:rsid w:val="1E4271B9"/>
    <w:rsid w:val="203647FC"/>
    <w:rsid w:val="20937A29"/>
    <w:rsid w:val="20F84124"/>
    <w:rsid w:val="22E34B69"/>
    <w:rsid w:val="23A12184"/>
    <w:rsid w:val="24F61130"/>
    <w:rsid w:val="26C51AE4"/>
    <w:rsid w:val="26E553D0"/>
    <w:rsid w:val="296242E5"/>
    <w:rsid w:val="2A3435AA"/>
    <w:rsid w:val="2AE75E6D"/>
    <w:rsid w:val="2BD36062"/>
    <w:rsid w:val="2FD52DD6"/>
    <w:rsid w:val="303E2CDC"/>
    <w:rsid w:val="30EE4C54"/>
    <w:rsid w:val="31416701"/>
    <w:rsid w:val="31AD6078"/>
    <w:rsid w:val="31E227D1"/>
    <w:rsid w:val="331902AD"/>
    <w:rsid w:val="333C43D6"/>
    <w:rsid w:val="341D4D7D"/>
    <w:rsid w:val="34DA60FB"/>
    <w:rsid w:val="368F619D"/>
    <w:rsid w:val="36916895"/>
    <w:rsid w:val="3A8F2D15"/>
    <w:rsid w:val="3C0C6425"/>
    <w:rsid w:val="3D633DD7"/>
    <w:rsid w:val="3DAE1A1E"/>
    <w:rsid w:val="3E3C66B2"/>
    <w:rsid w:val="3F68575B"/>
    <w:rsid w:val="40561C52"/>
    <w:rsid w:val="407B32C9"/>
    <w:rsid w:val="40DE70FA"/>
    <w:rsid w:val="412932AC"/>
    <w:rsid w:val="41374001"/>
    <w:rsid w:val="42DE0A30"/>
    <w:rsid w:val="42EA58B9"/>
    <w:rsid w:val="44390059"/>
    <w:rsid w:val="45947770"/>
    <w:rsid w:val="463C38BA"/>
    <w:rsid w:val="46BC111E"/>
    <w:rsid w:val="46D02A05"/>
    <w:rsid w:val="482B54C2"/>
    <w:rsid w:val="4ACB6ABC"/>
    <w:rsid w:val="4B220184"/>
    <w:rsid w:val="4CF33058"/>
    <w:rsid w:val="4D07739D"/>
    <w:rsid w:val="52451A8E"/>
    <w:rsid w:val="536D33FB"/>
    <w:rsid w:val="542A2224"/>
    <w:rsid w:val="54E72F02"/>
    <w:rsid w:val="58D84B44"/>
    <w:rsid w:val="5A8C74A3"/>
    <w:rsid w:val="5A9357A7"/>
    <w:rsid w:val="5B6A0D7C"/>
    <w:rsid w:val="5BFF750D"/>
    <w:rsid w:val="5C6D4330"/>
    <w:rsid w:val="5D060FF3"/>
    <w:rsid w:val="5D832B97"/>
    <w:rsid w:val="5D9976D2"/>
    <w:rsid w:val="5EE439EE"/>
    <w:rsid w:val="601B6B3F"/>
    <w:rsid w:val="6188665E"/>
    <w:rsid w:val="62042F91"/>
    <w:rsid w:val="64145C3D"/>
    <w:rsid w:val="64D11BB4"/>
    <w:rsid w:val="67801AE8"/>
    <w:rsid w:val="679E7998"/>
    <w:rsid w:val="68493C2B"/>
    <w:rsid w:val="685D4FC4"/>
    <w:rsid w:val="69455E58"/>
    <w:rsid w:val="6A6626FF"/>
    <w:rsid w:val="6A881752"/>
    <w:rsid w:val="6B1F1C6C"/>
    <w:rsid w:val="6B2421EF"/>
    <w:rsid w:val="6B3233DF"/>
    <w:rsid w:val="6B814C95"/>
    <w:rsid w:val="6BBE09FD"/>
    <w:rsid w:val="6C72708A"/>
    <w:rsid w:val="6F012727"/>
    <w:rsid w:val="72261FD8"/>
    <w:rsid w:val="72532C2C"/>
    <w:rsid w:val="732E4E5F"/>
    <w:rsid w:val="753722C2"/>
    <w:rsid w:val="753913DE"/>
    <w:rsid w:val="762479B1"/>
    <w:rsid w:val="785F7734"/>
    <w:rsid w:val="79584D96"/>
    <w:rsid w:val="799B610F"/>
    <w:rsid w:val="7A551959"/>
    <w:rsid w:val="7BEB3490"/>
    <w:rsid w:val="7C002ABC"/>
    <w:rsid w:val="7C9F0761"/>
    <w:rsid w:val="7FDE3B6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numPr>
        <w:ilvl w:val="0"/>
        <w:numId w:val="0"/>
      </w:numPr>
      <w:spacing w:line="480" w:lineRule="atLeast"/>
      <w:ind w:left="0" w:firstLine="560" w:firstLineChars="200"/>
      <w:jc w:val="both"/>
    </w:pPr>
    <w:rPr>
      <w:rFonts w:ascii="Times New Roman" w:hAnsi="Times New Roman" w:eastAsia="宋体" w:cs="Times New Roman"/>
      <w:kern w:val="2"/>
      <w:sz w:val="24"/>
      <w:szCs w:val="24"/>
      <w:lang w:val="en-US" w:eastAsia="zh-CN" w:bidi="ar-SA"/>
    </w:rPr>
  </w:style>
  <w:style w:type="paragraph" w:styleId="4">
    <w:name w:val="heading 1"/>
    <w:basedOn w:val="1"/>
    <w:next w:val="1"/>
    <w:qFormat/>
    <w:uiPriority w:val="0"/>
    <w:pPr>
      <w:keepNext/>
      <w:widowControl/>
      <w:numPr>
        <w:numId w:val="1"/>
      </w:numPr>
      <w:overflowPunct w:val="0"/>
      <w:autoSpaceDE w:val="0"/>
      <w:autoSpaceDN w:val="0"/>
      <w:adjustRightInd w:val="0"/>
      <w:spacing w:before="240" w:after="60" w:line="480" w:lineRule="atLeast"/>
      <w:ind w:left="0" w:firstLine="0" w:firstLineChars="0"/>
      <w:jc w:val="left"/>
      <w:textAlignment w:val="baseline"/>
      <w:outlineLvl w:val="0"/>
    </w:pPr>
    <w:rPr>
      <w:rFonts w:ascii="仿宋体" w:hAnsi="仿宋体"/>
      <w:b/>
      <w:kern w:val="28"/>
      <w:sz w:val="28"/>
      <w:szCs w:val="20"/>
    </w:rPr>
  </w:style>
  <w:style w:type="paragraph" w:styleId="5">
    <w:name w:val="heading 2"/>
    <w:basedOn w:val="1"/>
    <w:next w:val="1"/>
    <w:unhideWhenUsed/>
    <w:qFormat/>
    <w:uiPriority w:val="0"/>
    <w:pPr>
      <w:keepNext/>
      <w:widowControl/>
      <w:overflowPunct w:val="0"/>
      <w:autoSpaceDE w:val="0"/>
      <w:autoSpaceDN w:val="0"/>
      <w:adjustRightInd w:val="0"/>
      <w:spacing w:line="480" w:lineRule="atLeast"/>
      <w:ind w:left="0" w:right="0" w:firstLine="0" w:firstLineChars="0"/>
      <w:jc w:val="left"/>
      <w:textAlignment w:val="baseline"/>
      <w:outlineLvl w:val="1"/>
    </w:pPr>
    <w:rPr>
      <w:rFonts w:ascii="宋体" w:hAnsi="宋体"/>
      <w:b/>
      <w:kern w:val="0"/>
      <w:sz w:val="28"/>
      <w:szCs w:val="20"/>
    </w:rPr>
  </w:style>
  <w:style w:type="paragraph" w:styleId="6">
    <w:name w:val="heading 3"/>
    <w:basedOn w:val="1"/>
    <w:next w:val="1"/>
    <w:unhideWhenUsed/>
    <w:qFormat/>
    <w:uiPriority w:val="0"/>
    <w:pPr>
      <w:keepNext/>
      <w:keepLines/>
      <w:spacing w:beforeLines="0" w:beforeAutospacing="0" w:afterLines="0" w:afterAutospacing="0" w:line="480" w:lineRule="atLeast"/>
      <w:ind w:firstLine="0" w:firstLineChars="0"/>
      <w:outlineLvl w:val="2"/>
    </w:pPr>
    <w:rPr>
      <w:b/>
      <w:sz w:val="28"/>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10"/>
    <w:pPr>
      <w:snapToGrid w:val="0"/>
      <w:spacing w:line="240" w:lineRule="atLeast"/>
      <w:ind w:right="241" w:firstLine="964"/>
      <w:jc w:val="center"/>
    </w:pPr>
    <w:rPr>
      <w:rFonts w:ascii="黑体" w:hAnsi="黑体" w:eastAsia="黑体"/>
      <w:b/>
      <w:sz w:val="48"/>
      <w:szCs w:val="48"/>
    </w:rPr>
  </w:style>
  <w:style w:type="paragraph" w:styleId="7">
    <w:name w:val="Normal Indent"/>
    <w:basedOn w:val="1"/>
    <w:qFormat/>
    <w:uiPriority w:val="0"/>
    <w:pPr>
      <w:ind w:firstLine="420" w:firstLineChars="200"/>
    </w:pPr>
  </w:style>
  <w:style w:type="paragraph" w:styleId="8">
    <w:name w:val="toc 3"/>
    <w:basedOn w:val="1"/>
    <w:next w:val="1"/>
    <w:qFormat/>
    <w:uiPriority w:val="0"/>
    <w:pPr>
      <w:ind w:left="0" w:leftChars="0"/>
    </w:pPr>
    <w:rPr>
      <w:sz w:val="24"/>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toc 1"/>
    <w:basedOn w:val="1"/>
    <w:next w:val="1"/>
    <w:qFormat/>
    <w:uiPriority w:val="0"/>
    <w:pPr>
      <w:ind w:firstLine="0" w:firstLineChars="0"/>
    </w:pPr>
  </w:style>
  <w:style w:type="paragraph" w:styleId="11">
    <w:name w:val="toc 2"/>
    <w:basedOn w:val="1"/>
    <w:next w:val="1"/>
    <w:qFormat/>
    <w:uiPriority w:val="0"/>
    <w:pPr>
      <w:ind w:left="0" w:leftChars="0" w:firstLine="240" w:firstLineChars="100"/>
    </w:pPr>
  </w:style>
  <w:style w:type="character" w:styleId="14">
    <w:name w:val="page number"/>
    <w:basedOn w:val="13"/>
    <w:qFormat/>
    <w:uiPriority w:val="0"/>
  </w:style>
  <w:style w:type="character" w:styleId="15">
    <w:name w:val="Hyperlink"/>
    <w:qFormat/>
    <w:uiPriority w:val="0"/>
    <w:rPr>
      <w:color w:val="0563C1"/>
      <w:u w:val="single"/>
    </w:rPr>
  </w:style>
  <w:style w:type="paragraph" w:customStyle="1" w:styleId="16">
    <w:name w:val="首行缩进"/>
    <w:basedOn w:val="1"/>
    <w:qFormat/>
    <w:uiPriority w:val="0"/>
    <w:pPr>
      <w:spacing w:line="300" w:lineRule="auto"/>
      <w:ind w:firstLine="420" w:firstLineChars="200"/>
    </w:pPr>
    <w:rPr>
      <w:rFonts w:eastAsia="方正书宋简体" w:cs="宋体"/>
      <w:szCs w:val="20"/>
    </w:rPr>
  </w:style>
  <w:style w:type="paragraph" w:customStyle="1" w:styleId="17">
    <w:name w:val="WPSOffice手动目录 1"/>
    <w:qFormat/>
    <w:uiPriority w:val="0"/>
    <w:pPr>
      <w:ind w:leftChars="0"/>
    </w:pPr>
    <w:rPr>
      <w:rFonts w:ascii="Times New Roman" w:hAnsi="Times New Roman" w:eastAsia="宋体" w:cs="Times New Roman"/>
      <w:sz w:val="20"/>
      <w:szCs w:val="20"/>
    </w:rPr>
  </w:style>
  <w:style w:type="paragraph" w:customStyle="1" w:styleId="18">
    <w:name w:val="WPSOffice手动目录 2"/>
    <w:qFormat/>
    <w:uiPriority w:val="0"/>
    <w:pPr>
      <w:ind w:leftChars="200"/>
    </w:pPr>
    <w:rPr>
      <w:rFonts w:ascii="Times New Roman" w:hAnsi="Times New Roman" w:eastAsia="宋体" w:cs="Times New Roman"/>
      <w:sz w:val="20"/>
      <w:szCs w:val="20"/>
    </w:rPr>
  </w:style>
  <w:style w:type="paragraph" w:customStyle="1" w:styleId="19">
    <w:name w:val="WPSOffice手动目录 3"/>
    <w:qFormat/>
    <w:uiPriority w:val="0"/>
    <w:pPr>
      <w:ind w:leftChars="400"/>
    </w:pPr>
    <w:rPr>
      <w:rFonts w:ascii="Times New Roman" w:hAnsi="Times New Roman" w:eastAsia="宋体" w:cs="Times New Roman"/>
      <w:sz w:val="20"/>
      <w:szCs w:val="20"/>
    </w:rPr>
  </w:style>
  <w:style w:type="paragraph" w:customStyle="1" w:styleId="20">
    <w:name w:val="封面“EPC联合体”中文文字"/>
    <w:basedOn w:val="1"/>
    <w:semiHidden/>
    <w:qFormat/>
    <w:uiPriority w:val="0"/>
    <w:pPr>
      <w:ind w:firstLine="0" w:firstLineChars="0"/>
      <w:jc w:val="center"/>
    </w:pPr>
    <w:rPr>
      <w:rFonts w:hAnsi="宋体"/>
      <w:b/>
      <w:sz w:val="32"/>
      <w:szCs w:val="32"/>
    </w:rPr>
  </w:style>
  <w:style w:type="paragraph" w:styleId="21">
    <w:name w:val="List Paragraph"/>
    <w:basedOn w:val="1"/>
    <w:qFormat/>
    <w:uiPriority w:val="34"/>
    <w:pPr>
      <w:ind w:firstLine="420" w:firstLineChars="200"/>
    </w:pPr>
    <w:rPr>
      <w:rFonts w:ascii="等线" w:hAnsi="等线" w:eastAsia="等线" w:cs="Times New Roma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96</Words>
  <Characters>108</Characters>
  <Lines>0</Lines>
  <Paragraphs>0</Paragraphs>
  <TotalTime>3</TotalTime>
  <ScaleCrop>false</ScaleCrop>
  <LinksUpToDate>false</LinksUpToDate>
  <CharactersWithSpaces>123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2018-01-26T06:12:00Z</dcterms:created>
  <dc:creator>zhangguodong</dc:creator>
  <cp:lastModifiedBy>66C8CC79770D425886D0C3013C15B060</cp:lastModifiedBy>
  <dcterms:modified xsi:type="dcterms:W3CDTF">2025-12-18T09:20:23Z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ECA812F0D95D4A23863F4DCA7D0E2706</vt:lpwstr>
  </property>
  <property fmtid="{D5CDD505-2E9C-101B-9397-08002B2CF9AE}" pid="4" name="KSOTemplateDocerSaveRecord">
    <vt:lpwstr>eyJoZGlkIjoiMDk0YjEzNmEwOTBiYzY0MjQ0ODBhYmVhMTBkZDk2ZTkiLCJ1c2VySWQiOiI0NzcwNTIwNDMifQ==</vt:lpwstr>
  </property>
</Properties>
</file>