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110千伏松园（嘉禾望岗）输变电工程（电气分册）监理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3"/>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shd w:val="clear" w:color="auto" w:fill="auto"/>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shd w:val="clear" w:color="auto" w:fill="auto"/>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穗发改核准〔2023〕22号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资纪〔2025〕69号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广州市白云区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合同签订之日起至2027年12月31日，实际工期以开工报告、竣工报告为准。</w:t>
            </w:r>
          </w:p>
        </w:tc>
      </w:tr>
    </w:tbl>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宋体" w:cstheme="minorEastAsia"/>
          <w:b/>
          <w:sz w:val="24"/>
          <w:szCs w:val="24"/>
          <w:highlight w:val="none"/>
        </w:rPr>
      </w:pPr>
      <w:r>
        <w:rPr>
          <w:rFonts w:hint="eastAsia" w:ascii="Times New Roman" w:hAnsi="Times New Roman" w:eastAsia="宋体" w:cstheme="minorEastAsia"/>
          <w:b/>
          <w:sz w:val="24"/>
          <w:szCs w:val="24"/>
          <w:highlight w:val="none"/>
        </w:rPr>
        <w:t>※变电部分</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1、110kV松园（嘉禾望岗）变电站工程（电气分册）：本期新建主变压器2×63MVA，110kV出线2回，10kV出线32回，无功补偿4×6012kVar；远期主变压器3×63MVA，110kV出线3回，10kV出线48回，无功补偿4×6012kVar。</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对侧220kV梨园站扩建工程（松园对侧）：对侧220kV梨园站扩建1个110kV GIS电缆出线间隔，并完成电缆接入</w:t>
      </w:r>
      <w:r>
        <w:rPr>
          <w:rFonts w:hint="eastAsia" w:ascii="Times New Roman" w:hAnsi="Times New Roman" w:cstheme="minorEastAsia"/>
          <w:color w:val="auto"/>
          <w:sz w:val="24"/>
          <w:lang w:val="en-US" w:eastAsia="zh-CN"/>
        </w:rPr>
        <w:t>。</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宋体" w:cstheme="minorEastAsia"/>
          <w:b/>
          <w:sz w:val="24"/>
          <w:szCs w:val="24"/>
          <w:highlight w:val="none"/>
        </w:rPr>
      </w:pPr>
      <w:r>
        <w:rPr>
          <w:rFonts w:hint="eastAsia" w:ascii="Times New Roman" w:hAnsi="Times New Roman" w:eastAsia="宋体" w:cstheme="minorEastAsia"/>
          <w:b/>
          <w:sz w:val="24"/>
          <w:szCs w:val="24"/>
          <w:highlight w:val="none"/>
        </w:rPr>
        <w:t>※线路部分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heme="minorEastAsia"/>
          <w:bCs/>
          <w:sz w:val="24"/>
          <w:szCs w:val="24"/>
          <w:highlight w:val="none"/>
        </w:rPr>
      </w:pPr>
      <w:r>
        <w:rPr>
          <w:rFonts w:hint="eastAsia" w:ascii="Times New Roman" w:hAnsi="Times New Roman" w:eastAsia="宋体" w:cstheme="minorEastAsia"/>
          <w:bCs/>
          <w:sz w:val="24"/>
          <w:szCs w:val="24"/>
          <w:highlight w:val="none"/>
        </w:rPr>
        <w:t>1、110kV梨园至松园电缆线路工程：</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heme="minorEastAsia"/>
          <w:bCs/>
          <w:sz w:val="24"/>
          <w:szCs w:val="24"/>
          <w:highlight w:val="none"/>
        </w:rPr>
      </w:pPr>
      <w:r>
        <w:rPr>
          <w:rFonts w:hint="eastAsia" w:ascii="Times New Roman" w:hAnsi="Times New Roman" w:eastAsia="宋体" w:cstheme="minorEastAsia"/>
          <w:bCs/>
          <w:sz w:val="24"/>
          <w:szCs w:val="24"/>
          <w:highlight w:val="none"/>
        </w:rPr>
        <w:t>（1）新建110千伏梨园至松园单回电缆线路工程，新建单回电缆线路路径长1×1.65km，电缆型号：YJLW03-Z 64/110 1×1200。</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Theme="minorEastAsia" w:cstheme="minorEastAsia"/>
          <w:bCs/>
          <w:sz w:val="24"/>
          <w:szCs w:val="24"/>
          <w:highlight w:val="none"/>
        </w:rPr>
      </w:pPr>
      <w:r>
        <w:rPr>
          <w:rFonts w:hint="eastAsia" w:ascii="Times New Roman" w:hAnsi="Times New Roman" w:eastAsia="宋体" w:cstheme="minorEastAsia"/>
          <w:bCs/>
          <w:sz w:val="24"/>
          <w:szCs w:val="24"/>
          <w:highlight w:val="none"/>
        </w:rPr>
        <w:t xml:space="preserve">（2）新建110 千伏梨园-文武#2线路单回T接进松园站电缆线路工程，新建单回电缆线路路径长1×3.37km，电缆型号：YJLW02-Z 64/110 1×1200（隧道内）、YJLW03-Z 64/110 1×1200（隧道外）。 </w:t>
      </w:r>
      <w:r>
        <w:rPr>
          <w:rFonts w:hint="eastAsia" w:ascii="Times New Roman" w:hAnsi="Times New Roman" w:eastAsiaTheme="minorEastAsia" w:cstheme="minorEastAsia"/>
          <w:bCs/>
          <w:sz w:val="24"/>
          <w:szCs w:val="24"/>
          <w:highlight w:val="none"/>
        </w:rPr>
        <w:t xml:space="preserve"> </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Theme="minorEastAsia" w:cstheme="minorEastAsia"/>
          <w:b/>
          <w:sz w:val="24"/>
          <w:szCs w:val="24"/>
          <w:highlight w:val="none"/>
        </w:rPr>
      </w:pPr>
      <w:r>
        <w:rPr>
          <w:rFonts w:hint="eastAsia" w:ascii="Times New Roman" w:hAnsi="Times New Roman" w:eastAsiaTheme="minorEastAsia" w:cstheme="minorEastAsia"/>
          <w:b/>
          <w:sz w:val="24"/>
          <w:szCs w:val="24"/>
          <w:highlight w:val="none"/>
        </w:rPr>
        <w:t>※</w:t>
      </w:r>
      <w:r>
        <w:rPr>
          <w:rFonts w:hint="eastAsia" w:ascii="Times New Roman" w:hAnsi="Times New Roman" w:eastAsiaTheme="minorEastAsia" w:cstheme="minorEastAsia"/>
          <w:b/>
          <w:sz w:val="24"/>
          <w:szCs w:val="24"/>
          <w:highlight w:val="none"/>
          <w:lang w:eastAsia="zh-CN"/>
        </w:rPr>
        <w:t>通信</w:t>
      </w:r>
      <w:r>
        <w:rPr>
          <w:rFonts w:hint="eastAsia" w:ascii="Times New Roman" w:hAnsi="Times New Roman" w:eastAsiaTheme="minorEastAsia" w:cstheme="minorEastAsia"/>
          <w:b/>
          <w:sz w:val="24"/>
          <w:szCs w:val="24"/>
          <w:highlight w:val="none"/>
        </w:rPr>
        <w:t>部分</w:t>
      </w:r>
    </w:p>
    <w:p>
      <w:pPr>
        <w:pStyle w:val="6"/>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1、配套通信设备工程：本期建设110kV松园变电站站内光纤通信设备及对侧站板卡。</w:t>
      </w:r>
    </w:p>
    <w:p>
      <w:pPr>
        <w:pStyle w:val="6"/>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2、配套管道光缆工程：</w:t>
      </w:r>
    </w:p>
    <w:p>
      <w:pPr>
        <w:pStyle w:val="6"/>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（1）随松园到梨园电缆线路同路径敷设松园站-梨园站2条48芯管道光缆，长度约2×2.3km（含两端入站长度）。</w:t>
      </w:r>
    </w:p>
    <w:p>
      <w:pPr>
        <w:pStyle w:val="6"/>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color w:val="auto"/>
          <w:sz w:val="24"/>
          <w:lang w:val="en-US" w:eastAsia="zh-CN"/>
        </w:rPr>
      </w:pPr>
      <w:r>
        <w:rPr>
          <w:rFonts w:hint="eastAsia" w:ascii="Times New Roman" w:hAnsi="Times New Roman" w:eastAsiaTheme="minorEastAsia" w:cstheme="minorEastAsia"/>
          <w:color w:val="auto"/>
          <w:sz w:val="24"/>
          <w:lang w:val="en-US" w:eastAsia="zh-CN"/>
        </w:rPr>
        <w:t>（2）随松园T接规划新建的梨园-文武#2线路，新建1条松园站-Z3接头井48芯管道光缆，长度约2.1km（含松园站入站长度）</w:t>
      </w:r>
      <w:r>
        <w:rPr>
          <w:rFonts w:hint="eastAsia" w:ascii="Times New Roman" w:hAnsi="Times New Roman"/>
          <w:color w:val="auto"/>
          <w:sz w:val="24"/>
          <w:lang w:val="en-US" w:eastAsia="zh-CN"/>
        </w:rPr>
        <w:t>。</w:t>
      </w:r>
    </w:p>
    <w:p>
      <w:pPr>
        <w:pStyle w:val="6"/>
        <w:pageBreakBefore w:val="0"/>
        <w:numPr>
          <w:ilvl w:val="0"/>
          <w:numId w:val="0"/>
        </w:numPr>
        <w:shd w:val="clear" w:color="auto" w:fill="auto"/>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具体建设规模以审定施工图纸为准。</w:t>
      </w: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eastAsia="宋体"/>
          <w:color w:val="auto"/>
          <w:sz w:val="24"/>
          <w:szCs w:val="24"/>
          <w:highlight w:val="none"/>
          <w:u w:val="single"/>
          <w:lang w:val="en-US" w:eastAsia="zh-CN"/>
        </w:rPr>
        <w:t>施工准备（含三通一平）、施工（含通信）、竣工结算、缺陷责任期、电子化移交的全过程监理，以及初步设计概算（或施工图预算）中监理计费范围以外但与工程相关的监理工作。按照建设单位要求使用工程信息管理系统</w:t>
      </w:r>
      <w:r>
        <w:rPr>
          <w:rFonts w:hint="eastAsia" w:hAnsi="宋体" w:eastAsia="宋体"/>
          <w:color w:val="auto"/>
          <w:sz w:val="24"/>
          <w:lang w:val="en-US" w:eastAsia="zh-CN"/>
        </w:rPr>
        <w:t>。</w:t>
      </w:r>
    </w:p>
    <w:p>
      <w:pPr>
        <w:rPr>
          <w:rFonts w:hint="eastAsia"/>
          <w:highlight w:val="none"/>
          <w:lang w:val="en-US" w:eastAsia="zh-CN"/>
        </w:rPr>
      </w:pPr>
    </w:p>
    <w:p>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2"/>
        <w:tblpPr w:leftFromText="180" w:rightFromText="180" w:vertAnchor="text" w:horzAnchor="page" w:tblpX="1352"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3219"/>
        <w:gridCol w:w="2031"/>
        <w:gridCol w:w="1316"/>
        <w:gridCol w:w="1557"/>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bottom w:val="single" w:color="auto" w:sz="4" w:space="0"/>
            </w:tcBorders>
            <w:noWrap w:val="0"/>
            <w:vAlign w:val="center"/>
          </w:tcPr>
          <w:p>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3219" w:type="dxa"/>
            <w:tcBorders>
              <w:bottom w:val="single" w:color="auto" w:sz="4" w:space="0"/>
            </w:tcBorders>
            <w:noWrap w:val="0"/>
            <w:vAlign w:val="center"/>
          </w:tcPr>
          <w:p>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2031" w:type="dxa"/>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316" w:type="dxa"/>
            <w:tcBorders>
              <w:bottom w:val="single" w:color="auto" w:sz="4" w:space="0"/>
            </w:tcBorders>
            <w:noWrap w:val="0"/>
            <w:vAlign w:val="center"/>
          </w:tcPr>
          <w:p>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7"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773"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cs="宋体"/>
                <w:b/>
                <w:bCs/>
                <w:color w:val="auto"/>
                <w:kern w:val="0"/>
                <w:sz w:val="21"/>
                <w:szCs w:val="21"/>
                <w:highlight w:val="none"/>
                <w:lang w:bidi="ar"/>
              </w:rPr>
              <w:t>一</w:t>
            </w:r>
          </w:p>
        </w:tc>
        <w:tc>
          <w:tcPr>
            <w:tcW w:w="3219"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cs="宋体"/>
                <w:b/>
                <w:color w:val="auto"/>
                <w:kern w:val="0"/>
                <w:sz w:val="21"/>
                <w:szCs w:val="21"/>
                <w:highlight w:val="none"/>
                <w:lang w:bidi="ar"/>
              </w:rPr>
              <w:t>变电工程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 xml:space="preserve">476117.46 </w:t>
            </w:r>
          </w:p>
        </w:tc>
        <w:tc>
          <w:tcPr>
            <w:tcW w:w="1316" w:type="dxa"/>
            <w:vMerge w:val="restart"/>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7"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cs="宋体"/>
                <w:color w:val="auto"/>
                <w:kern w:val="0"/>
                <w:sz w:val="21"/>
                <w:szCs w:val="21"/>
                <w:highlight w:val="none"/>
                <w:lang w:bidi="ar"/>
              </w:rPr>
              <w:t>1</w:t>
            </w:r>
          </w:p>
        </w:tc>
        <w:tc>
          <w:tcPr>
            <w:tcW w:w="3219"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110kV松园（嘉禾望岗）变电站工程（电气分册）</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446479.06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eastAsia="宋体" w:cs="宋体"/>
                <w:color w:val="auto"/>
                <w:kern w:val="0"/>
                <w:sz w:val="21"/>
                <w:szCs w:val="21"/>
                <w:highlight w:val="none"/>
                <w:lang w:val="en-US" w:eastAsia="zh-CN" w:bidi="ar"/>
              </w:rPr>
              <w:t>2</w:t>
            </w:r>
          </w:p>
        </w:tc>
        <w:tc>
          <w:tcPr>
            <w:tcW w:w="3219"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对侧220kV梨园站扩建工程（松园对侧）</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29638.40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spacing w:line="240" w:lineRule="auto"/>
              <w:jc w:val="center"/>
              <w:rPr>
                <w:rFonts w:ascii="宋体" w:hAnsi="宋体"/>
                <w:color w:val="auto"/>
                <w:highlight w:val="none"/>
              </w:rPr>
            </w:pPr>
            <w:r>
              <w:rPr>
                <w:rFonts w:hint="eastAsia" w:ascii="宋体" w:hAnsi="宋体" w:cs="宋体"/>
                <w:b/>
                <w:bCs/>
                <w:color w:val="auto"/>
                <w:sz w:val="21"/>
                <w:szCs w:val="21"/>
                <w:highlight w:val="none"/>
              </w:rPr>
              <w:t>二</w:t>
            </w:r>
          </w:p>
        </w:tc>
        <w:tc>
          <w:tcPr>
            <w:tcW w:w="3219" w:type="dxa"/>
            <w:tcBorders>
              <w:top w:val="single" w:color="auto" w:sz="4" w:space="0"/>
              <w:bottom w:val="single" w:color="auto" w:sz="4" w:space="0"/>
            </w:tcBorders>
            <w:noWrap w:val="0"/>
            <w:vAlign w:val="center"/>
          </w:tcPr>
          <w:p>
            <w:pPr>
              <w:widowControl/>
              <w:spacing w:line="240" w:lineRule="auto"/>
              <w:jc w:val="center"/>
              <w:textAlignment w:val="center"/>
              <w:rPr>
                <w:rFonts w:hAnsi="宋体"/>
                <w:color w:val="auto"/>
                <w:highlight w:val="none"/>
                <w:u w:val="single"/>
              </w:rPr>
            </w:pPr>
            <w:r>
              <w:rPr>
                <w:rStyle w:val="17"/>
                <w:rFonts w:hint="default"/>
                <w:b/>
                <w:bCs/>
                <w:color w:val="auto"/>
                <w:sz w:val="21"/>
                <w:szCs w:val="21"/>
                <w:highlight w:val="none"/>
                <w:lang w:bidi="ar"/>
              </w:rPr>
              <w:t>线路工程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 xml:space="preserve">486118.79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3219"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110kV梨园至松园电缆线路工程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486118.79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spacing w:line="240" w:lineRule="auto"/>
              <w:jc w:val="center"/>
              <w:rPr>
                <w:rFonts w:ascii="宋体" w:hAnsi="宋体"/>
                <w:color w:val="auto"/>
                <w:highlight w:val="none"/>
              </w:rPr>
            </w:pPr>
            <w:r>
              <w:rPr>
                <w:rFonts w:hint="eastAsia" w:ascii="宋体" w:hAnsi="宋体" w:cs="宋体"/>
                <w:b/>
                <w:bCs/>
                <w:color w:val="auto"/>
                <w:sz w:val="21"/>
                <w:szCs w:val="21"/>
                <w:highlight w:val="none"/>
                <w:lang w:val="en-US" w:eastAsia="zh-CN"/>
              </w:rPr>
              <w:t>三</w:t>
            </w:r>
          </w:p>
        </w:tc>
        <w:tc>
          <w:tcPr>
            <w:tcW w:w="3219"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Style w:val="17"/>
                <w:rFonts w:hint="default"/>
                <w:b/>
                <w:bCs/>
                <w:color w:val="auto"/>
                <w:sz w:val="21"/>
                <w:szCs w:val="21"/>
                <w:highlight w:val="none"/>
                <w:lang w:bidi="ar"/>
              </w:rPr>
              <w:t>配套通信工程</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 xml:space="preserve">24927.81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3219"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配套通信设备工程</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19400.92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w:t>
            </w:r>
          </w:p>
        </w:tc>
        <w:tc>
          <w:tcPr>
            <w:tcW w:w="3219"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配套管道光缆工程</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5526.89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727" w:type="dxa"/>
            <w:gridSpan w:val="2"/>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b/>
                <w:color w:val="auto"/>
                <w:szCs w:val="21"/>
                <w:highlight w:val="none"/>
              </w:rPr>
            </w:pPr>
            <w:r>
              <w:rPr>
                <w:rFonts w:hint="eastAsia" w:ascii="宋体" w:hAnsi="宋体" w:eastAsia="宋体" w:cs="宋体"/>
                <w:b/>
                <w:bCs/>
                <w:i w:val="0"/>
                <w:iCs w:val="0"/>
                <w:color w:val="000000"/>
                <w:kern w:val="0"/>
                <w:sz w:val="22"/>
                <w:szCs w:val="22"/>
                <w:u w:val="none"/>
                <w:lang w:val="en-US" w:eastAsia="zh-CN" w:bidi="ar"/>
              </w:rPr>
              <w:t>合  计</w:t>
            </w:r>
          </w:p>
        </w:tc>
        <w:tc>
          <w:tcPr>
            <w:tcW w:w="2031"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 xml:space="preserve">987164.06 </w:t>
            </w:r>
          </w:p>
        </w:tc>
        <w:tc>
          <w:tcPr>
            <w:tcW w:w="1316" w:type="dxa"/>
            <w:vMerge w:val="continue"/>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p>
        </w:tc>
        <w:tc>
          <w:tcPr>
            <w:tcW w:w="1557" w:type="dxa"/>
            <w:tcBorders>
              <w:top w:val="single" w:color="auto" w:sz="4" w:space="0"/>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bl>
    <w:p>
      <w:pPr>
        <w:pStyle w:val="4"/>
        <w:rPr>
          <w:rFonts w:hint="eastAsia"/>
          <w:highlight w:val="none"/>
          <w:lang w:val="en-US" w:eastAsia="zh-CN"/>
        </w:rPr>
      </w:pPr>
    </w:p>
    <w:p>
      <w:pPr>
        <w:pStyle w:val="4"/>
        <w:rPr>
          <w:rFonts w:hint="eastAsia"/>
          <w:highlight w:val="none"/>
          <w:lang w:val="en-US" w:eastAsia="zh-CN"/>
        </w:rPr>
      </w:pPr>
    </w:p>
    <w:p>
      <w:pPr>
        <w:rPr>
          <w:rFonts w:hint="eastAsia"/>
          <w:highlight w:val="none"/>
          <w:lang w:val="en-US" w:eastAsia="zh-CN"/>
        </w:rPr>
      </w:pPr>
    </w:p>
    <w:p>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（1）按下浮率报价（保留两位小数，如 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pPr>
        <w:pStyle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（2）投标下浮率不低于0%为有效报价；当投标下浮率＞10%时应附成本分析报告，充分说明单价和费用的组成、降低成本的合理措施及在其他工程中应用过的经验等，经评审通过后方可视为有效报价。</w:t>
      </w:r>
    </w:p>
    <w:p>
      <w:pPr>
        <w:pStyle w:val="9"/>
      </w:pPr>
      <w:r>
        <w:rPr>
          <w:rFonts w:hint="eastAsia" w:asciiTheme="minorEastAsia" w:hAnsiTheme="minorEastAsia" w:eastAsiaTheme="minorEastAsia" w:cstheme="minorEastAsia"/>
          <w:b w:val="0"/>
          <w:bCs/>
          <w:color w:val="auto"/>
          <w:kern w:val="0"/>
          <w:sz w:val="24"/>
          <w:szCs w:val="24"/>
          <w:lang w:val="en-US" w:eastAsia="zh-CN" w:bidi="ar-SA"/>
        </w:rPr>
        <w:t>（3）价格分计算时，投标人评标价按（100-投标人填写的下浮数值）参与计算。如：下浮率为1.88％时，评标价按（100-1.88）参与计算。</w:t>
      </w:r>
    </w:p>
    <w:p>
      <w:pPr>
        <w:rPr>
          <w:rFonts w:hint="eastAsia"/>
          <w:highlight w:val="none"/>
          <w:lang w:val="en-US" w:eastAsia="zh-CN"/>
        </w:rPr>
      </w:pPr>
      <w:bookmarkStart w:id="8" w:name="_GoBack"/>
      <w:bookmarkEnd w:id="8"/>
    </w:p>
    <w:p>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11"/>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下浮率报价，按实结算。结算监理费=（与合同范围对应的审定初步设计概算监理费+ 初设概算监理计费范围以外的监理工作费用）×（1-投标下浮率）±合同内约定且实际发生的相关奖罚费用 + 招标代理服务费。            </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pStyle w:val="11"/>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5"/>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9"/>
        <w:rPr>
          <w:rFonts w:hint="eastAsia" w:asciiTheme="minorEastAsia" w:hAnsiTheme="minorEastAsia" w:eastAsiaTheme="minorEastAsia" w:cstheme="minorEastAsia"/>
          <w:i w:val="0"/>
          <w:iCs/>
          <w:color w:val="auto"/>
          <w:sz w:val="24"/>
          <w:szCs w:val="24"/>
          <w:highlight w:val="none"/>
        </w:rPr>
      </w:pPr>
    </w:p>
    <w:p>
      <w:pPr>
        <w:pStyle w:val="5"/>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9"/>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9"/>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9"/>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（1）工程前期有关文件（可研审批文件）</w:t>
      </w:r>
      <w:r>
        <w:rPr>
          <w:rFonts w:hint="eastAsia" w:asciiTheme="minorEastAsia" w:hAnsiTheme="minorEastAsia" w:eastAsiaTheme="minorEastAsia" w:cstheme="minorEastAsia"/>
          <w:color w:val="auto"/>
          <w:sz w:val="24"/>
          <w:szCs w:val="24"/>
          <w:highlight w:val="none"/>
          <w:lang w:eastAsia="zh-CN"/>
        </w:rPr>
        <w:t>。</w:t>
      </w: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76F3B3B"/>
    <w:rsid w:val="07CA37DF"/>
    <w:rsid w:val="07CC3833"/>
    <w:rsid w:val="0BC07002"/>
    <w:rsid w:val="0BD30473"/>
    <w:rsid w:val="0E2F4C02"/>
    <w:rsid w:val="0E3616E0"/>
    <w:rsid w:val="0E937FF7"/>
    <w:rsid w:val="0F81532F"/>
    <w:rsid w:val="107144D2"/>
    <w:rsid w:val="116419AD"/>
    <w:rsid w:val="11794537"/>
    <w:rsid w:val="11DF6CFE"/>
    <w:rsid w:val="13383335"/>
    <w:rsid w:val="14440D4B"/>
    <w:rsid w:val="14B666F3"/>
    <w:rsid w:val="15056A61"/>
    <w:rsid w:val="182633AB"/>
    <w:rsid w:val="18E57496"/>
    <w:rsid w:val="19EC69D7"/>
    <w:rsid w:val="1A2D5CFF"/>
    <w:rsid w:val="1A386933"/>
    <w:rsid w:val="1A4F176B"/>
    <w:rsid w:val="1A912F72"/>
    <w:rsid w:val="1B663F82"/>
    <w:rsid w:val="1C2D4629"/>
    <w:rsid w:val="1C43636C"/>
    <w:rsid w:val="1CFE4AE0"/>
    <w:rsid w:val="1D904223"/>
    <w:rsid w:val="1F653C49"/>
    <w:rsid w:val="1F6C0D31"/>
    <w:rsid w:val="1FBE7EE4"/>
    <w:rsid w:val="1FF914D4"/>
    <w:rsid w:val="20735046"/>
    <w:rsid w:val="216F4D5B"/>
    <w:rsid w:val="21FA2A73"/>
    <w:rsid w:val="23B738BA"/>
    <w:rsid w:val="248361F7"/>
    <w:rsid w:val="24E67795"/>
    <w:rsid w:val="24F737D8"/>
    <w:rsid w:val="25100685"/>
    <w:rsid w:val="26A73075"/>
    <w:rsid w:val="2CA17C08"/>
    <w:rsid w:val="2DAB0752"/>
    <w:rsid w:val="2DDF66E3"/>
    <w:rsid w:val="2FDE77A9"/>
    <w:rsid w:val="2FF65FF8"/>
    <w:rsid w:val="300D195C"/>
    <w:rsid w:val="30BF37B5"/>
    <w:rsid w:val="3159659D"/>
    <w:rsid w:val="31C955A9"/>
    <w:rsid w:val="33B200AF"/>
    <w:rsid w:val="33E61BE2"/>
    <w:rsid w:val="361736AD"/>
    <w:rsid w:val="36D200CF"/>
    <w:rsid w:val="379951F8"/>
    <w:rsid w:val="38382DC3"/>
    <w:rsid w:val="38DE045C"/>
    <w:rsid w:val="3A546240"/>
    <w:rsid w:val="3BF24D81"/>
    <w:rsid w:val="3BFE7BEA"/>
    <w:rsid w:val="3C4750A3"/>
    <w:rsid w:val="3C4A35F1"/>
    <w:rsid w:val="3E664B6D"/>
    <w:rsid w:val="3EA35F56"/>
    <w:rsid w:val="3ED7087B"/>
    <w:rsid w:val="3F141BFC"/>
    <w:rsid w:val="442B201D"/>
    <w:rsid w:val="444D481C"/>
    <w:rsid w:val="44982260"/>
    <w:rsid w:val="44D414C9"/>
    <w:rsid w:val="46472D5E"/>
    <w:rsid w:val="496A657E"/>
    <w:rsid w:val="49843C09"/>
    <w:rsid w:val="4A3E05CE"/>
    <w:rsid w:val="4B3A1BDA"/>
    <w:rsid w:val="4B9433A2"/>
    <w:rsid w:val="4BF83760"/>
    <w:rsid w:val="4C8349B8"/>
    <w:rsid w:val="4F8A05C8"/>
    <w:rsid w:val="520D6E5F"/>
    <w:rsid w:val="53115540"/>
    <w:rsid w:val="554C40C3"/>
    <w:rsid w:val="55C3156A"/>
    <w:rsid w:val="5782183A"/>
    <w:rsid w:val="57AD384F"/>
    <w:rsid w:val="57BD355E"/>
    <w:rsid w:val="59A5419F"/>
    <w:rsid w:val="5B0320E2"/>
    <w:rsid w:val="5B8B11A7"/>
    <w:rsid w:val="5B9E2EC4"/>
    <w:rsid w:val="608606DE"/>
    <w:rsid w:val="610E324A"/>
    <w:rsid w:val="61F31EFD"/>
    <w:rsid w:val="63066BC7"/>
    <w:rsid w:val="63D0487B"/>
    <w:rsid w:val="64672037"/>
    <w:rsid w:val="64911DA0"/>
    <w:rsid w:val="65945D8D"/>
    <w:rsid w:val="66C35559"/>
    <w:rsid w:val="67D57489"/>
    <w:rsid w:val="68570F93"/>
    <w:rsid w:val="6A287B5E"/>
    <w:rsid w:val="6B303A1A"/>
    <w:rsid w:val="6DAA2FDF"/>
    <w:rsid w:val="6E121228"/>
    <w:rsid w:val="6F8C6D8A"/>
    <w:rsid w:val="6FC971BF"/>
    <w:rsid w:val="70D1495F"/>
    <w:rsid w:val="70ED510D"/>
    <w:rsid w:val="74695E39"/>
    <w:rsid w:val="754C6F3B"/>
    <w:rsid w:val="75B11AFF"/>
    <w:rsid w:val="75D32619"/>
    <w:rsid w:val="765369C1"/>
    <w:rsid w:val="767D6887"/>
    <w:rsid w:val="77B65F18"/>
    <w:rsid w:val="780B6A75"/>
    <w:rsid w:val="79F83E18"/>
    <w:rsid w:val="7A262145"/>
    <w:rsid w:val="7A281F3A"/>
    <w:rsid w:val="7D0F76D8"/>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正文首行缩进1"/>
    <w:basedOn w:val="1"/>
    <w:qFormat/>
    <w:uiPriority w:val="0"/>
    <w:pPr>
      <w:spacing w:line="360" w:lineRule="auto"/>
      <w:ind w:firstLine="200" w:firstLineChars="200"/>
    </w:pPr>
    <w:rPr>
      <w:kern w:val="2"/>
      <w:sz w:val="24"/>
      <w:szCs w:val="24"/>
    </w:rPr>
  </w:style>
  <w:style w:type="character" w:customStyle="1" w:styleId="17">
    <w:name w:val="font31"/>
    <w:basedOn w:val="1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2235</Words>
  <Characters>2501</Characters>
  <Lines>0</Lines>
  <Paragraphs>0</Paragraphs>
  <TotalTime>0</TotalTime>
  <ScaleCrop>false</ScaleCrop>
  <LinksUpToDate>false</LinksUpToDate>
  <CharactersWithSpaces>2786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2025-11-25T08:35:15Z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0FC967818C7B4D848059EEF1E9FF4DEB</vt:lpwstr>
  </property>
  <property fmtid="{D5CDD505-2E9C-101B-9397-08002B2CF9AE}" pid="4" name="KSOTemplateDocerSaveRecord">
    <vt:lpwstr>eyJoZGlkIjoiMDZiNjYyYzk1MGE3YjgyZDdjMTViN2QxYmMzOGEwMjEiLCJ1c2VySWQiOiIzMTA2NDQyNTIifQ==</vt:lpwstr>
  </property>
</Properties>
</file>