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pPr>
        <w:rPr>
          <w:rFonts w:hint="eastAsia"/>
          <w:lang w:val="en-US" w:eastAsia="zh-CN"/>
        </w:rPr>
      </w:pP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w:t>
      </w:r>
      <w:bookmarkStart w:id="2" w:name="_GoBack"/>
      <w:bookmarkEnd w:id="2"/>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pPr>
              <w:spacing w:line="360" w:lineRule="auto"/>
              <w:rPr>
                <w:szCs w:val="21"/>
                <w:highlight w:val="none"/>
              </w:rPr>
            </w:pPr>
            <w:r>
              <w:rPr>
                <w:rFonts w:hint="eastAsia"/>
                <w:szCs w:val="21"/>
                <w:highlight w:val="none"/>
              </w:rPr>
              <w:t>（b）暂定价</w:t>
            </w:r>
          </w:p>
          <w:p>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pPr>
              <w:spacing w:line="360" w:lineRule="auto"/>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pPr>
              <w:spacing w:line="360" w:lineRule="auto"/>
              <w:rPr>
                <w:b/>
                <w:color w:val="auto"/>
                <w:szCs w:val="21"/>
                <w:highlight w:val="none"/>
              </w:rPr>
            </w:pPr>
            <w:r>
              <w:rPr>
                <w:rFonts w:hint="eastAsia"/>
                <w:b/>
                <w:color w:val="auto"/>
                <w:szCs w:val="21"/>
                <w:highlight w:val="none"/>
              </w:rPr>
              <w:t>（b）暂定价</w:t>
            </w:r>
          </w:p>
          <w:p>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pPr>
              <w:pStyle w:val="2"/>
              <w:ind w:left="0" w:leftChars="0" w:firstLine="0" w:firstLineChars="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pPr>
              <w:pStyle w:val="2"/>
              <w:rPr>
                <w:rFonts w:hint="default"/>
                <w:highlight w:val="none"/>
                <w:lang w:val="en-US" w:eastAsia="zh-CN"/>
              </w:rPr>
            </w:pPr>
          </w:p>
        </w:tc>
        <w:tc>
          <w:tcPr>
            <w:tcW w:w="5832" w:type="dxa"/>
            <w:noWrap w:val="0"/>
            <w:vAlign w:val="top"/>
          </w:tcPr>
          <w:p>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修改为：</w:t>
            </w:r>
          </w:p>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竣工验收投运并交清相关资料，支付合同监理费（电缆部分）的35%；</w:t>
            </w:r>
          </w:p>
          <w:p>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pPr>
              <w:spacing w:line="360" w:lineRule="auto"/>
              <w:rPr>
                <w:szCs w:val="21"/>
                <w:highlight w:val="none"/>
              </w:rPr>
            </w:pPr>
            <w:r>
              <w:rPr>
                <w:rFonts w:hint="eastAsia"/>
                <w:highlight w:val="none"/>
              </w:rPr>
              <w:t>增加以下内容到第9.4款：</w:t>
            </w:r>
          </w:p>
          <w:p>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pPr>
              <w:pStyle w:val="2"/>
              <w:ind w:left="0" w:leftChars="0" w:firstLine="0" w:firstLineChars="0"/>
              <w:rPr>
                <w:rFonts w:hint="eastAsia"/>
                <w:highlight w:val="none"/>
              </w:rPr>
            </w:pPr>
          </w:p>
          <w:p>
            <w:pPr>
              <w:pStyle w:val="2"/>
              <w:rPr>
                <w:rFonts w:hint="default"/>
                <w:highlight w:val="none"/>
                <w:lang w:val="en-US" w:eastAsia="zh-CN"/>
              </w:rPr>
            </w:pPr>
          </w:p>
        </w:tc>
        <w:tc>
          <w:tcPr>
            <w:tcW w:w="5832"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pPr>
              <w:spacing w:line="360" w:lineRule="auto"/>
              <w:rPr>
                <w:color w:val="auto"/>
                <w:szCs w:val="21"/>
                <w:highlight w:val="none"/>
              </w:rPr>
            </w:pPr>
            <w:r>
              <w:rPr>
                <w:rFonts w:hint="eastAsia"/>
                <w:color w:val="auto"/>
                <w:highlight w:val="none"/>
              </w:rPr>
              <w:t>增加以下内容到第9.4款：</w:t>
            </w:r>
          </w:p>
          <w:p>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p>
          <w:p>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第二节专用合同条款</w:t>
            </w:r>
          </w:p>
          <w:p>
            <w:pPr>
              <w:pStyle w:val="2"/>
              <w:ind w:left="0" w:leftChars="0" w:firstLine="0" w:firstLineChars="0"/>
              <w:rPr>
                <w:rFonts w:ascii="Times New Roman" w:hAnsi="Times New Roman"/>
                <w:highlight w:val="none"/>
              </w:rPr>
            </w:pPr>
            <w:r>
              <w:rPr>
                <w:rFonts w:hint="eastAsia"/>
                <w:highlight w:val="none"/>
                <w:lang w:val="en-US" w:eastAsia="zh-CN"/>
              </w:rPr>
              <w:t>增加</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p>
        </w:tc>
        <w:tc>
          <w:tcPr>
            <w:tcW w:w="5832" w:type="dxa"/>
            <w:noWrap w:val="0"/>
            <w:vAlign w:val="top"/>
          </w:tcPr>
          <w:p>
            <w:pPr>
              <w:jc w:val="left"/>
              <w:rPr>
                <w:rFonts w:hint="default" w:ascii="Calibri" w:hAnsi="Calibri" w:eastAsia="宋体" w:cs="Times New Roman"/>
                <w:kern w:val="2"/>
                <w:sz w:val="21"/>
                <w:szCs w:val="22"/>
                <w:highlight w:val="none"/>
                <w:lang w:val="en-US" w:eastAsia="zh-CN" w:bidi="ar-SA"/>
              </w:rPr>
            </w:pPr>
            <w:r>
              <w:rPr>
                <w:rFonts w:hint="eastAsia" w:ascii="宋体" w:hAnsi="宋体" w:cs="宋体"/>
                <w:color w:val="000000" w:themeColor="text1"/>
                <w:sz w:val="21"/>
                <w:szCs w:val="21"/>
                <w:lang w:val="en-US" w:eastAsia="zh-CN"/>
                <w14:textFill>
                  <w14:solidFill>
                    <w14:schemeClr w14:val="tx1"/>
                  </w14:solidFill>
                </w14:textFill>
              </w:rPr>
              <w:t>增加附件十一为</w:t>
            </w:r>
            <w:r>
              <w:rPr>
                <w:rFonts w:hint="eastAsia" w:ascii="宋体" w:hAnsi="宋体" w:eastAsia="宋体" w:cs="宋体"/>
                <w:color w:val="000000" w:themeColor="text1"/>
                <w:sz w:val="21"/>
                <w:szCs w:val="21"/>
                <w14:textFill>
                  <w14:solidFill>
                    <w14:schemeClr w14:val="tx1"/>
                  </w14:solidFill>
                </w14:textFill>
              </w:rPr>
              <w:t>广州局保密协议（2022版）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r>
              <w:rPr>
                <w:rFonts w:hint="eastAsia" w:ascii="宋体" w:hAnsi="宋体" w:cs="宋体"/>
                <w:b w:val="0"/>
                <w:bCs w:val="0"/>
                <w:color w:val="000000" w:themeColor="text1"/>
                <w:sz w:val="21"/>
                <w:szCs w:val="21"/>
                <w:vertAlign w:val="baseline"/>
                <w:lang w:val="en-US" w:eastAsia="zh-CN"/>
                <w14:textFill>
                  <w14:solidFill>
                    <w14:schemeClr w14:val="tx1"/>
                  </w14:solidFill>
                </w14:textFill>
              </w:rPr>
              <w:t>五</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：廉洁协议书</w:t>
            </w:r>
          </w:p>
        </w:tc>
        <w:tc>
          <w:tcPr>
            <w:tcW w:w="5832" w:type="dxa"/>
            <w:noWrap w:val="0"/>
            <w:vAlign w:val="top"/>
          </w:tcPr>
          <w:p>
            <w:pPr>
              <w:jc w:val="left"/>
              <w:rPr>
                <w:rFonts w:hint="default"/>
                <w:highlight w:val="none"/>
                <w:lang w:val="en-US" w:eastAsia="zh-CN"/>
              </w:rPr>
            </w:pPr>
            <w:r>
              <w:rPr>
                <w:rFonts w:hint="eastAsia" w:ascii="宋体" w:hAnsi="宋体" w:cs="宋体"/>
                <w:color w:val="000000" w:themeColor="text1"/>
                <w:sz w:val="21"/>
                <w:szCs w:val="21"/>
                <w:lang w:val="en-US" w:eastAsia="zh-CN"/>
                <w14:textFill>
                  <w14:solidFill>
                    <w14:schemeClr w14:val="tx1"/>
                  </w14:solidFill>
                </w14:textFill>
              </w:rPr>
              <w:t>替换附件五为</w:t>
            </w:r>
            <w:r>
              <w:rPr>
                <w:rFonts w:hint="eastAsia" w:ascii="宋体" w:hAnsi="宋体" w:eastAsia="宋体" w:cs="宋体"/>
                <w:color w:val="000000" w:themeColor="text1"/>
                <w:sz w:val="21"/>
                <w:szCs w:val="21"/>
                <w14:textFill>
                  <w14:solidFill>
                    <w14:schemeClr w14:val="tx1"/>
                  </w14:solidFill>
                </w14:textFill>
              </w:rPr>
              <w:t>廉洁协议书（2022版）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highlight w:val="none"/>
                <w:vertAlign w:val="baseline"/>
                <w:lang w:val="en-US" w:eastAsia="zh-CN"/>
              </w:rPr>
            </w:pPr>
          </w:p>
        </w:tc>
        <w:tc>
          <w:tcPr>
            <w:tcW w:w="3313" w:type="dxa"/>
            <w:noWrap w:val="0"/>
            <w:vAlign w:val="top"/>
          </w:tcPr>
          <w:p>
            <w:pPr>
              <w:pStyle w:val="2"/>
              <w:rPr>
                <w:rFonts w:hint="default"/>
                <w:highlight w:val="none"/>
                <w:lang w:val="en-US" w:eastAsia="zh-CN"/>
              </w:rPr>
            </w:pPr>
          </w:p>
        </w:tc>
        <w:tc>
          <w:tcPr>
            <w:tcW w:w="5832" w:type="dxa"/>
            <w:noWrap w:val="0"/>
            <w:vAlign w:val="top"/>
          </w:tcPr>
          <w:p>
            <w:pPr>
              <w:pStyle w:val="2"/>
              <w:rPr>
                <w:rFonts w:hint="default"/>
                <w:highlight w:val="none"/>
                <w:lang w:val="en-US" w:eastAsia="zh-CN"/>
              </w:rPr>
            </w:pPr>
          </w:p>
        </w:tc>
      </w:tr>
    </w:tbl>
    <w:p>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8A86B77"/>
    <w:rsid w:val="0AC402B6"/>
    <w:rsid w:val="0BC07002"/>
    <w:rsid w:val="0BC649E1"/>
    <w:rsid w:val="0E2F4C02"/>
    <w:rsid w:val="0F81532F"/>
    <w:rsid w:val="107144D2"/>
    <w:rsid w:val="116419AD"/>
    <w:rsid w:val="11DF6CFE"/>
    <w:rsid w:val="13383335"/>
    <w:rsid w:val="14440D4B"/>
    <w:rsid w:val="15056A61"/>
    <w:rsid w:val="15892AE3"/>
    <w:rsid w:val="18E57496"/>
    <w:rsid w:val="1A386933"/>
    <w:rsid w:val="1B663F82"/>
    <w:rsid w:val="1C2D4629"/>
    <w:rsid w:val="1C43636C"/>
    <w:rsid w:val="1D5227CB"/>
    <w:rsid w:val="1DF8571A"/>
    <w:rsid w:val="1F653C49"/>
    <w:rsid w:val="20735046"/>
    <w:rsid w:val="216F4D5B"/>
    <w:rsid w:val="22C211E9"/>
    <w:rsid w:val="22C864DC"/>
    <w:rsid w:val="23B738BA"/>
    <w:rsid w:val="24AF377B"/>
    <w:rsid w:val="24EE2E3B"/>
    <w:rsid w:val="24F737D8"/>
    <w:rsid w:val="27DF65F5"/>
    <w:rsid w:val="291E47B0"/>
    <w:rsid w:val="2CA17C08"/>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E7BEA"/>
    <w:rsid w:val="3C4A35F1"/>
    <w:rsid w:val="44333F0F"/>
    <w:rsid w:val="44982260"/>
    <w:rsid w:val="44D414C9"/>
    <w:rsid w:val="46472D5E"/>
    <w:rsid w:val="48C05C32"/>
    <w:rsid w:val="496A657E"/>
    <w:rsid w:val="49843C09"/>
    <w:rsid w:val="4A3D3BE3"/>
    <w:rsid w:val="4B3A1BDA"/>
    <w:rsid w:val="4B4250B2"/>
    <w:rsid w:val="4BF83760"/>
    <w:rsid w:val="4C8349B8"/>
    <w:rsid w:val="52F07F1E"/>
    <w:rsid w:val="54320741"/>
    <w:rsid w:val="55C3156A"/>
    <w:rsid w:val="58AE4D2A"/>
    <w:rsid w:val="58B0490A"/>
    <w:rsid w:val="5B0320E2"/>
    <w:rsid w:val="5B9E2EC4"/>
    <w:rsid w:val="608606DE"/>
    <w:rsid w:val="610E324A"/>
    <w:rsid w:val="61F31EFD"/>
    <w:rsid w:val="62A96B26"/>
    <w:rsid w:val="63066BC7"/>
    <w:rsid w:val="642A5BE2"/>
    <w:rsid w:val="64672037"/>
    <w:rsid w:val="65945D8D"/>
    <w:rsid w:val="66C35559"/>
    <w:rsid w:val="68570F93"/>
    <w:rsid w:val="6885745C"/>
    <w:rsid w:val="6A287B5E"/>
    <w:rsid w:val="6B303A1A"/>
    <w:rsid w:val="6C584AFC"/>
    <w:rsid w:val="6DAA2FDF"/>
    <w:rsid w:val="6E121228"/>
    <w:rsid w:val="6EC13A41"/>
    <w:rsid w:val="70D1495F"/>
    <w:rsid w:val="70ED510D"/>
    <w:rsid w:val="744C523A"/>
    <w:rsid w:val="754C6F3B"/>
    <w:rsid w:val="75B11AFF"/>
    <w:rsid w:val="75D32619"/>
    <w:rsid w:val="77B91397"/>
    <w:rsid w:val="780B6A75"/>
    <w:rsid w:val="78A06277"/>
    <w:rsid w:val="79DC24D9"/>
    <w:rsid w:val="7CB33C3B"/>
    <w:rsid w:val="7CF6779E"/>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15</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2025-11-25T08:27:41Z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835A6BD43B1D49B4AE6E998E19093B50</vt:lpwstr>
  </property>
</Properties>
</file>