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110千伏太平扩建第三台主变工程监理</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pPr>
        <w:pStyle w:val="10"/>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3"/>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pPr>
              <w:pStyle w:val="11"/>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kern w:val="0"/>
                <w:sz w:val="24"/>
                <w:szCs w:val="24"/>
                <w:highlight w:val="none"/>
                <w:lang w:val="en-US" w:eastAsia="zh-CN" w:bidi="ar"/>
              </w:rPr>
              <w:t>广供电基〔2025〕31号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pPr>
              <w:pStyle w:val="11"/>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default" w:ascii="宋体" w:hAnsi="宋体" w:eastAsia="宋体" w:cs="宋体"/>
                <w:sz w:val="24"/>
                <w:szCs w:val="24"/>
              </w:rPr>
              <w:t>穗发改核准〔2025〕9号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default" w:ascii="宋体" w:hAnsi="宋体" w:eastAsia="宋体" w:cs="宋体"/>
                <w:sz w:val="24"/>
                <w:szCs w:val="24"/>
              </w:rPr>
              <w:t>广供电资〔2025〕26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kern w:val="0"/>
                <w:sz w:val="24"/>
                <w:szCs w:val="24"/>
                <w:highlight w:val="none"/>
                <w:lang w:val="en-US" w:eastAsia="zh-CN" w:bidi="ar"/>
              </w:rPr>
              <w:t>广州市电力工程设计院有限公司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776"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合同签订之日起365日历天，实际工期以开工报告、竣工报告为准。）</w:t>
            </w:r>
          </w:p>
        </w:tc>
      </w:tr>
    </w:tbl>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pP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pPr>
        <w:keepNext w:val="0"/>
        <w:keepLines w:val="0"/>
        <w:pageBreakBefore w:val="0"/>
        <w:widowControl w:val="0"/>
        <w:kinsoku/>
        <w:wordWrap/>
        <w:overflowPunct/>
        <w:topLinePunct w:val="0"/>
        <w:autoSpaceDE/>
        <w:autoSpaceDN/>
        <w:bidi w:val="0"/>
        <w:adjustRightInd/>
        <w:snapToGrid/>
        <w:spacing w:line="360" w:lineRule="auto"/>
        <w:ind w:firstLine="421"/>
        <w:jc w:val="left"/>
        <w:textAlignment w:val="auto"/>
        <w:rPr>
          <w:rFonts w:hint="eastAsia" w:ascii="宋体" w:hAnsi="宋体" w:eastAsia="宋体" w:cs="Times New Roman"/>
          <w:b/>
          <w:bCs/>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※变电部分：</w:t>
      </w:r>
    </w:p>
    <w:p>
      <w:pPr>
        <w:keepNext w:val="0"/>
        <w:keepLines w:val="0"/>
        <w:pageBreakBefore w:val="0"/>
        <w:widowControl w:val="0"/>
        <w:kinsoku/>
        <w:wordWrap/>
        <w:overflowPunct/>
        <w:topLinePunct w:val="0"/>
        <w:autoSpaceDE/>
        <w:autoSpaceDN/>
        <w:bidi w:val="0"/>
        <w:adjustRightInd/>
        <w:snapToGrid/>
        <w:spacing w:line="360" w:lineRule="auto"/>
        <w:ind w:firstLine="421"/>
        <w:jc w:val="lef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1、110kV太平站扩建第三台主变工程：本期扩建63MVA主变压器1台，10kV出线1×16回，2组6MVar低压并联电容器。</w:t>
      </w:r>
    </w:p>
    <w:p>
      <w:pPr>
        <w:keepNext w:val="0"/>
        <w:keepLines w:val="0"/>
        <w:pageBreakBefore w:val="0"/>
        <w:widowControl w:val="0"/>
        <w:kinsoku/>
        <w:wordWrap/>
        <w:overflowPunct/>
        <w:topLinePunct w:val="0"/>
        <w:autoSpaceDE/>
        <w:autoSpaceDN/>
        <w:bidi w:val="0"/>
        <w:adjustRightInd/>
        <w:snapToGrid/>
        <w:spacing w:line="360" w:lineRule="auto"/>
        <w:ind w:firstLine="421"/>
        <w:jc w:val="left"/>
        <w:textAlignment w:val="auto"/>
        <w:rPr>
          <w:rFonts w:hint="eastAsia" w:ascii="宋体" w:hAnsi="宋体" w:eastAsia="宋体" w:cs="Times New Roman"/>
          <w:b/>
          <w:bCs/>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※线路部分：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1、110kV太平站主接线改造电缆线路：对110kV绿太甲线、110kV汉太线进行间隔调整，110kV绿太甲线新建电缆路径单线长度31米、110kV汉太线新建电缆路径单线长度17米，新建电缆段采用FY-YJLW03-64/110kV-1×1200mm2。</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2、110kV汉太线导线增容改造工程：本工程对110kV汉太线#40-#42塔段导线进行增容改造，全长0.367km，改造采用JNRLH1X1/LBY14-240/55。</w:t>
      </w:r>
    </w:p>
    <w:p>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pPr>
        <w:keepNext w:val="0"/>
        <w:keepLines w:val="0"/>
        <w:pageBreakBefore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pPr>
      <w:r>
        <w:rPr>
          <w:rFonts w:hint="eastAsia" w:hAnsi="宋体"/>
          <w:color w:val="auto"/>
          <w:sz w:val="24"/>
          <w:szCs w:val="24"/>
          <w:highlight w:val="none"/>
          <w:u w:val="single"/>
        </w:rPr>
        <w:t>勘察设计、施工准备（含三通一平）、施工（含通信）、竣工结算、缺陷责任期、电子化移交的全过程监理</w:t>
      </w:r>
      <w:r>
        <w:rPr>
          <w:rFonts w:hint="eastAsia" w:hAnsi="宋体"/>
          <w:color w:val="auto"/>
          <w:sz w:val="24"/>
          <w:szCs w:val="24"/>
          <w:highlight w:val="none"/>
          <w:u w:val="single"/>
          <w:lang w:eastAsia="zh-CN"/>
        </w:rPr>
        <w:t>，以及初步设计概算（或施工图预算）中监理计费范围以外但与工程相关的监理工作。</w:t>
      </w:r>
      <w:r>
        <w:rPr>
          <w:rFonts w:hint="eastAsia" w:hAnsi="宋体"/>
          <w:color w:val="auto"/>
          <w:sz w:val="24"/>
          <w:szCs w:val="24"/>
          <w:highlight w:val="none"/>
          <w:u w:val="single"/>
        </w:rPr>
        <w:t>按照建设单位要求使用工程信息管理系统</w:t>
      </w:r>
      <w:r>
        <w:rPr>
          <w:rFonts w:hint="eastAsia" w:hAnsi="宋体"/>
          <w:color w:val="auto"/>
          <w:sz w:val="24"/>
          <w:szCs w:val="24"/>
          <w:highlight w:val="none"/>
        </w:rPr>
        <w:t>。</w:t>
      </w:r>
    </w:p>
    <w:p>
      <w:pPr>
        <w:rPr>
          <w:rFonts w:hint="eastAsia"/>
          <w:highlight w:val="none"/>
          <w:lang w:val="en-US" w:eastAsia="zh-CN"/>
        </w:rPr>
      </w:pPr>
    </w:p>
    <w:p>
      <w:pPr>
        <w:pStyle w:val="6"/>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2"/>
        <w:tblpPr w:leftFromText="180" w:rightFromText="180" w:vertAnchor="text" w:horzAnchor="page" w:tblpX="1646" w:tblpY="6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242"/>
        <w:gridCol w:w="1519"/>
        <w:gridCol w:w="1419"/>
        <w:gridCol w:w="1515"/>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bottom w:val="single" w:color="auto" w:sz="4" w:space="0"/>
            </w:tcBorders>
            <w:noWrap w:val="0"/>
            <w:vAlign w:val="center"/>
          </w:tcPr>
          <w:p>
            <w:pPr>
              <w:tabs>
                <w:tab w:val="left" w:pos="900"/>
              </w:tabs>
              <w:snapToGrid w:val="0"/>
              <w:ind w:right="-24"/>
              <w:jc w:val="center"/>
              <w:rPr>
                <w:rFonts w:ascii="宋体" w:hAnsi="宋体"/>
                <w:color w:val="auto"/>
                <w:highlight w:val="none"/>
              </w:rPr>
            </w:pPr>
            <w:bookmarkStart w:id="8" w:name="_GoBack"/>
            <w:r>
              <w:rPr>
                <w:rFonts w:hint="eastAsia" w:ascii="宋体" w:hAnsi="宋体"/>
                <w:color w:val="auto"/>
                <w:highlight w:val="none"/>
              </w:rPr>
              <w:t>序号</w:t>
            </w:r>
          </w:p>
        </w:tc>
        <w:tc>
          <w:tcPr>
            <w:tcW w:w="2242" w:type="dxa"/>
            <w:tcBorders>
              <w:bottom w:val="single" w:color="auto" w:sz="4" w:space="0"/>
            </w:tcBorders>
            <w:noWrap w:val="0"/>
            <w:vAlign w:val="center"/>
          </w:tcPr>
          <w:p>
            <w:pPr>
              <w:tabs>
                <w:tab w:val="left" w:pos="900"/>
              </w:tabs>
              <w:snapToGrid w:val="0"/>
              <w:ind w:left="282" w:right="-24"/>
              <w:jc w:val="center"/>
              <w:rPr>
                <w:rFonts w:ascii="宋体" w:hAnsi="宋体"/>
                <w:color w:val="auto"/>
                <w:highlight w:val="none"/>
              </w:rPr>
            </w:pPr>
            <w:r>
              <w:rPr>
                <w:rFonts w:hint="eastAsia" w:ascii="宋体" w:hAnsi="宋体"/>
                <w:color w:val="auto"/>
                <w:highlight w:val="none"/>
              </w:rPr>
              <w:t>费用名称</w:t>
            </w:r>
          </w:p>
        </w:tc>
        <w:tc>
          <w:tcPr>
            <w:tcW w:w="1519" w:type="dxa"/>
            <w:noWrap w:val="0"/>
            <w:vAlign w:val="top"/>
          </w:tcPr>
          <w:p>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最高投标限价(元)</w:t>
            </w:r>
          </w:p>
        </w:tc>
        <w:tc>
          <w:tcPr>
            <w:tcW w:w="1419" w:type="dxa"/>
            <w:tcBorders>
              <w:bottom w:val="single" w:color="auto" w:sz="4" w:space="0"/>
            </w:tcBorders>
            <w:noWrap w:val="0"/>
            <w:vAlign w:val="center"/>
          </w:tcPr>
          <w:p>
            <w:pPr>
              <w:tabs>
                <w:tab w:val="left" w:pos="900"/>
              </w:tabs>
              <w:snapToGrid w:val="0"/>
              <w:spacing w:before="120" w:after="120"/>
              <w:ind w:right="-24"/>
              <w:jc w:val="center"/>
              <w:rPr>
                <w:rFonts w:hint="eastAsia" w:ascii="宋体" w:hAnsi="宋体" w:eastAsia="宋体"/>
                <w:b/>
                <w:color w:val="auto"/>
                <w:highlight w:val="none"/>
                <w:lang w:eastAsia="zh-CN"/>
              </w:rPr>
            </w:pPr>
            <w:r>
              <w:rPr>
                <w:rFonts w:hint="eastAsia" w:ascii="宋体" w:hAnsi="宋体"/>
                <w:b w:val="0"/>
                <w:bCs/>
                <w:color w:val="auto"/>
                <w:highlight w:val="none"/>
              </w:rPr>
              <w:t>投标下浮率</w:t>
            </w:r>
          </w:p>
        </w:tc>
        <w:tc>
          <w:tcPr>
            <w:tcW w:w="1515" w:type="dxa"/>
            <w:tcBorders>
              <w:bottom w:val="single" w:color="auto" w:sz="4" w:space="0"/>
            </w:tcBorders>
            <w:noWrap w:val="0"/>
            <w:vAlign w:val="top"/>
          </w:tcPr>
          <w:p>
            <w:pPr>
              <w:tabs>
                <w:tab w:val="left" w:pos="900"/>
              </w:tabs>
              <w:snapToGrid w:val="0"/>
              <w:spacing w:before="120" w:after="120"/>
              <w:ind w:right="-24"/>
              <w:jc w:val="center"/>
              <w:rPr>
                <w:rFonts w:ascii="宋体" w:hAnsi="宋体"/>
                <w:color w:val="auto"/>
                <w:highlight w:val="none"/>
              </w:rPr>
            </w:pPr>
            <w:r>
              <w:rPr>
                <w:rFonts w:hint="eastAsia" w:ascii="宋体" w:hAnsi="宋体" w:cs="宋体"/>
                <w:color w:val="auto"/>
                <w:kern w:val="0"/>
                <w:szCs w:val="21"/>
                <w:highlight w:val="none"/>
                <w:lang w:bidi="ar"/>
              </w:rPr>
              <w:t>投标报价</w:t>
            </w:r>
            <w:r>
              <w:rPr>
                <w:rFonts w:hint="eastAsia" w:ascii="宋体" w:hAnsi="宋体"/>
                <w:color w:val="auto"/>
                <w:highlight w:val="none"/>
              </w:rPr>
              <w:t>(元)</w:t>
            </w:r>
          </w:p>
        </w:tc>
        <w:tc>
          <w:tcPr>
            <w:tcW w:w="1290" w:type="dxa"/>
            <w:tcBorders>
              <w:bottom w:val="single" w:color="auto" w:sz="4" w:space="0"/>
            </w:tcBorders>
            <w:noWrap w:val="0"/>
            <w:vAlign w:val="center"/>
          </w:tcPr>
          <w:p>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b/>
                <w:bCs/>
                <w:i w:val="0"/>
                <w:iCs w:val="0"/>
                <w:color w:val="000000"/>
                <w:kern w:val="0"/>
                <w:sz w:val="22"/>
                <w:szCs w:val="22"/>
                <w:u w:val="none"/>
                <w:lang w:val="en-US" w:eastAsia="zh-CN" w:bidi="ar"/>
              </w:rPr>
              <w:t>一</w:t>
            </w:r>
          </w:p>
        </w:tc>
        <w:tc>
          <w:tcPr>
            <w:tcW w:w="2242" w:type="dxa"/>
            <w:tcBorders>
              <w:top w:val="single" w:color="auto" w:sz="4" w:space="0"/>
              <w:bottom w:val="single" w:color="auto" w:sz="4" w:space="0"/>
            </w:tcBorders>
            <w:noWrap w:val="0"/>
            <w:vAlign w:val="center"/>
          </w:tcPr>
          <w:p>
            <w:pPr>
              <w:keepNext w:val="0"/>
              <w:keepLines w:val="0"/>
              <w:widowControl/>
              <w:suppressLineNumbers w:val="0"/>
              <w:jc w:val="left"/>
              <w:textAlignment w:val="center"/>
              <w:rPr>
                <w:rFonts w:ascii="宋体" w:hAnsi="宋体"/>
                <w:color w:val="auto"/>
                <w:highlight w:val="none"/>
              </w:rPr>
            </w:pPr>
            <w:r>
              <w:rPr>
                <w:rFonts w:hint="eastAsia" w:ascii="宋体" w:hAnsi="宋体" w:eastAsia="宋体" w:cs="宋体"/>
                <w:b/>
                <w:bCs/>
                <w:i w:val="0"/>
                <w:iCs w:val="0"/>
                <w:color w:val="000000"/>
                <w:kern w:val="0"/>
                <w:sz w:val="22"/>
                <w:szCs w:val="22"/>
                <w:u w:val="none"/>
                <w:lang w:val="en-US" w:eastAsia="zh-CN" w:bidi="ar"/>
              </w:rPr>
              <w:t>变电工程</w:t>
            </w:r>
          </w:p>
        </w:tc>
        <w:tc>
          <w:tcPr>
            <w:tcW w:w="1519" w:type="dxa"/>
            <w:noWrap w:val="0"/>
            <w:vAlign w:val="center"/>
          </w:tcPr>
          <w:p>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b/>
                <w:bCs/>
                <w:i w:val="0"/>
                <w:iCs w:val="0"/>
                <w:color w:val="000000"/>
                <w:kern w:val="0"/>
                <w:sz w:val="22"/>
                <w:szCs w:val="22"/>
                <w:u w:val="none"/>
                <w:lang w:val="en-US" w:eastAsia="zh-CN" w:bidi="ar"/>
              </w:rPr>
              <w:t xml:space="preserve">334529.05 </w:t>
            </w:r>
          </w:p>
        </w:tc>
        <w:tc>
          <w:tcPr>
            <w:tcW w:w="1419" w:type="dxa"/>
            <w:vMerge w:val="restart"/>
            <w:tcBorders>
              <w:top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1515" w:type="dxa"/>
            <w:tcBorders>
              <w:top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1290"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2"/>
                <w:szCs w:val="22"/>
                <w:u w:val="none"/>
                <w:lang w:val="en-US" w:eastAsia="zh-CN" w:bidi="ar"/>
              </w:rPr>
              <w:t>1</w:t>
            </w:r>
          </w:p>
        </w:tc>
        <w:tc>
          <w:tcPr>
            <w:tcW w:w="2242" w:type="dxa"/>
            <w:tcBorders>
              <w:top w:val="single" w:color="auto" w:sz="4" w:space="0"/>
              <w:bottom w:val="single" w:color="auto" w:sz="4" w:space="0"/>
            </w:tcBorders>
            <w:noWrap w:val="0"/>
            <w:vAlign w:val="center"/>
          </w:tcPr>
          <w:p>
            <w:pPr>
              <w:keepNext w:val="0"/>
              <w:keepLines w:val="0"/>
              <w:widowControl/>
              <w:suppressLineNumbers w:val="0"/>
              <w:jc w:val="left"/>
              <w:textAlignment w:val="center"/>
              <w:rPr>
                <w:rFonts w:hint="eastAsia" w:hAnsi="宋体"/>
                <w:color w:val="auto"/>
                <w:highlight w:val="none"/>
                <w:u w:val="single"/>
              </w:rPr>
            </w:pPr>
            <w:r>
              <w:rPr>
                <w:rFonts w:hint="eastAsia" w:ascii="宋体" w:hAnsi="宋体" w:eastAsia="宋体" w:cs="宋体"/>
                <w:i w:val="0"/>
                <w:iCs w:val="0"/>
                <w:color w:val="000000"/>
                <w:kern w:val="0"/>
                <w:sz w:val="22"/>
                <w:szCs w:val="22"/>
                <w:u w:val="none"/>
                <w:lang w:val="en-US" w:eastAsia="zh-CN" w:bidi="ar"/>
              </w:rPr>
              <w:t>110kV太平站扩建第三台主变工程</w:t>
            </w:r>
          </w:p>
        </w:tc>
        <w:tc>
          <w:tcPr>
            <w:tcW w:w="151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334529.05 </w:t>
            </w:r>
          </w:p>
        </w:tc>
        <w:tc>
          <w:tcPr>
            <w:tcW w:w="1419" w:type="dxa"/>
            <w:vMerge w:val="continue"/>
            <w:noWrap w:val="0"/>
            <w:vAlign w:val="center"/>
          </w:tcPr>
          <w:p>
            <w:pPr>
              <w:tabs>
                <w:tab w:val="left" w:pos="900"/>
              </w:tabs>
              <w:snapToGrid w:val="0"/>
              <w:spacing w:before="60" w:after="120"/>
              <w:ind w:right="-24"/>
              <w:jc w:val="center"/>
              <w:rPr>
                <w:rFonts w:hint="eastAsia" w:ascii="宋体" w:hAnsi="宋体" w:cs="宋体"/>
                <w:color w:val="auto"/>
                <w:kern w:val="0"/>
                <w:szCs w:val="21"/>
                <w:highlight w:val="none"/>
                <w:u w:val="single"/>
                <w:lang w:val="en-US" w:eastAsia="zh-CN"/>
              </w:rPr>
            </w:pPr>
          </w:p>
        </w:tc>
        <w:tc>
          <w:tcPr>
            <w:tcW w:w="1515" w:type="dxa"/>
            <w:tcBorders>
              <w:top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1290"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b/>
                <w:bCs/>
                <w:i w:val="0"/>
                <w:iCs w:val="0"/>
                <w:color w:val="000000"/>
                <w:kern w:val="0"/>
                <w:sz w:val="22"/>
                <w:szCs w:val="22"/>
                <w:u w:val="none"/>
                <w:lang w:val="en-US" w:eastAsia="zh-CN" w:bidi="ar"/>
              </w:rPr>
              <w:t>二</w:t>
            </w:r>
          </w:p>
        </w:tc>
        <w:tc>
          <w:tcPr>
            <w:tcW w:w="2242" w:type="dxa"/>
            <w:tcBorders>
              <w:top w:val="single" w:color="auto" w:sz="4" w:space="0"/>
              <w:bottom w:val="single" w:color="auto" w:sz="4" w:space="0"/>
            </w:tcBorders>
            <w:noWrap w:val="0"/>
            <w:vAlign w:val="center"/>
          </w:tcPr>
          <w:p>
            <w:pPr>
              <w:keepNext w:val="0"/>
              <w:keepLines w:val="0"/>
              <w:widowControl/>
              <w:suppressLineNumbers w:val="0"/>
              <w:jc w:val="left"/>
              <w:textAlignment w:val="center"/>
              <w:rPr>
                <w:rFonts w:hint="eastAsia" w:hAnsi="宋体"/>
                <w:color w:val="auto"/>
                <w:highlight w:val="none"/>
                <w:u w:val="single"/>
              </w:rPr>
            </w:pPr>
            <w:r>
              <w:rPr>
                <w:rFonts w:hint="eastAsia" w:ascii="宋体" w:hAnsi="宋体" w:eastAsia="宋体" w:cs="宋体"/>
                <w:b/>
                <w:bCs/>
                <w:i w:val="0"/>
                <w:iCs w:val="0"/>
                <w:color w:val="000000"/>
                <w:kern w:val="0"/>
                <w:sz w:val="22"/>
                <w:szCs w:val="22"/>
                <w:u w:val="none"/>
                <w:lang w:val="en-US" w:eastAsia="zh-CN" w:bidi="ar"/>
              </w:rPr>
              <w:t>线路工程</w:t>
            </w:r>
          </w:p>
        </w:tc>
        <w:tc>
          <w:tcPr>
            <w:tcW w:w="151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 xml:space="preserve">86959.55 </w:t>
            </w:r>
          </w:p>
        </w:tc>
        <w:tc>
          <w:tcPr>
            <w:tcW w:w="1419" w:type="dxa"/>
            <w:vMerge w:val="continue"/>
            <w:noWrap w:val="0"/>
            <w:vAlign w:val="center"/>
          </w:tcPr>
          <w:p>
            <w:pPr>
              <w:tabs>
                <w:tab w:val="left" w:pos="900"/>
              </w:tabs>
              <w:snapToGrid w:val="0"/>
              <w:spacing w:before="60" w:after="120"/>
              <w:ind w:right="-24"/>
              <w:jc w:val="center"/>
              <w:rPr>
                <w:rFonts w:hint="eastAsia" w:ascii="宋体" w:hAnsi="宋体" w:cs="宋体"/>
                <w:color w:val="auto"/>
                <w:kern w:val="0"/>
                <w:szCs w:val="21"/>
                <w:highlight w:val="none"/>
                <w:u w:val="single"/>
                <w:lang w:val="en-US" w:eastAsia="zh-CN"/>
              </w:rPr>
            </w:pPr>
          </w:p>
        </w:tc>
        <w:tc>
          <w:tcPr>
            <w:tcW w:w="1515" w:type="dxa"/>
            <w:tcBorders>
              <w:top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1290"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2"/>
                <w:szCs w:val="22"/>
                <w:u w:val="none"/>
                <w:lang w:val="en-US" w:eastAsia="zh-CN" w:bidi="ar"/>
              </w:rPr>
              <w:t>1</w:t>
            </w:r>
          </w:p>
        </w:tc>
        <w:tc>
          <w:tcPr>
            <w:tcW w:w="2242" w:type="dxa"/>
            <w:tcBorders>
              <w:top w:val="single" w:color="auto" w:sz="4" w:space="0"/>
              <w:bottom w:val="single" w:color="auto" w:sz="4" w:space="0"/>
            </w:tcBorders>
            <w:noWrap w:val="0"/>
            <w:vAlign w:val="center"/>
          </w:tcPr>
          <w:p>
            <w:pPr>
              <w:keepNext w:val="0"/>
              <w:keepLines w:val="0"/>
              <w:widowControl/>
              <w:suppressLineNumbers w:val="0"/>
              <w:jc w:val="left"/>
              <w:textAlignment w:val="center"/>
              <w:rPr>
                <w:rFonts w:hint="eastAsia" w:hAnsi="宋体"/>
                <w:color w:val="auto"/>
                <w:highlight w:val="none"/>
                <w:u w:val="single"/>
              </w:rPr>
            </w:pPr>
            <w:r>
              <w:rPr>
                <w:rFonts w:hint="eastAsia" w:ascii="宋体" w:hAnsi="宋体" w:eastAsia="宋体" w:cs="宋体"/>
                <w:i w:val="0"/>
                <w:iCs w:val="0"/>
                <w:color w:val="000000"/>
                <w:kern w:val="0"/>
                <w:sz w:val="22"/>
                <w:szCs w:val="22"/>
                <w:u w:val="none"/>
                <w:lang w:val="en-US" w:eastAsia="zh-CN" w:bidi="ar"/>
              </w:rPr>
              <w:t>110kV太平站主接线改造电缆线路</w:t>
            </w:r>
          </w:p>
        </w:tc>
        <w:tc>
          <w:tcPr>
            <w:tcW w:w="151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16527.55 </w:t>
            </w:r>
          </w:p>
        </w:tc>
        <w:tc>
          <w:tcPr>
            <w:tcW w:w="1419" w:type="dxa"/>
            <w:vMerge w:val="continue"/>
            <w:noWrap w:val="0"/>
            <w:vAlign w:val="center"/>
          </w:tcPr>
          <w:p>
            <w:pPr>
              <w:tabs>
                <w:tab w:val="left" w:pos="900"/>
              </w:tabs>
              <w:snapToGrid w:val="0"/>
              <w:spacing w:before="60" w:after="120"/>
              <w:ind w:right="-24"/>
              <w:jc w:val="center"/>
              <w:rPr>
                <w:rFonts w:hint="eastAsia" w:ascii="宋体" w:hAnsi="宋体" w:cs="宋体"/>
                <w:color w:val="auto"/>
                <w:kern w:val="0"/>
                <w:szCs w:val="21"/>
                <w:highlight w:val="none"/>
                <w:u w:val="single"/>
                <w:lang w:val="en-US" w:eastAsia="zh-CN"/>
              </w:rPr>
            </w:pPr>
          </w:p>
        </w:tc>
        <w:tc>
          <w:tcPr>
            <w:tcW w:w="1515" w:type="dxa"/>
            <w:tcBorders>
              <w:top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1290"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color w:val="auto"/>
                <w:highlight w:val="none"/>
              </w:rPr>
            </w:pPr>
            <w:r>
              <w:rPr>
                <w:rFonts w:hint="eastAsia" w:ascii="宋体" w:hAnsi="宋体" w:eastAsia="宋体" w:cs="宋体"/>
                <w:i w:val="0"/>
                <w:iCs w:val="0"/>
                <w:color w:val="000000"/>
                <w:kern w:val="0"/>
                <w:sz w:val="22"/>
                <w:szCs w:val="22"/>
                <w:u w:val="none"/>
                <w:lang w:val="en-US" w:eastAsia="zh-CN" w:bidi="ar"/>
              </w:rPr>
              <w:t>2</w:t>
            </w:r>
          </w:p>
        </w:tc>
        <w:tc>
          <w:tcPr>
            <w:tcW w:w="2242" w:type="dxa"/>
            <w:tcBorders>
              <w:top w:val="single" w:color="auto" w:sz="4" w:space="0"/>
              <w:bottom w:val="single" w:color="auto" w:sz="4" w:space="0"/>
            </w:tcBorders>
            <w:noWrap w:val="0"/>
            <w:vAlign w:val="center"/>
          </w:tcPr>
          <w:p>
            <w:pPr>
              <w:keepNext w:val="0"/>
              <w:keepLines w:val="0"/>
              <w:widowControl/>
              <w:suppressLineNumbers w:val="0"/>
              <w:jc w:val="left"/>
              <w:textAlignment w:val="center"/>
              <w:rPr>
                <w:rFonts w:hint="eastAsia" w:hAnsi="宋体"/>
                <w:color w:val="auto"/>
                <w:highlight w:val="none"/>
                <w:u w:val="single"/>
              </w:rPr>
            </w:pPr>
            <w:r>
              <w:rPr>
                <w:rFonts w:hint="eastAsia" w:ascii="宋体" w:hAnsi="宋体" w:eastAsia="宋体" w:cs="宋体"/>
                <w:i w:val="0"/>
                <w:iCs w:val="0"/>
                <w:color w:val="000000"/>
                <w:kern w:val="0"/>
                <w:sz w:val="22"/>
                <w:szCs w:val="22"/>
                <w:u w:val="none"/>
                <w:lang w:val="en-US" w:eastAsia="zh-CN" w:bidi="ar"/>
              </w:rPr>
              <w:t>110kV汉太线导线增容改造工程</w:t>
            </w:r>
          </w:p>
        </w:tc>
        <w:tc>
          <w:tcPr>
            <w:tcW w:w="151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70432.00 </w:t>
            </w:r>
          </w:p>
        </w:tc>
        <w:tc>
          <w:tcPr>
            <w:tcW w:w="1419" w:type="dxa"/>
            <w:vMerge w:val="continue"/>
            <w:noWrap w:val="0"/>
            <w:vAlign w:val="center"/>
          </w:tcPr>
          <w:p>
            <w:pPr>
              <w:tabs>
                <w:tab w:val="left" w:pos="900"/>
              </w:tabs>
              <w:snapToGrid w:val="0"/>
              <w:spacing w:before="60" w:after="120"/>
              <w:ind w:right="-24"/>
              <w:jc w:val="center"/>
              <w:rPr>
                <w:rFonts w:hint="eastAsia" w:ascii="宋体" w:hAnsi="宋体" w:cs="宋体"/>
                <w:color w:val="auto"/>
                <w:kern w:val="0"/>
                <w:szCs w:val="21"/>
                <w:highlight w:val="none"/>
                <w:u w:val="single"/>
                <w:lang w:val="en-US" w:eastAsia="zh-CN"/>
              </w:rPr>
            </w:pPr>
          </w:p>
        </w:tc>
        <w:tc>
          <w:tcPr>
            <w:tcW w:w="1515" w:type="dxa"/>
            <w:tcBorders>
              <w:top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1290"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242" w:type="dxa"/>
            <w:tcBorders>
              <w:top w:val="single" w:color="auto" w:sz="4" w:space="0"/>
              <w:bottom w:val="single" w:color="auto" w:sz="4" w:space="0"/>
            </w:tcBorders>
            <w:noWrap w:val="0"/>
            <w:vAlign w:val="center"/>
          </w:tcPr>
          <w:p>
            <w:pPr>
              <w:keepNext w:val="0"/>
              <w:keepLines w:val="0"/>
              <w:widowControl/>
              <w:suppressLineNumbers w:val="0"/>
              <w:ind w:firstLine="663" w:firstLineChars="30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合  计</w:t>
            </w:r>
          </w:p>
        </w:tc>
        <w:tc>
          <w:tcPr>
            <w:tcW w:w="1519"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421488.60</w:t>
            </w:r>
          </w:p>
        </w:tc>
        <w:tc>
          <w:tcPr>
            <w:tcW w:w="1419" w:type="dxa"/>
            <w:vMerge w:val="continue"/>
            <w:noWrap w:val="0"/>
            <w:vAlign w:val="center"/>
          </w:tcPr>
          <w:p>
            <w:pPr>
              <w:tabs>
                <w:tab w:val="left" w:pos="900"/>
              </w:tabs>
              <w:snapToGrid w:val="0"/>
              <w:spacing w:before="60" w:after="120"/>
              <w:ind w:right="-24"/>
              <w:jc w:val="center"/>
              <w:rPr>
                <w:rFonts w:hint="eastAsia" w:ascii="宋体" w:hAnsi="宋体" w:cs="宋体"/>
                <w:color w:val="auto"/>
                <w:kern w:val="0"/>
                <w:szCs w:val="21"/>
                <w:highlight w:val="none"/>
                <w:u w:val="single"/>
                <w:lang w:val="en-US" w:eastAsia="zh-CN"/>
              </w:rPr>
            </w:pPr>
          </w:p>
        </w:tc>
        <w:tc>
          <w:tcPr>
            <w:tcW w:w="1515" w:type="dxa"/>
            <w:tcBorders>
              <w:top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1290"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bookmarkEnd w:id="8"/>
    </w:tbl>
    <w:p>
      <w:pPr>
        <w:pStyle w:val="5"/>
        <w:rPr>
          <w:rFonts w:hint="eastAsia"/>
          <w:highlight w:val="none"/>
          <w:lang w:val="en-US" w:eastAsia="zh-CN"/>
        </w:rPr>
      </w:pPr>
    </w:p>
    <w:p>
      <w:pPr>
        <w:rPr>
          <w:rFonts w:hint="eastAsia"/>
          <w:highlight w:val="none"/>
          <w:lang w:val="en-US" w:eastAsia="zh-CN"/>
        </w:rPr>
      </w:pPr>
    </w:p>
    <w:p>
      <w:pPr>
        <w:pStyle w:val="3"/>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pPr>
        <w:pStyle w:val="1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（1）按下浮率报价（保留两位小数，如 8.88%），同时填报投标报价（投标报价=最高投标限价*（1-投标下浮率），四舍五入保留两位小数）。当投标报价与投标下浮率计算结果不一致时，以投标下浮率为准，按上述公式修订投标报价，如单项报价与投标下浮率不对应的也需按投标下浮率修正单项报价。</w:t>
      </w:r>
    </w:p>
    <w:p>
      <w:pPr>
        <w:pStyle w:val="1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（2）投标下浮率不低于0%为有效报价；当投标下浮率＞10%时应附成本分析报告，充分说明单价和费用的组成、降低成本的合理措施及在其他工程中应用过的经验等，经评审通过后方可视为有效报价。</w:t>
      </w:r>
    </w:p>
    <w:p>
      <w:pPr>
        <w:pStyle w:val="10"/>
      </w:pPr>
      <w:r>
        <w:rPr>
          <w:rFonts w:hint="eastAsia" w:asciiTheme="minorEastAsia" w:hAnsiTheme="minorEastAsia" w:eastAsiaTheme="minorEastAsia" w:cstheme="minorEastAsia"/>
          <w:b w:val="0"/>
          <w:bCs/>
          <w:color w:val="auto"/>
          <w:kern w:val="0"/>
          <w:sz w:val="24"/>
          <w:szCs w:val="24"/>
          <w:lang w:val="en-US" w:eastAsia="zh-CN" w:bidi="ar-SA"/>
        </w:rPr>
        <w:t>（3）价格分计算时，投标人评标价按（100-投标人填写的下浮数值）参与计算。如：下浮率为1.88％时，评标价按（100-1.88）参与计算。</w:t>
      </w:r>
    </w:p>
    <w:p>
      <w:pPr>
        <w:pStyle w:val="3"/>
        <w:rPr>
          <w:rFonts w:hint="eastAsia" w:ascii="宋体" w:hAnsi="宋体" w:eastAsia="宋体" w:cs="宋体"/>
          <w:color w:val="auto"/>
          <w:kern w:val="2"/>
          <w:sz w:val="24"/>
          <w:szCs w:val="24"/>
          <w:highlight w:val="none"/>
          <w:u w:val="none"/>
          <w:lang w:val="en-US" w:eastAsia="zh-CN" w:bidi="ar-SA"/>
        </w:rPr>
      </w:pPr>
      <w:r>
        <w:rPr>
          <w:rFonts w:hint="eastAsia" w:asciiTheme="minorEastAsia" w:hAnsiTheme="minorEastAsia" w:eastAsiaTheme="minorEastAsia" w:cstheme="minorEastAsia"/>
          <w:b w:val="0"/>
          <w:bCs/>
          <w:color w:val="auto"/>
          <w:kern w:val="0"/>
          <w:sz w:val="24"/>
          <w:szCs w:val="24"/>
          <w:highlight w:val="none"/>
          <w:lang w:val="en-US" w:eastAsia="zh-CN" w:bidi="ar-SA"/>
        </w:rPr>
        <w:t xml:space="preserve">   </w:t>
      </w:r>
    </w:p>
    <w:p>
      <w:pPr>
        <w:pStyle w:val="6"/>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pPr>
        <w:pStyle w:val="4"/>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u w:val="single"/>
          <w:lang w:val="en-US" w:eastAsia="zh-CN" w:bidi="ar-SA"/>
        </w:rPr>
        <w:t>本合同为暂定价合同，结算方式详见合同条款。</w:t>
      </w:r>
      <w:r>
        <w:rPr>
          <w:rFonts w:hint="eastAsia" w:ascii="宋体" w:hAnsi="宋体" w:eastAsia="宋体" w:cs="宋体"/>
          <w:color w:val="auto"/>
          <w:kern w:val="2"/>
          <w:sz w:val="24"/>
          <w:szCs w:val="24"/>
          <w:highlight w:val="none"/>
          <w:u w:val="singl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pPr>
        <w:pStyle w:val="2"/>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pPr>
        <w:pStyle w:val="2"/>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pPr>
        <w:pStyle w:val="4"/>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pPr>
        <w:rPr>
          <w:rFonts w:hint="eastAsia" w:ascii="宋体" w:hAnsi="宋体" w:eastAsia="宋体" w:cs="宋体"/>
          <w:color w:val="auto"/>
          <w:kern w:val="2"/>
          <w:sz w:val="24"/>
          <w:szCs w:val="24"/>
          <w:highlight w:val="none"/>
          <w:u w:val="single"/>
          <w:lang w:val="en-US" w:eastAsia="zh-CN" w:bidi="ar-SA"/>
        </w:rPr>
      </w:pPr>
    </w:p>
    <w:p>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pPr>
        <w:pStyle w:val="10"/>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pPr>
        <w:pStyle w:val="6"/>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1"/>
    </w:p>
    <w:p>
      <w:pPr>
        <w:pStyle w:val="10"/>
        <w:rPr>
          <w:rFonts w:hint="eastAsia" w:asciiTheme="minorEastAsia" w:hAnsiTheme="minorEastAsia" w:eastAsiaTheme="minorEastAsia" w:cstheme="minorEastAsia"/>
          <w:i w:val="0"/>
          <w:iCs/>
          <w:color w:val="auto"/>
          <w:sz w:val="24"/>
          <w:szCs w:val="24"/>
          <w:highlight w:val="none"/>
        </w:rPr>
      </w:pPr>
    </w:p>
    <w:p>
      <w:pPr>
        <w:pStyle w:val="6"/>
        <w:spacing w:before="0" w:after="0" w:line="240" w:lineRule="auto"/>
        <w:rPr>
          <w:rFonts w:hint="eastAsia" w:asciiTheme="minorEastAsia" w:hAnsiTheme="minorEastAsia" w:eastAsiaTheme="minorEastAsia" w:cstheme="minorEastAsia"/>
          <w:i w:val="0"/>
          <w:iCs/>
          <w:color w:val="auto"/>
          <w:sz w:val="24"/>
          <w:szCs w:val="24"/>
          <w:highlight w:val="none"/>
        </w:rPr>
      </w:pPr>
      <w:bookmarkStart w:id="2"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pPr>
        <w:pStyle w:val="6"/>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pPr>
        <w:pStyle w:val="6"/>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pPr>
        <w:pStyle w:val="10"/>
        <w:numPr>
          <w:ilvl w:val="0"/>
          <w:numId w:val="0"/>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pPr>
        <w:pStyle w:val="10"/>
        <w:numPr>
          <w:ilvl w:val="0"/>
          <w:numId w:val="3"/>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pPr>
        <w:pStyle w:val="10"/>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pPr>
        <w:pStyle w:val="10"/>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pPr>
        <w:pStyle w:val="10"/>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pPr>
        <w:pStyle w:val="10"/>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pPr>
        <w:pStyle w:val="10"/>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pPr>
        <w:pStyle w:val="10"/>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pPr>
        <w:pStyle w:val="10"/>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pPr>
        <w:pStyle w:val="10"/>
        <w:numPr>
          <w:ilvl w:val="0"/>
          <w:numId w:val="3"/>
        </w:numPr>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pPr>
        <w:pStyle w:val="6"/>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0"/>
      <w:bookmarkStart w:id="4" w:name="_Toc11396"/>
      <w:r>
        <w:rPr>
          <w:rFonts w:hint="eastAsia" w:asciiTheme="minorEastAsia" w:hAnsiTheme="minorEastAsia" w:eastAsiaTheme="minorEastAsia" w:cstheme="minorEastAsia"/>
          <w:i w:val="0"/>
          <w:iCs/>
          <w:color w:val="auto"/>
          <w:sz w:val="24"/>
          <w:szCs w:val="24"/>
          <w:highlight w:val="none"/>
          <w:lang w:eastAsia="zh-CN"/>
        </w:rPr>
        <w:t>三、</w:t>
      </w:r>
      <w:bookmarkEnd w:id="3"/>
      <w:r>
        <w:rPr>
          <w:rFonts w:hint="eastAsia" w:asciiTheme="minorEastAsia" w:hAnsiTheme="minorEastAsia" w:eastAsiaTheme="minorEastAsia" w:cstheme="minorEastAsia"/>
          <w:i w:val="0"/>
          <w:iCs/>
          <w:color w:val="auto"/>
          <w:sz w:val="24"/>
          <w:szCs w:val="24"/>
          <w:highlight w:val="none"/>
          <w:lang w:eastAsia="zh-CN"/>
        </w:rPr>
        <w:t>图纸</w:t>
      </w:r>
      <w:bookmarkEnd w:id="4"/>
    </w:p>
    <w:p>
      <w:pPr>
        <w:spacing w:line="360" w:lineRule="auto"/>
        <w:ind w:firstLine="480" w:firstLineChars="200"/>
        <w:rPr>
          <w:rFonts w:hint="eastAsia"/>
          <w:color w:val="auto"/>
          <w:sz w:val="24"/>
          <w:szCs w:val="24"/>
          <w:highlight w:val="none"/>
        </w:rPr>
      </w:pPr>
      <w:bookmarkStart w:id="5" w:name="_Toc482188644"/>
      <w:r>
        <w:rPr>
          <w:rFonts w:hint="eastAsia"/>
          <w:color w:val="auto"/>
          <w:sz w:val="24"/>
          <w:szCs w:val="24"/>
          <w:highlight w:val="none"/>
        </w:rPr>
        <w:t>有关设计文件、图纸及资料。</w:t>
      </w:r>
    </w:p>
    <w:p>
      <w:pPr>
        <w:pStyle w:val="6"/>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6" w:name="_Toc30760"/>
      <w:r>
        <w:rPr>
          <w:rFonts w:hint="eastAsia" w:asciiTheme="minorEastAsia" w:hAnsiTheme="minorEastAsia" w:eastAsiaTheme="minorEastAsia" w:cstheme="minorEastAsia"/>
          <w:i w:val="0"/>
          <w:iCs/>
          <w:color w:val="auto"/>
          <w:sz w:val="24"/>
          <w:szCs w:val="24"/>
          <w:highlight w:val="none"/>
          <w:lang w:eastAsia="zh-CN"/>
        </w:rPr>
        <w:t>四、</w:t>
      </w:r>
      <w:bookmarkEnd w:id="5"/>
      <w:bookmarkStart w:id="7"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6"/>
      <w:bookmarkEnd w:id="7"/>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工程前期有关文件（可研审批文件）</w:t>
      </w:r>
      <w:r>
        <w:rPr>
          <w:rFonts w:hint="eastAsia" w:asciiTheme="minorEastAsia" w:hAnsiTheme="minorEastAsia" w:eastAsiaTheme="minorEastAsia" w:cstheme="minorEastAsia"/>
          <w:color w:val="auto"/>
          <w:sz w:val="24"/>
          <w:szCs w:val="24"/>
          <w:highlight w:val="none"/>
          <w:lang w:eastAsia="zh-CN"/>
        </w:rPr>
        <w:t>。</w:t>
      </w:r>
    </w:p>
    <w:p>
      <w:pPr>
        <w:pStyle w:val="15"/>
        <w:rPr>
          <w:rFonts w:hint="eastAsia" w:asciiTheme="minorEastAsia" w:hAnsiTheme="minorEastAsia" w:eastAsiaTheme="minorEastAsia" w:cstheme="minorEastAsia"/>
          <w:color w:val="auto"/>
          <w:sz w:val="24"/>
          <w:szCs w:val="24"/>
          <w:highlight w:val="none"/>
        </w:rPr>
      </w:pPr>
    </w:p>
    <w:p>
      <w:pPr>
        <w:pStyle w:val="15"/>
        <w:rPr>
          <w:rFonts w:hint="eastAsia" w:asciiTheme="minorEastAsia" w:hAnsiTheme="minorEastAsia" w:eastAsiaTheme="minorEastAsia" w:cstheme="minorEastAsia"/>
          <w:color w:val="auto"/>
          <w:sz w:val="24"/>
          <w:szCs w:val="24"/>
          <w:highlight w:val="none"/>
        </w:rPr>
      </w:pPr>
    </w:p>
    <w:p>
      <w:pPr>
        <w:pStyle w:val="10"/>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4122DDE1"/>
    <w:multiLevelType w:val="singleLevel"/>
    <w:tmpl w:val="4122DDE1"/>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34C42F7"/>
    <w:rsid w:val="03F1316B"/>
    <w:rsid w:val="04A24F71"/>
    <w:rsid w:val="076F3B3B"/>
    <w:rsid w:val="07CA37DF"/>
    <w:rsid w:val="07CC3833"/>
    <w:rsid w:val="0BC07002"/>
    <w:rsid w:val="0BD30473"/>
    <w:rsid w:val="0D325F3F"/>
    <w:rsid w:val="0E2F4C02"/>
    <w:rsid w:val="0E3616E0"/>
    <w:rsid w:val="0E937FF7"/>
    <w:rsid w:val="0F81532F"/>
    <w:rsid w:val="107144D2"/>
    <w:rsid w:val="116419AD"/>
    <w:rsid w:val="11794537"/>
    <w:rsid w:val="11DF6CFE"/>
    <w:rsid w:val="13383335"/>
    <w:rsid w:val="14440D4B"/>
    <w:rsid w:val="14B666F3"/>
    <w:rsid w:val="15056A61"/>
    <w:rsid w:val="182633AB"/>
    <w:rsid w:val="18E57496"/>
    <w:rsid w:val="1A2D5CFF"/>
    <w:rsid w:val="1A386933"/>
    <w:rsid w:val="1A4F176B"/>
    <w:rsid w:val="1A912F72"/>
    <w:rsid w:val="1B663F82"/>
    <w:rsid w:val="1C2D4629"/>
    <w:rsid w:val="1C43636C"/>
    <w:rsid w:val="1CED5883"/>
    <w:rsid w:val="1D904223"/>
    <w:rsid w:val="1F653C49"/>
    <w:rsid w:val="1F6C0D31"/>
    <w:rsid w:val="1FF914D4"/>
    <w:rsid w:val="20735046"/>
    <w:rsid w:val="216F4D5B"/>
    <w:rsid w:val="23B738BA"/>
    <w:rsid w:val="24E67795"/>
    <w:rsid w:val="24F737D8"/>
    <w:rsid w:val="25100685"/>
    <w:rsid w:val="26A73075"/>
    <w:rsid w:val="2CA17C08"/>
    <w:rsid w:val="2DDF66E3"/>
    <w:rsid w:val="2FF65FF8"/>
    <w:rsid w:val="300D195C"/>
    <w:rsid w:val="30BF37B5"/>
    <w:rsid w:val="31C955A9"/>
    <w:rsid w:val="31DC7624"/>
    <w:rsid w:val="33B200AF"/>
    <w:rsid w:val="33E61BE2"/>
    <w:rsid w:val="34E16ED3"/>
    <w:rsid w:val="35F4352F"/>
    <w:rsid w:val="361736AD"/>
    <w:rsid w:val="36D200CF"/>
    <w:rsid w:val="379951F8"/>
    <w:rsid w:val="38382DC3"/>
    <w:rsid w:val="38DE045C"/>
    <w:rsid w:val="3A546240"/>
    <w:rsid w:val="3BF24D81"/>
    <w:rsid w:val="3BFE7BEA"/>
    <w:rsid w:val="3C4750A3"/>
    <w:rsid w:val="3C4A35F1"/>
    <w:rsid w:val="3E664B6D"/>
    <w:rsid w:val="3ED7087B"/>
    <w:rsid w:val="3F141BFC"/>
    <w:rsid w:val="41A00B95"/>
    <w:rsid w:val="444D481C"/>
    <w:rsid w:val="44982260"/>
    <w:rsid w:val="44D414C9"/>
    <w:rsid w:val="45E21B26"/>
    <w:rsid w:val="46472D5E"/>
    <w:rsid w:val="496A657E"/>
    <w:rsid w:val="49843C09"/>
    <w:rsid w:val="4B3A1BDA"/>
    <w:rsid w:val="4BF83760"/>
    <w:rsid w:val="4C8349B8"/>
    <w:rsid w:val="520D6E5F"/>
    <w:rsid w:val="53115540"/>
    <w:rsid w:val="55C3156A"/>
    <w:rsid w:val="5782183A"/>
    <w:rsid w:val="57BD355E"/>
    <w:rsid w:val="59A5419F"/>
    <w:rsid w:val="5B0320E2"/>
    <w:rsid w:val="5B8B11A7"/>
    <w:rsid w:val="5B9E2EC4"/>
    <w:rsid w:val="6012643C"/>
    <w:rsid w:val="608606DE"/>
    <w:rsid w:val="610E324A"/>
    <w:rsid w:val="61F31EFD"/>
    <w:rsid w:val="63066BC7"/>
    <w:rsid w:val="63D0487B"/>
    <w:rsid w:val="64672037"/>
    <w:rsid w:val="64911DA0"/>
    <w:rsid w:val="65945D8D"/>
    <w:rsid w:val="66C35559"/>
    <w:rsid w:val="67D57489"/>
    <w:rsid w:val="68570F93"/>
    <w:rsid w:val="6A287B5E"/>
    <w:rsid w:val="6B303A1A"/>
    <w:rsid w:val="6C2C1679"/>
    <w:rsid w:val="6DAA2FDF"/>
    <w:rsid w:val="6E121228"/>
    <w:rsid w:val="6FC971BF"/>
    <w:rsid w:val="70D1495F"/>
    <w:rsid w:val="70ED510D"/>
    <w:rsid w:val="721D44F1"/>
    <w:rsid w:val="74695E39"/>
    <w:rsid w:val="75053146"/>
    <w:rsid w:val="754C6F3B"/>
    <w:rsid w:val="75B11AFF"/>
    <w:rsid w:val="75D32619"/>
    <w:rsid w:val="765369C1"/>
    <w:rsid w:val="767D6887"/>
    <w:rsid w:val="780B6A75"/>
    <w:rsid w:val="79F83E18"/>
    <w:rsid w:val="7A262145"/>
    <w:rsid w:val="7BEC3F2B"/>
    <w:rsid w:val="7CE7227B"/>
    <w:rsid w:val="7D0F76D8"/>
    <w:rsid w:val="7DA60869"/>
    <w:rsid w:val="7E3420E0"/>
    <w:rsid w:val="7E535DCD"/>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5">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6">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3">
    <w:name w:val="Body Text"/>
    <w:basedOn w:val="1"/>
    <w:next w:val="4"/>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4">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Normal Indent"/>
    <w:basedOn w:val="1"/>
    <w:qFormat/>
    <w:uiPriority w:val="0"/>
    <w:pPr>
      <w:ind w:firstLine="420"/>
    </w:pPr>
    <w:rPr>
      <w:rFonts w:ascii="Times New Roman" w:hAnsi="Times New Roman" w:cs="Times New Roman"/>
      <w:kern w:val="0"/>
      <w:sz w:val="20"/>
      <w:szCs w:val="20"/>
    </w:rPr>
  </w:style>
  <w:style w:type="paragraph" w:styleId="8">
    <w:name w:val="annotation text"/>
    <w:basedOn w:val="1"/>
    <w:qFormat/>
    <w:uiPriority w:val="0"/>
    <w:pPr>
      <w:jc w:val="left"/>
    </w:pPr>
  </w:style>
  <w:style w:type="paragraph" w:styleId="9">
    <w:name w:val="Body Text Indent"/>
    <w:basedOn w:val="1"/>
    <w:qFormat/>
    <w:uiPriority w:val="0"/>
    <w:pPr>
      <w:spacing w:after="120"/>
      <w:ind w:left="420" w:leftChars="200"/>
    </w:pPr>
  </w:style>
  <w:style w:type="paragraph" w:styleId="10">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1">
    <w:name w:val="Normal (Web)"/>
    <w:basedOn w:val="1"/>
    <w:qFormat/>
    <w:uiPriority w:val="0"/>
    <w:rPr>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样式 宋体 四号 首行缩进:  2 字符"/>
    <w:qFormat/>
    <w:uiPriority w:val="0"/>
    <w:pPr>
      <w:widowControl/>
      <w:jc w:val="both"/>
    </w:pPr>
    <w:rPr>
      <w:rFonts w:ascii="Calibri" w:hAnsi="Calibri" w:eastAsia="宋体" w:cs="宋体"/>
      <w:color w:val="000000"/>
      <w:kern w:val="0"/>
      <w:sz w:val="21"/>
      <w:szCs w:val="20"/>
      <w:lang w:val="en-US" w:eastAsia="zh-CN" w:bidi="ar-SA"/>
    </w:rPr>
  </w:style>
  <w:style w:type="paragraph" w:customStyle="1" w:styleId="16">
    <w:name w:val="目录 21"/>
    <w:basedOn w:val="1"/>
    <w:next w:val="1"/>
    <w:qFormat/>
    <w:uiPriority w:val="0"/>
    <w:pPr>
      <w:spacing w:before="100" w:beforeAutospacing="1" w:after="100" w:afterAutospacing="1"/>
      <w:ind w:left="420" w:leftChars="200"/>
    </w:pPr>
  </w:style>
  <w:style w:type="paragraph" w:customStyle="1" w:styleId="17">
    <w:name w:val="正文首行缩进1"/>
    <w:basedOn w:val="1"/>
    <w:qFormat/>
    <w:uiPriority w:val="0"/>
    <w:pPr>
      <w:spacing w:line="360" w:lineRule="auto"/>
      <w:ind w:firstLine="200" w:firstLineChars="200"/>
    </w:pPr>
    <w:rPr>
      <w:kern w:val="2"/>
      <w:sz w:val="24"/>
      <w:szCs w:val="24"/>
    </w:rPr>
  </w:style>
  <w:style w:type="character" w:customStyle="1" w:styleId="18">
    <w:name w:val="font31"/>
    <w:basedOn w:val="14"/>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1716</Words>
  <Characters>1879</Characters>
  <Lines>0</Lines>
  <Paragraphs>0</Paragraphs>
  <TotalTime>0</TotalTime>
  <ScaleCrop>false</ScaleCrop>
  <LinksUpToDate>false</LinksUpToDate>
  <CharactersWithSpaces>2164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Administrator</cp:lastModifiedBy>
  <dcterms:modified xsi:type="dcterms:W3CDTF">2025-11-25T08:35:18Z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8A8C54658E2D41C7A1BB357F29FDF6BB</vt:lpwstr>
  </property>
  <property fmtid="{D5CDD505-2E9C-101B-9397-08002B2CF9AE}" pid="4" name="KSOTemplateDocerSaveRecord">
    <vt:lpwstr>eyJoZGlkIjoiN2E3MTllNmI5MGExMjc2MjBjZTE2MDE4MjgzYWM0NjgiLCJ1c2VySWQiOiI2NDIyMjU5MDAifQ==</vt:lpwstr>
  </property>
</Properties>
</file>