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bookmarkStart w:id="0" w:name="_Toc16603"/>
      <w:bookmarkStart w:id="394" w:name="_GoBack"/>
      <w:bookmarkEnd w:id="394"/>
      <w:r>
        <w:rPr>
          <w:rFonts w:hint="eastAsia" w:ascii="宋体" w:hAnsi="宋体" w:eastAsia="宋体" w:cs="宋体"/>
          <w:sz w:val="28"/>
          <w:szCs w:val="28"/>
        </w:rPr>
        <w:t>甲方</w:t>
      </w:r>
      <w:r>
        <w:rPr>
          <w:rFonts w:hint="eastAsia" w:ascii="宋体" w:hAnsi="宋体" w:cs="宋体"/>
          <w:sz w:val="28"/>
          <w:szCs w:val="28"/>
          <w:lang w:eastAsia="zh-CN"/>
        </w:rPr>
        <w:t>（</w:t>
      </w:r>
      <w:r>
        <w:rPr>
          <w:rFonts w:hint="eastAsia" w:ascii="宋体" w:hAnsi="宋体" w:cs="宋体"/>
          <w:sz w:val="28"/>
          <w:szCs w:val="28"/>
          <w:lang w:val="en-US" w:eastAsia="zh-CN"/>
        </w:rPr>
        <w:t>委托人</w:t>
      </w:r>
      <w:r>
        <w:rPr>
          <w:rFonts w:hint="eastAsia" w:ascii="宋体" w:hAnsi="宋体" w:cs="宋体"/>
          <w:sz w:val="28"/>
          <w:szCs w:val="28"/>
          <w:lang w:eastAsia="zh-CN"/>
        </w:rPr>
        <w:t>）</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6f8468de-a7cd-4890-8d4c-ca38c6f7ea7b}"/>
          </w:placeholder>
          <w:text/>
        </w:sdtPr>
        <w:sdtEndPr>
          <w:rPr>
            <w:rFonts w:hint="eastAsia" w:ascii="宋体" w:hAnsi="宋体" w:eastAsia="宋体" w:cs="宋体"/>
            <w:kern w:val="2"/>
            <w:sz w:val="28"/>
            <w:szCs w:val="28"/>
            <w:u w:val="single"/>
            <w:lang w:val="en-US" w:eastAsia="zh-CN" w:bidi="ar-SA"/>
          </w:rPr>
        </w:sdtEndPr>
        <w:sdtContent>
          <w:permStart w:id="0" w:edGrp="everyone"/>
          <w:r>
            <w:rPr>
              <w:rFonts w:hint="eastAsia" w:ascii="宋体" w:hAnsi="宋体" w:eastAsia="宋体" w:cs="宋体"/>
              <w:sz w:val="28"/>
              <w:szCs w:val="28"/>
              <w:u w:val="single"/>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甲方注册地址"/>
          <w:tag w:val="甲方注册地址"/>
          <w:id w:val="147474805"/>
          <w:placeholder>
            <w:docPart w:val="{38313ada-e7fc-45ff-8b83-635da07c8132}"/>
          </w:placeholder>
          <w:text/>
        </w:sdtPr>
        <w:sdtEndPr>
          <w:rPr>
            <w:rFonts w:hint="eastAsia" w:ascii="宋体" w:hAnsi="宋体" w:eastAsia="宋体" w:cs="宋体"/>
            <w:kern w:val="2"/>
            <w:sz w:val="28"/>
            <w:szCs w:val="28"/>
            <w:u w:val="single"/>
            <w:lang w:val="en-US" w:eastAsia="zh-CN" w:bidi="ar-SA"/>
          </w:rPr>
        </w:sdtEndPr>
        <w:sdtContent>
          <w:permStart w:id="1" w:edGrp="everyone"/>
          <w:r>
            <w:rPr>
              <w:rFonts w:hint="eastAsia" w:ascii="宋体" w:hAnsi="宋体" w:eastAsia="宋体" w:cs="宋体"/>
              <w:sz w:val="28"/>
              <w:szCs w:val="28"/>
              <w:u w:val="single"/>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甲方法定代表人或负责人"/>
          <w:tag w:val="甲方法定代表人或负责人"/>
          <w:id w:val="147474704"/>
          <w:placeholder>
            <w:docPart w:val="{8d58870b-617f-4119-933d-0284d8f4d59e}"/>
          </w:placeholder>
          <w:text/>
        </w:sdtPr>
        <w:sdtEndPr>
          <w:rPr>
            <w:rFonts w:hint="eastAsia" w:ascii="宋体" w:hAnsi="宋体" w:eastAsia="宋体" w:cs="宋体"/>
            <w:kern w:val="2"/>
            <w:sz w:val="28"/>
            <w:szCs w:val="28"/>
            <w:u w:val="single"/>
            <w:lang w:val="en-US" w:eastAsia="zh-CN" w:bidi="ar-SA"/>
          </w:rPr>
        </w:sdtEndPr>
        <w:sdtContent>
          <w:permStart w:id="2" w:edGrp="everyone"/>
          <w:r>
            <w:rPr>
              <w:rFonts w:hint="eastAsia" w:ascii="宋体" w:hAnsi="宋体" w:eastAsia="宋体" w:cs="宋体"/>
              <w:sz w:val="28"/>
              <w:szCs w:val="28"/>
              <w:u w:val="single"/>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e894ff84-3940-4f9f-a601-7cd44153abe2}"/>
          </w:placeholder>
          <w:text/>
        </w:sdtPr>
        <w:sdtEndPr>
          <w:rPr>
            <w:rFonts w:hint="eastAsia" w:ascii="宋体" w:hAnsi="宋体" w:eastAsia="宋体" w:cs="宋体"/>
            <w:kern w:val="2"/>
            <w:sz w:val="28"/>
            <w:szCs w:val="28"/>
            <w:u w:val="single"/>
            <w:lang w:val="en-US" w:eastAsia="zh-CN" w:bidi="ar-SA"/>
          </w:rPr>
        </w:sdtEndPr>
        <w:sdtContent>
          <w:permStart w:id="3" w:edGrp="everyone"/>
          <w:r>
            <w:rPr>
              <w:rFonts w:hint="eastAsia" w:ascii="宋体" w:hAnsi="宋体" w:eastAsia="宋体" w:cs="宋体"/>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通讯地址：</w:t>
      </w:r>
      <w:sdt>
        <w:sdtPr>
          <w:rPr>
            <w:rFonts w:hint="eastAsia" w:ascii="宋体" w:hAnsi="宋体" w:eastAsia="宋体" w:cs="宋体"/>
            <w:kern w:val="2"/>
            <w:sz w:val="28"/>
            <w:szCs w:val="28"/>
            <w:lang w:val="en-US" w:eastAsia="zh-CN" w:bidi="ar-SA"/>
          </w:rPr>
          <w:alias w:val="甲方办公通讯地址"/>
          <w:tag w:val="甲方办公通讯地址"/>
          <w:id w:val="147473545"/>
          <w:placeholder>
            <w:docPart w:val="{beb577b3-4147-4933-8362-4fdcbfc29b10}"/>
          </w:placeholder>
          <w:text/>
        </w:sdtPr>
        <w:sdtEndPr>
          <w:rPr>
            <w:rFonts w:hint="eastAsia" w:ascii="宋体" w:hAnsi="宋体" w:eastAsia="宋体" w:cs="宋体"/>
            <w:kern w:val="2"/>
            <w:sz w:val="28"/>
            <w:szCs w:val="28"/>
            <w:u w:val="single"/>
            <w:lang w:val="en-US" w:eastAsia="zh-CN" w:bidi="ar-SA"/>
          </w:rPr>
        </w:sdtEndPr>
        <w:sdtContent>
          <w:permStart w:id="4" w:edGrp="everyone"/>
          <w:r>
            <w:rPr>
              <w:rFonts w:hint="eastAsia" w:ascii="宋体" w:hAnsi="宋体" w:eastAsia="宋体" w:cs="宋体"/>
              <w:sz w:val="28"/>
              <w:szCs w:val="28"/>
              <w:u w:val="single"/>
              <w:lang w:val="en-US" w:eastAsia="zh-CN"/>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99ecdf11-2d9f-44a7-be03-79864d69fa45}"/>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5" w:edGrp="everyone"/>
          <w:r>
            <w:rPr>
              <w:rFonts w:hint="eastAsia" w:ascii="宋体" w:hAnsi="宋体" w:eastAsia="宋体" w:cs="宋体"/>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甲方联系人固定电话"/>
          <w:tag w:val="甲方联系人固定电话"/>
          <w:id w:val="147473290"/>
          <w:placeholder>
            <w:docPart w:val="{d459e11c-a76e-4950-8ab0-f5d4f4a8772e}"/>
          </w:placeholder>
          <w:text/>
        </w:sdtPr>
        <w:sdtEndPr>
          <w:rPr>
            <w:rFonts w:hint="eastAsia" w:ascii="宋体" w:hAnsi="宋体" w:eastAsia="宋体" w:cs="宋体"/>
            <w:kern w:val="2"/>
            <w:sz w:val="28"/>
            <w:szCs w:val="28"/>
            <w:u w:val="single"/>
            <w:lang w:val="en-US" w:eastAsia="zh-CN" w:bidi="ar-SA"/>
          </w:rPr>
        </w:sdtEndPr>
        <w:sdtContent>
          <w:permStart w:id="6" w:edGrp="everyone"/>
          <w:r>
            <w:rPr>
              <w:rFonts w:hint="eastAsia" w:ascii="宋体" w:hAnsi="宋体" w:eastAsia="宋体" w:cs="宋体"/>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甲方联系人电子邮箱"/>
          <w:tag w:val="甲方联系人电子邮箱"/>
          <w:id w:val="147473169"/>
          <w:placeholder>
            <w:docPart w:val="{9c13321e-2644-403b-9868-b6f365c36eee}"/>
          </w:placeholder>
          <w:text/>
        </w:sdtPr>
        <w:sdtEndPr>
          <w:rPr>
            <w:rFonts w:hint="eastAsia" w:ascii="宋体" w:hAnsi="宋体" w:eastAsia="宋体" w:cs="宋体"/>
            <w:kern w:val="2"/>
            <w:sz w:val="28"/>
            <w:szCs w:val="28"/>
            <w:lang w:val="en-US" w:eastAsia="zh-CN" w:bidi="ar-SA"/>
          </w:rPr>
        </w:sdtEndPr>
        <w:sdtContent>
          <w:permStart w:id="7" w:edGrp="everyone"/>
          <w:r>
            <w:rPr>
              <w:rFonts w:hint="eastAsia" w:ascii="宋体" w:hAnsi="宋体" w:eastAsia="宋体" w:cs="宋体"/>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乙</w:t>
      </w:r>
      <w:r>
        <w:rPr>
          <w:rFonts w:hint="eastAsia" w:ascii="宋体" w:hAnsi="宋体" w:eastAsia="宋体" w:cs="宋体"/>
          <w:sz w:val="28"/>
          <w:szCs w:val="28"/>
        </w:rPr>
        <w:t>方</w:t>
      </w:r>
      <w:r>
        <w:rPr>
          <w:rFonts w:hint="eastAsia" w:ascii="宋体" w:hAnsi="宋体" w:cs="宋体"/>
          <w:sz w:val="28"/>
          <w:szCs w:val="28"/>
          <w:lang w:eastAsia="zh-CN"/>
        </w:rPr>
        <w:t>（</w:t>
      </w:r>
      <w:r>
        <w:rPr>
          <w:rFonts w:hint="eastAsia" w:ascii="宋体" w:hAnsi="宋体" w:cs="宋体"/>
          <w:sz w:val="28"/>
          <w:szCs w:val="28"/>
          <w:lang w:val="en-US" w:eastAsia="zh-CN"/>
        </w:rPr>
        <w:t>监理人</w:t>
      </w:r>
      <w:r>
        <w:rPr>
          <w:rFonts w:hint="eastAsia" w:ascii="宋体" w:hAnsi="宋体" w:cs="宋体"/>
          <w:sz w:val="28"/>
          <w:szCs w:val="28"/>
          <w:lang w:eastAsia="zh-CN"/>
        </w:rPr>
        <w:t>）</w:t>
      </w:r>
      <w:r>
        <w:rPr>
          <w:rFonts w:hint="eastAsia" w:ascii="宋体" w:hAnsi="宋体" w:eastAsia="宋体" w:cs="宋体"/>
          <w:sz w:val="28"/>
          <w:szCs w:val="28"/>
        </w:rPr>
        <w:t>：</w:t>
      </w:r>
      <w:sdt>
        <w:sdtPr>
          <w:rPr>
            <w:rFonts w:hint="eastAsia" w:ascii="宋体" w:hAnsi="宋体" w:eastAsia="宋体" w:cs="宋体"/>
            <w:kern w:val="2"/>
            <w:sz w:val="28"/>
            <w:szCs w:val="28"/>
            <w:lang w:val="en-US" w:eastAsia="zh-CN" w:bidi="ar-SA"/>
          </w:rPr>
          <w:alias w:val="乙方当事人全称"/>
          <w:tag w:val="乙方当事人全称"/>
          <w:id w:val="147472829"/>
          <w:placeholder>
            <w:docPart w:val="{14cac6ef-6dec-4cfb-8c4e-abb30a85d9fb}"/>
          </w:placeholder>
          <w:text/>
        </w:sdtPr>
        <w:sdtEndPr>
          <w:rPr>
            <w:rFonts w:hint="eastAsia" w:ascii="宋体" w:hAnsi="宋体" w:eastAsia="宋体" w:cs="宋体"/>
            <w:kern w:val="2"/>
            <w:sz w:val="28"/>
            <w:szCs w:val="28"/>
            <w:u w:val="single"/>
            <w:lang w:val="en-US" w:eastAsia="zh-CN" w:bidi="ar-SA"/>
          </w:rPr>
        </w:sdtEndPr>
        <w:sdtContent>
          <w:permStart w:id="8" w:edGrp="everyone"/>
          <w:r>
            <w:rPr>
              <w:rFonts w:hint="eastAsia" w:ascii="宋体" w:hAnsi="宋体" w:eastAsia="宋体" w:cs="宋体"/>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乙方注册地址"/>
          <w:tag w:val="乙方注册地址"/>
          <w:id w:val="147472663"/>
          <w:placeholder>
            <w:docPart w:val="{ebb4246d-f9c3-4979-89ee-b77af87e2879}"/>
          </w:placeholder>
          <w:text/>
        </w:sdtPr>
        <w:sdtEndPr>
          <w:rPr>
            <w:rFonts w:hint="eastAsia" w:ascii="宋体" w:hAnsi="宋体" w:eastAsia="宋体" w:cs="宋体"/>
            <w:kern w:val="2"/>
            <w:sz w:val="28"/>
            <w:szCs w:val="28"/>
            <w:u w:val="single"/>
            <w:lang w:val="en-US" w:eastAsia="zh-CN" w:bidi="ar-SA"/>
          </w:rPr>
        </w:sdtEndPr>
        <w:sdtContent>
          <w:permStart w:id="9" w:edGrp="everyone"/>
          <w:r>
            <w:rPr>
              <w:rFonts w:hint="eastAsia" w:ascii="宋体" w:hAnsi="宋体" w:eastAsia="宋体" w:cs="宋体"/>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乙方法定代表人或负责人"/>
          <w:tag w:val="乙方法定代表人或负责人"/>
          <w:id w:val="147472581"/>
          <w:placeholder>
            <w:docPart w:val="{d6881cf6-5308-4bfe-ad03-169682258b57}"/>
          </w:placeholder>
          <w:text/>
        </w:sdtPr>
        <w:sdtEndPr>
          <w:rPr>
            <w:rFonts w:hint="eastAsia" w:ascii="宋体" w:hAnsi="宋体" w:eastAsia="宋体" w:cs="宋体"/>
            <w:kern w:val="2"/>
            <w:sz w:val="28"/>
            <w:szCs w:val="28"/>
            <w:u w:val="single"/>
            <w:lang w:val="en-US" w:eastAsia="zh-CN" w:bidi="ar-SA"/>
          </w:rPr>
        </w:sdtEndPr>
        <w:sdtContent>
          <w:permStart w:id="10" w:edGrp="everyone"/>
          <w:r>
            <w:rPr>
              <w:rFonts w:hint="eastAsia" w:ascii="宋体" w:hAnsi="宋体" w:eastAsia="宋体" w:cs="宋体"/>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3cdf4675-e6fb-42df-b7af-696fef01bb21}"/>
          </w:placeholder>
          <w:text/>
        </w:sdtPr>
        <w:sdtEndPr>
          <w:rPr>
            <w:rFonts w:hint="eastAsia" w:ascii="宋体" w:hAnsi="宋体" w:eastAsia="宋体" w:cs="宋体"/>
            <w:kern w:val="2"/>
            <w:sz w:val="28"/>
            <w:szCs w:val="28"/>
            <w:u w:val="single"/>
            <w:lang w:val="en-US" w:eastAsia="zh-CN" w:bidi="ar-SA"/>
          </w:rPr>
        </w:sdtEndPr>
        <w:sdtContent>
          <w:permStart w:id="11" w:edGrp="everyone"/>
          <w:r>
            <w:rPr>
              <w:rFonts w:hint="eastAsia" w:ascii="宋体" w:hAnsi="宋体" w:eastAsia="宋体" w:cs="宋体"/>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lang w:val="en-US"/>
        </w:rPr>
      </w:pPr>
      <w:r>
        <w:rPr>
          <w:rFonts w:hint="eastAsia" w:ascii="宋体" w:hAnsi="宋体" w:eastAsia="宋体" w:cs="宋体"/>
          <w:sz w:val="28"/>
          <w:szCs w:val="28"/>
        </w:rPr>
        <w:t>通讯地址：</w:t>
      </w:r>
      <w:sdt>
        <w:sdtPr>
          <w:rPr>
            <w:rFonts w:hint="eastAsia" w:ascii="宋体" w:hAnsi="宋体" w:eastAsia="宋体" w:cs="宋体"/>
            <w:kern w:val="2"/>
            <w:sz w:val="28"/>
            <w:szCs w:val="28"/>
            <w:lang w:val="en-US" w:eastAsia="zh-CN" w:bidi="ar-SA"/>
          </w:rPr>
          <w:alias w:val="乙方办公通讯地址"/>
          <w:tag w:val="乙方办公通讯地址"/>
          <w:id w:val="147471941"/>
          <w:placeholder>
            <w:docPart w:val="{315f282d-1972-4217-bc8f-703ed18e9640}"/>
          </w:placeholder>
          <w:text/>
        </w:sdtPr>
        <w:sdtEndPr>
          <w:rPr>
            <w:rFonts w:hint="eastAsia" w:ascii="宋体" w:hAnsi="宋体" w:eastAsia="宋体" w:cs="宋体"/>
            <w:kern w:val="2"/>
            <w:sz w:val="28"/>
            <w:szCs w:val="28"/>
            <w:u w:val="single"/>
            <w:lang w:val="en-US" w:eastAsia="zh-CN" w:bidi="ar-SA"/>
          </w:rPr>
        </w:sdtEndPr>
        <w:sdtContent>
          <w:permStart w:id="12" w:edGrp="everyone"/>
          <w:r>
            <w:rPr>
              <w:rFonts w:hint="eastAsia" w:ascii="宋体" w:hAnsi="宋体" w:eastAsia="宋体" w:cs="宋体"/>
              <w:sz w:val="28"/>
              <w:szCs w:val="28"/>
              <w:u w:val="single"/>
              <w:lang w:val="en-US" w:eastAsia="zh-CN"/>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dbb9a799-819f-44f1-a639-ac0b85571c4f}"/>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 w:edGrp="everyone"/>
          <w:r>
            <w:rPr>
              <w:rFonts w:hint="eastAsia" w:ascii="宋体" w:hAnsi="宋体" w:eastAsia="宋体" w:cs="宋体"/>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乙方联系人固定电话"/>
          <w:tag w:val="乙方联系人固定电话"/>
          <w:id w:val="147471722"/>
          <w:placeholder>
            <w:docPart w:val="{30c48746-53da-4016-9503-815616df9d64}"/>
          </w:placeholder>
          <w:text/>
        </w:sdtPr>
        <w:sdtEndPr>
          <w:rPr>
            <w:rFonts w:hint="eastAsia" w:ascii="宋体" w:hAnsi="宋体" w:eastAsia="宋体" w:cs="宋体"/>
            <w:kern w:val="2"/>
            <w:sz w:val="28"/>
            <w:szCs w:val="28"/>
            <w:lang w:val="en-US" w:eastAsia="zh-CN" w:bidi="ar-SA"/>
          </w:rPr>
        </w:sdtEndPr>
        <w:sdtContent>
          <w:permStart w:id="14" w:edGrp="everyone"/>
          <w:r>
            <w:rPr>
              <w:rFonts w:hint="eastAsia" w:ascii="宋体" w:hAnsi="宋体" w:eastAsia="宋体" w:cs="宋体"/>
              <w:sz w:val="28"/>
              <w:szCs w:val="28"/>
              <w:u w:val="single"/>
              <w:lang w:val="en-US" w:eastAsia="zh-CN"/>
            </w:rPr>
            <w:t xml:space="preserve">                                </w:t>
          </w:r>
          <w:permEnd w:id="14"/>
        </w:sdtContent>
      </w:sdt>
    </w:p>
    <w:p>
      <w:pPr>
        <w:ind w:firstLine="560" w:firstLineChars="200"/>
        <w:rPr>
          <w:rFonts w:hint="eastAsia" w:asciiTheme="majorEastAsia" w:hAnsiTheme="majorEastAsia" w:eastAsiaTheme="majorEastAsia" w:cstheme="majorEastAsia"/>
          <w:b/>
          <w:bCs/>
          <w:sz w:val="36"/>
          <w:szCs w:val="36"/>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乙方联系人电子邮箱"/>
          <w:tag w:val="乙方联系人电子邮箱"/>
          <w:id w:val="147471651"/>
          <w:placeholder>
            <w:docPart w:val="{65009f5d-7251-43a1-b26e-6cafbe56c07f}"/>
          </w:placeholder>
          <w:text/>
        </w:sdtPr>
        <w:sdtEndPr>
          <w:rPr>
            <w:rFonts w:hint="eastAsia" w:ascii="宋体" w:hAnsi="宋体" w:eastAsia="宋体" w:cs="宋体"/>
            <w:kern w:val="2"/>
            <w:sz w:val="28"/>
            <w:szCs w:val="28"/>
            <w:u w:val="single"/>
            <w:lang w:val="en-US" w:eastAsia="zh-CN" w:bidi="ar-SA"/>
          </w:rPr>
        </w:sdtEndPr>
        <w:sdtContent>
          <w:permStart w:id="15" w:edGrp="everyone"/>
          <w:r>
            <w:rPr>
              <w:rFonts w:hint="eastAsia" w:ascii="宋体" w:hAnsi="宋体" w:eastAsia="宋体" w:cs="宋体"/>
              <w:sz w:val="28"/>
              <w:szCs w:val="28"/>
              <w:u w:val="single"/>
              <w:lang w:val="en-US" w:eastAsia="zh-CN"/>
            </w:rPr>
            <w:t xml:space="preserve">                                </w:t>
          </w:r>
          <w:permEnd w:id="15"/>
        </w:sdtContent>
      </w:sdt>
      <w:r>
        <w:rPr>
          <w:rFonts w:hint="eastAsia" w:asciiTheme="majorEastAsia" w:hAnsiTheme="majorEastAsia" w:eastAsiaTheme="majorEastAsia" w:cstheme="majorEastAsia"/>
          <w:b/>
          <w:bCs/>
          <w:sz w:val="36"/>
          <w:szCs w:val="36"/>
        </w:rPr>
        <w:br w:type="page"/>
      </w:r>
    </w:p>
    <w:p>
      <w:pPr>
        <w:spacing w:line="44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第一节</w:t>
      </w:r>
      <w:r>
        <w:rPr>
          <w:rFonts w:hint="eastAsia" w:asciiTheme="majorEastAsia" w:hAnsiTheme="majorEastAsia" w:eastAsiaTheme="majorEastAsia" w:cstheme="majorEastAsia"/>
          <w:b/>
          <w:bCs/>
          <w:sz w:val="36"/>
          <w:szCs w:val="36"/>
          <w:lang w:val="en-US" w:eastAsia="zh-CN"/>
        </w:rPr>
        <w:t xml:space="preserve"> </w:t>
      </w:r>
      <w:r>
        <w:rPr>
          <w:rFonts w:hint="eastAsia" w:asciiTheme="majorEastAsia" w:hAnsiTheme="majorEastAsia" w:eastAsiaTheme="majorEastAsia" w:cstheme="majorEastAsia"/>
          <w:b/>
          <w:bCs/>
          <w:sz w:val="36"/>
          <w:szCs w:val="36"/>
        </w:rPr>
        <w:t>合同协议书</w:t>
      </w:r>
    </w:p>
    <w:p>
      <w:pPr>
        <w:spacing w:line="440" w:lineRule="exact"/>
      </w:pPr>
    </w:p>
    <w:p>
      <w:pPr>
        <w:spacing w:line="440" w:lineRule="exact"/>
        <w:ind w:firstLine="359" w:firstLineChars="171"/>
        <w:rPr>
          <w:szCs w:val="21"/>
        </w:rPr>
      </w:pPr>
      <w:r>
        <w:rPr>
          <w:rFonts w:hint="eastAsia"/>
          <w:szCs w:val="21"/>
        </w:rPr>
        <w:t>根据《中华人民共和国民法典》《中华人民共和国建筑法》及其他有关法律、法规，遵循平等、自愿、公平和诚信的原则，双方就下述工程委托监理与相关服务事项协商一致，订立本合同。</w:t>
      </w:r>
    </w:p>
    <w:p>
      <w:pPr>
        <w:spacing w:line="440" w:lineRule="exact"/>
        <w:ind w:firstLine="420" w:firstLineChars="200"/>
        <w:rPr>
          <w:szCs w:val="21"/>
        </w:rPr>
      </w:pPr>
      <w:r>
        <w:rPr>
          <w:szCs w:val="21"/>
        </w:rPr>
        <w:t>1. 下列文件一起构成合同文件：</w:t>
      </w:r>
    </w:p>
    <w:p>
      <w:pPr>
        <w:spacing w:line="360" w:lineRule="auto"/>
        <w:ind w:firstLine="420"/>
      </w:pPr>
      <w:permStart w:id="16" w:edGrp="everyone"/>
      <w:r>
        <w:t>（1）合同协议书；</w:t>
      </w:r>
    </w:p>
    <w:p>
      <w:pPr>
        <w:spacing w:line="360" w:lineRule="auto"/>
        <w:ind w:firstLine="420"/>
      </w:pPr>
      <w:r>
        <w:t>（2）中标通知书；</w:t>
      </w:r>
    </w:p>
    <w:p>
      <w:pPr>
        <w:spacing w:line="360" w:lineRule="auto"/>
        <w:ind w:firstLine="420"/>
      </w:pPr>
      <w:r>
        <w:t>（3）专用合同条款</w:t>
      </w:r>
      <w:r>
        <w:rPr>
          <w:rFonts w:hint="eastAsia"/>
        </w:rPr>
        <w:t>及合同附件</w:t>
      </w:r>
      <w:r>
        <w:t>；</w:t>
      </w:r>
    </w:p>
    <w:p>
      <w:pPr>
        <w:spacing w:line="360" w:lineRule="auto"/>
        <w:ind w:firstLine="420"/>
      </w:pPr>
      <w:r>
        <w:t>（4）通用合同条款；</w:t>
      </w:r>
    </w:p>
    <w:p>
      <w:pPr>
        <w:spacing w:line="360" w:lineRule="auto"/>
        <w:ind w:firstLine="420"/>
      </w:pPr>
      <w:r>
        <w:t>（5）</w:t>
      </w:r>
      <w:r>
        <w:rPr>
          <w:rFonts w:hint="eastAsia"/>
        </w:rPr>
        <w:t>招标文件（含答疑及澄清）；</w:t>
      </w:r>
    </w:p>
    <w:p>
      <w:pPr>
        <w:spacing w:line="360" w:lineRule="auto"/>
        <w:ind w:firstLine="420"/>
      </w:pPr>
      <w:r>
        <w:t>（6）投标函及</w:t>
      </w:r>
      <w:r>
        <w:rPr>
          <w:rFonts w:hint="eastAsia"/>
        </w:rPr>
        <w:t>投标函附录、监理大纲（含澄清）</w:t>
      </w:r>
      <w:r>
        <w:t>；</w:t>
      </w:r>
    </w:p>
    <w:p>
      <w:pPr>
        <w:spacing w:line="360" w:lineRule="auto"/>
        <w:ind w:firstLine="420"/>
      </w:pPr>
      <w:r>
        <w:rPr>
          <w:rFonts w:hint="eastAsia"/>
        </w:rPr>
        <w:t>（7）</w:t>
      </w:r>
      <w:r>
        <w:t>委托人要求；</w:t>
      </w:r>
    </w:p>
    <w:p>
      <w:pPr>
        <w:spacing w:line="360" w:lineRule="auto"/>
        <w:ind w:firstLine="420"/>
      </w:pPr>
      <w:r>
        <w:t>（</w:t>
      </w:r>
      <w:r>
        <w:rPr>
          <w:rFonts w:hint="eastAsia"/>
        </w:rPr>
        <w:t>8</w:t>
      </w:r>
      <w:r>
        <w:t>）</w:t>
      </w:r>
      <w:r>
        <w:rPr>
          <w:rFonts w:hint="eastAsia"/>
        </w:rPr>
        <w:t>图纸；</w:t>
      </w:r>
    </w:p>
    <w:p>
      <w:pPr>
        <w:spacing w:line="360" w:lineRule="auto"/>
        <w:ind w:firstLine="420"/>
      </w:pPr>
      <w:r>
        <w:rPr>
          <w:rFonts w:hint="eastAsia"/>
        </w:rPr>
        <w:t>（9）监理报酬清单</w:t>
      </w:r>
      <w:r>
        <w:t>；</w:t>
      </w:r>
    </w:p>
    <w:p>
      <w:pPr>
        <w:spacing w:line="360" w:lineRule="auto"/>
        <w:ind w:firstLine="420"/>
        <w:rPr>
          <w:szCs w:val="21"/>
        </w:rPr>
      </w:pPr>
      <w:r>
        <w:t>（</w:t>
      </w:r>
      <w:r>
        <w:rPr>
          <w:rFonts w:hint="eastAsia"/>
        </w:rPr>
        <w:t>10</w:t>
      </w:r>
      <w:r>
        <w:t>）其他合同</w:t>
      </w:r>
      <w:r>
        <w:rPr>
          <w:szCs w:val="21"/>
        </w:rPr>
        <w:t>文件。</w:t>
      </w:r>
    </w:p>
    <w:permEnd w:id="16"/>
    <w:p>
      <w:pPr>
        <w:spacing w:line="440" w:lineRule="exact"/>
        <w:ind w:firstLine="420" w:firstLineChars="200"/>
        <w:rPr>
          <w:szCs w:val="21"/>
        </w:rPr>
      </w:pPr>
      <w:r>
        <w:rPr>
          <w:szCs w:val="21"/>
        </w:rPr>
        <w:t>2. 上述合同文件互相补充和解释。如果合同文件之间存在矛盾或不一致之处，以上述文件的排列顺序在先者为准。</w:t>
      </w:r>
    </w:p>
    <w:p>
      <w:pPr>
        <w:spacing w:line="440" w:lineRule="exact"/>
        <w:ind w:firstLine="420" w:firstLineChars="200"/>
        <w:rPr>
          <w:szCs w:val="21"/>
        </w:rPr>
      </w:pPr>
      <w:r>
        <w:rPr>
          <w:rFonts w:hint="eastAsia"/>
          <w:szCs w:val="21"/>
        </w:rPr>
        <w:t>3. 工程概况：</w:t>
      </w:r>
      <w:permStart w:id="17" w:edGrp="everyone"/>
      <w:r>
        <w:rPr>
          <w:szCs w:val="21"/>
          <w:u w:val="single"/>
        </w:rPr>
        <w:t xml:space="preserve">          </w:t>
      </w:r>
      <w:permEnd w:id="17"/>
      <w:r>
        <w:rPr>
          <w:szCs w:val="21"/>
        </w:rPr>
        <w:t>。</w:t>
      </w:r>
    </w:p>
    <w:p>
      <w:pPr>
        <w:spacing w:line="440" w:lineRule="exact"/>
        <w:ind w:firstLine="420" w:firstLineChars="200"/>
        <w:rPr>
          <w:szCs w:val="21"/>
        </w:rPr>
      </w:pPr>
      <w:r>
        <w:rPr>
          <w:rFonts w:hint="eastAsia"/>
          <w:szCs w:val="21"/>
        </w:rPr>
        <w:t>4. 监理服务范围：</w:t>
      </w:r>
      <w:permStart w:id="18" w:edGrp="everyone"/>
      <w:r>
        <w:rPr>
          <w:szCs w:val="21"/>
          <w:u w:val="single"/>
        </w:rPr>
        <w:t xml:space="preserve">          </w:t>
      </w:r>
      <w:r>
        <w:rPr>
          <w:szCs w:val="21"/>
        </w:rPr>
        <w:t>。</w:t>
      </w:r>
      <w:permEnd w:id="18"/>
    </w:p>
    <w:p>
      <w:pPr>
        <w:spacing w:line="440" w:lineRule="exact"/>
        <w:ind w:firstLine="420" w:firstLineChars="200"/>
        <w:rPr>
          <w:szCs w:val="21"/>
        </w:rPr>
      </w:pPr>
      <w:r>
        <w:rPr>
          <w:rFonts w:hint="eastAsia"/>
          <w:szCs w:val="21"/>
        </w:rPr>
        <w:t>5. 项目质量目标</w:t>
      </w:r>
      <w:r>
        <w:rPr>
          <w:szCs w:val="21"/>
        </w:rPr>
        <w:t>：</w:t>
      </w:r>
      <w:permStart w:id="19" w:edGrp="everyone"/>
      <w:r>
        <w:rPr>
          <w:szCs w:val="21"/>
          <w:u w:val="single"/>
        </w:rPr>
        <w:t xml:space="preserve">          </w:t>
      </w:r>
      <w:r>
        <w:rPr>
          <w:szCs w:val="21"/>
        </w:rPr>
        <w:t>。</w:t>
      </w:r>
      <w:permEnd w:id="19"/>
    </w:p>
    <w:p>
      <w:pPr>
        <w:spacing w:line="440" w:lineRule="exact"/>
        <w:ind w:firstLine="420" w:firstLineChars="200"/>
        <w:rPr>
          <w:szCs w:val="21"/>
        </w:rPr>
      </w:pPr>
      <w:r>
        <w:rPr>
          <w:rFonts w:hint="eastAsia"/>
          <w:szCs w:val="21"/>
        </w:rPr>
        <w:t>6. 安全目标：</w:t>
      </w:r>
      <w:permStart w:id="20" w:edGrp="everyone"/>
      <w:r>
        <w:rPr>
          <w:szCs w:val="21"/>
          <w:u w:val="single"/>
        </w:rPr>
        <w:t xml:space="preserve">          </w:t>
      </w:r>
      <w:r>
        <w:rPr>
          <w:szCs w:val="21"/>
        </w:rPr>
        <w:t>。</w:t>
      </w:r>
      <w:permEnd w:id="20"/>
    </w:p>
    <w:p>
      <w:pPr>
        <w:spacing w:line="440" w:lineRule="exact"/>
        <w:ind w:firstLine="420" w:firstLineChars="200"/>
        <w:rPr>
          <w:szCs w:val="21"/>
        </w:rPr>
      </w:pPr>
      <w:r>
        <w:rPr>
          <w:rFonts w:hint="eastAsia"/>
          <w:szCs w:val="21"/>
        </w:rPr>
        <w:t>7. 文明施工目标</w:t>
      </w:r>
      <w:permStart w:id="21" w:edGrp="everyone"/>
      <w:r>
        <w:rPr>
          <w:rFonts w:hint="eastAsia"/>
          <w:szCs w:val="21"/>
        </w:rPr>
        <w:t>：</w:t>
      </w:r>
      <w:r>
        <w:rPr>
          <w:szCs w:val="21"/>
          <w:u w:val="single"/>
        </w:rPr>
        <w:t xml:space="preserve">          </w:t>
      </w:r>
      <w:r>
        <w:rPr>
          <w:szCs w:val="21"/>
        </w:rPr>
        <w:t>。</w:t>
      </w:r>
      <w:permEnd w:id="21"/>
    </w:p>
    <w:p>
      <w:pPr>
        <w:spacing w:line="440" w:lineRule="exact"/>
        <w:ind w:firstLine="420" w:firstLineChars="200"/>
        <w:rPr>
          <w:szCs w:val="21"/>
        </w:rPr>
      </w:pPr>
      <w:r>
        <w:rPr>
          <w:rFonts w:hint="eastAsia"/>
          <w:szCs w:val="21"/>
        </w:rPr>
        <w:t>8. 造价控制目标：</w:t>
      </w:r>
      <w:permStart w:id="22" w:edGrp="everyone"/>
      <w:r>
        <w:rPr>
          <w:szCs w:val="21"/>
          <w:u w:val="single"/>
        </w:rPr>
        <w:t xml:space="preserve">          </w:t>
      </w:r>
      <w:r>
        <w:rPr>
          <w:szCs w:val="21"/>
        </w:rPr>
        <w:t>。</w:t>
      </w:r>
      <w:permEnd w:id="22"/>
    </w:p>
    <w:p>
      <w:pPr>
        <w:spacing w:line="440" w:lineRule="exact"/>
        <w:ind w:firstLine="420" w:firstLineChars="200"/>
        <w:rPr>
          <w:szCs w:val="21"/>
        </w:rPr>
      </w:pPr>
      <w:r>
        <w:rPr>
          <w:rFonts w:hint="eastAsia"/>
          <w:szCs w:val="21"/>
        </w:rPr>
        <w:t>9. 项目监理服务期限：</w:t>
      </w:r>
      <w:permStart w:id="23" w:edGrp="everyone"/>
      <w:r>
        <w:rPr>
          <w:rFonts w:hint="eastAsia"/>
          <w:szCs w:val="21"/>
          <w:u w:val="single"/>
        </w:rPr>
        <w:t xml:space="preserve">     </w:t>
      </w:r>
      <w:permEnd w:id="23"/>
      <w:r>
        <w:rPr>
          <w:rFonts w:hint="eastAsia"/>
          <w:szCs w:val="21"/>
        </w:rPr>
        <w:t>天，计划开始监理日期：</w:t>
      </w:r>
      <w:sdt>
        <w:sdtPr>
          <w:rPr>
            <w:rFonts w:hint="eastAsia" w:asciiTheme="minorHAnsi" w:hAnsiTheme="minorHAnsi" w:eastAsiaTheme="minorEastAsia" w:cstheme="minorBidi"/>
            <w:kern w:val="2"/>
            <w:sz w:val="28"/>
            <w:szCs w:val="36"/>
            <w:u w:val="single"/>
            <w:lang w:val="en-US" w:eastAsia="zh-CN" w:bidi="ar-SA"/>
          </w:rPr>
          <w:alias w:val="履行开始时间不应早于合同签订之日"/>
          <w:tag w:val="履行开始时间"/>
          <w:id w:val="147458093"/>
          <w:placeholder>
            <w:docPart w:val="{53112d98-2ecf-466b-bb3a-841efacd2e31}"/>
          </w:placeholder>
          <w:date w:fullDate="2022-11-12T00:00:00Z">
            <w:dateFormat w:val="yyyy'年'M'月'd'日'"/>
            <w:lid w:val="zh-CN"/>
            <w:storeMappedDataAs w:val="datetime"/>
            <w:calendar w:val="gregorian"/>
          </w:date>
        </w:sdtPr>
        <w:sdtEndPr>
          <w:rPr>
            <w:rFonts w:hint="eastAsia" w:ascii="宋体" w:hAnsi="宋体" w:eastAsia="宋体" w:cs="宋体"/>
            <w:kern w:val="2"/>
            <w:sz w:val="28"/>
            <w:szCs w:val="36"/>
            <w:u w:val="single"/>
            <w:lang w:val="en-US" w:eastAsia="zh-CN" w:bidi="ar-SA"/>
          </w:rPr>
        </w:sdtEndPr>
        <w:sdtContent>
          <w:permStart w:id="24" w:edGrp="everyone"/>
          <w:r>
            <w:rPr>
              <w:rFonts w:hint="eastAsia" w:ascii="宋体" w:hAnsi="宋体" w:eastAsia="宋体" w:cs="宋体"/>
              <w:kern w:val="2"/>
              <w:sz w:val="21"/>
              <w:szCs w:val="21"/>
              <w:u w:val="single"/>
              <w:lang w:val="en-US" w:eastAsia="zh-CN" w:bidi="ar-SA"/>
            </w:rPr>
            <w:t xml:space="preserve">     </w:t>
          </w:r>
          <w:permEnd w:id="24"/>
        </w:sdtContent>
      </w:sdt>
      <w:r>
        <w:rPr>
          <w:rFonts w:hint="eastAsia"/>
          <w:szCs w:val="21"/>
        </w:rPr>
        <w:t>，计划完成监理日期：</w:t>
      </w:r>
      <w:sdt>
        <w:sdtPr>
          <w:rPr>
            <w:rFonts w:hint="eastAsia" w:asciiTheme="minorHAnsi" w:hAnsiTheme="minorHAnsi" w:eastAsiaTheme="minorEastAsia" w:cstheme="minorBidi"/>
            <w:kern w:val="2"/>
            <w:sz w:val="28"/>
            <w:szCs w:val="36"/>
            <w:u w:val="single"/>
            <w:lang w:val="en-US" w:eastAsia="zh-CN" w:bidi="ar-SA"/>
          </w:rPr>
          <w:tag w:val="履行结束时间"/>
          <w:id w:val="464410469"/>
          <w:placeholder>
            <w:docPart w:val="{dc911c23-2052-4f34-9d43-19ba0d623d4d}"/>
          </w:placeholder>
          <w:date w:fullDate="2022-11-26T00:00:00Z">
            <w:dateFormat w:val="yyyy'年'M'月'd'日'"/>
            <w:lid w:val="zh-CN"/>
            <w:storeMappedDataAs w:val="datetime"/>
            <w:calendar w:val="gregorian"/>
          </w:date>
        </w:sdtPr>
        <w:sdtEndPr>
          <w:rPr>
            <w:rFonts w:hint="eastAsia" w:ascii="宋体" w:hAnsi="宋体" w:eastAsia="宋体" w:cs="宋体"/>
            <w:kern w:val="2"/>
            <w:sz w:val="21"/>
            <w:szCs w:val="21"/>
            <w:u w:val="single"/>
            <w:lang w:val="en-US" w:eastAsia="zh-CN" w:bidi="ar-SA"/>
          </w:rPr>
        </w:sdtEndPr>
        <w:sdtContent>
          <w:permStart w:id="25" w:edGrp="everyone"/>
          <w:r>
            <w:rPr>
              <w:rFonts w:hint="eastAsia" w:ascii="宋体" w:hAnsi="宋体" w:eastAsia="宋体" w:cs="宋体"/>
              <w:kern w:val="2"/>
              <w:sz w:val="21"/>
              <w:szCs w:val="21"/>
              <w:u w:val="single"/>
              <w:lang w:val="en-US" w:eastAsia="zh-CN" w:bidi="ar-SA"/>
            </w:rPr>
            <w:t xml:space="preserve">     </w:t>
          </w:r>
          <w:permEnd w:id="25"/>
        </w:sdtContent>
      </w:sdt>
      <w:r>
        <w:rPr>
          <w:rFonts w:hint="eastAsia"/>
          <w:szCs w:val="21"/>
        </w:rPr>
        <w:t>（实际日期按照委托人在开始监理通知中载明的开始监理日期、竣工日期为准）。</w:t>
      </w:r>
    </w:p>
    <w:p>
      <w:pPr>
        <w:spacing w:line="440" w:lineRule="exact"/>
        <w:ind w:firstLine="420" w:firstLineChars="200"/>
        <w:rPr>
          <w:szCs w:val="21"/>
        </w:rPr>
      </w:pPr>
      <w:r>
        <w:rPr>
          <w:rFonts w:hint="eastAsia"/>
          <w:szCs w:val="21"/>
        </w:rPr>
        <w:t>10</w:t>
      </w:r>
      <w:r>
        <w:rPr>
          <w:szCs w:val="21"/>
        </w:rPr>
        <w:t xml:space="preserve">. </w:t>
      </w:r>
      <w:r>
        <w:rPr>
          <w:rFonts w:hint="eastAsia"/>
          <w:szCs w:val="21"/>
        </w:rPr>
        <w:t>合同价格及支付条件</w:t>
      </w:r>
    </w:p>
    <w:p>
      <w:pPr>
        <w:spacing w:line="440" w:lineRule="exact"/>
        <w:ind w:firstLine="420" w:firstLineChars="200"/>
        <w:rPr>
          <w:szCs w:val="21"/>
        </w:rPr>
      </w:pPr>
      <w:r>
        <w:rPr>
          <w:rFonts w:hint="eastAsia"/>
          <w:szCs w:val="21"/>
        </w:rPr>
        <w:t>10.1 合同总价为人民币</w:t>
      </w:r>
      <w:sdt>
        <w:sdtPr>
          <w:rPr>
            <w:rFonts w:hint="eastAsia"/>
            <w:kern w:val="2"/>
            <w:sz w:val="21"/>
            <w:szCs w:val="21"/>
            <w:lang w:val="en-US" w:eastAsia="zh-CN" w:bidi="ar-SA"/>
          </w:rPr>
          <w:alias w:val="合同金额"/>
          <w:tag w:val="合同金额"/>
          <w:id w:val="147471842"/>
          <w:placeholder>
            <w:docPart w:val="{af452ada-2e2a-4fa7-8976-5eda16cc2293}"/>
          </w:placeholder>
        </w:sdtPr>
        <w:sdtEndPr>
          <w:rPr>
            <w:rFonts w:hint="eastAsia"/>
            <w:kern w:val="2"/>
            <w:sz w:val="21"/>
            <w:szCs w:val="21"/>
            <w:u w:val="single"/>
            <w:lang w:val="en-US" w:eastAsia="zh-CN" w:bidi="ar-SA"/>
          </w:rPr>
        </w:sdtEndPr>
        <w:sdtContent>
          <w:permStart w:id="26" w:edGrp="everyone"/>
          <w:r>
            <w:rPr>
              <w:szCs w:val="21"/>
              <w:u w:val="single"/>
            </w:rPr>
            <w:t xml:space="preserve">       </w:t>
          </w:r>
          <w:permEnd w:id="26"/>
        </w:sdtContent>
      </w:sdt>
      <w:r>
        <w:rPr>
          <w:szCs w:val="21"/>
          <w:u w:val="single"/>
        </w:rPr>
        <w:t xml:space="preserve"> </w:t>
      </w:r>
      <w:r>
        <w:rPr>
          <w:rFonts w:hint="eastAsia"/>
          <w:szCs w:val="21"/>
        </w:rPr>
        <w:t>元（大写</w:t>
      </w:r>
      <w:r>
        <w:rPr>
          <w:szCs w:val="21"/>
        </w:rPr>
        <w:t>:人民币</w:t>
      </w:r>
      <w:sdt>
        <w:sdtPr>
          <w:rPr>
            <w:kern w:val="2"/>
            <w:sz w:val="21"/>
            <w:szCs w:val="21"/>
            <w:lang w:val="en-US" w:eastAsia="zh-CN" w:bidi="ar-SA"/>
          </w:rPr>
          <w:alias w:val="合同大写金额"/>
          <w:tag w:val="合同大写金额"/>
          <w:id w:val="147471777"/>
          <w:placeholder>
            <w:docPart w:val="{248b572f-7e15-48e9-b2df-86ad540521c3}"/>
          </w:placeholder>
        </w:sdtPr>
        <w:sdtEndPr>
          <w:rPr>
            <w:kern w:val="2"/>
            <w:sz w:val="21"/>
            <w:szCs w:val="21"/>
            <w:u w:val="single"/>
            <w:lang w:val="en-US" w:eastAsia="zh-CN" w:bidi="ar-SA"/>
          </w:rPr>
        </w:sdtEndPr>
        <w:sdtContent>
          <w:permStart w:id="27" w:edGrp="everyone"/>
          <w:r>
            <w:rPr>
              <w:szCs w:val="21"/>
              <w:u w:val="single"/>
            </w:rPr>
            <w:t xml:space="preserve">       </w:t>
          </w:r>
          <w:permEnd w:id="27"/>
        </w:sdtContent>
      </w:sdt>
      <w:r>
        <w:rPr>
          <w:rFonts w:hint="eastAsia"/>
          <w:szCs w:val="21"/>
        </w:rPr>
        <w:t>，投标下浮率</w:t>
      </w:r>
      <w:sdt>
        <w:sdtPr>
          <w:rPr>
            <w:rFonts w:hint="eastAsia" w:ascii="宋体" w:hAnsi="宋体" w:eastAsia="宋体" w:cs="宋体"/>
            <w:kern w:val="2"/>
            <w:sz w:val="21"/>
            <w:szCs w:val="21"/>
            <w:u w:val="single"/>
            <w:lang w:val="en-US" w:eastAsia="zh-CN" w:bidi="ar-SA"/>
          </w:rPr>
          <w:alias w:val="应与中标结果一致。"/>
          <w:tag w:val="中标下浮率"/>
          <w:id w:val="147480141"/>
          <w:placeholder>
            <w:docPart w:val="{90ded145-faf0-46e5-a62f-ae621dfc440b}"/>
          </w:placeholder>
          <w:text w:multiLine="1"/>
        </w:sdtPr>
        <w:sdtEndPr>
          <w:rPr>
            <w:rFonts w:hint="eastAsia" w:ascii="宋体" w:hAnsi="宋体" w:eastAsia="宋体" w:cs="宋体"/>
            <w:kern w:val="2"/>
            <w:sz w:val="21"/>
            <w:szCs w:val="21"/>
            <w:u w:val="single"/>
            <w:lang w:val="en-US" w:eastAsia="zh-CN" w:bidi="ar-SA"/>
          </w:rPr>
        </w:sdtEndPr>
        <w:sdtContent>
          <w:permStart w:id="28" w:edGrp="everyone"/>
          <w:r>
            <w:rPr>
              <w:rFonts w:hint="eastAsia" w:ascii="宋体" w:hAnsi="宋体" w:cs="宋体"/>
              <w:kern w:val="2"/>
              <w:sz w:val="21"/>
              <w:szCs w:val="21"/>
              <w:u w:val="single"/>
              <w:lang w:val="en-US" w:eastAsia="zh-CN" w:bidi="ar-SA"/>
            </w:rPr>
            <w:t xml:space="preserve">  </w:t>
          </w:r>
          <w:r>
            <w:rPr>
              <w:rFonts w:hint="eastAsia" w:ascii="宋体" w:hAnsi="宋体" w:eastAsia="宋体" w:cs="宋体"/>
              <w:kern w:val="2"/>
              <w:sz w:val="21"/>
              <w:szCs w:val="21"/>
              <w:u w:val="single"/>
              <w:lang w:val="en-US" w:eastAsia="zh-CN" w:bidi="ar-SA"/>
            </w:rPr>
            <w:t xml:space="preserve"> </w:t>
          </w:r>
          <w:permEnd w:id="28"/>
        </w:sdtContent>
      </w:sdt>
      <w:r>
        <w:rPr>
          <w:rFonts w:hint="eastAsia" w:ascii="宋体" w:hAnsi="宋体" w:eastAsia="宋体" w:cs="宋体"/>
          <w:sz w:val="21"/>
          <w:szCs w:val="21"/>
          <w:lang w:val="en-US" w:eastAsia="zh-CN"/>
        </w:rPr>
        <w:t>%</w:t>
      </w:r>
      <w:r>
        <w:rPr>
          <w:rFonts w:hint="eastAsia"/>
          <w:szCs w:val="21"/>
          <w:lang w:val="en-US" w:eastAsia="zh-CN"/>
        </w:rPr>
        <w:t>）</w:t>
      </w:r>
      <w:r>
        <w:rPr>
          <w:rFonts w:hint="eastAsia" w:ascii="宋体" w:hAnsi="宋体" w:cs="宋体-18030"/>
          <w:szCs w:val="21"/>
          <w:highlight w:val="none"/>
        </w:rPr>
        <w:t>,</w:t>
      </w:r>
      <w:r>
        <w:rPr>
          <w:rFonts w:hint="eastAsia" w:ascii="Times New Roman" w:hAnsi="Times New Roman"/>
          <w:szCs w:val="21"/>
          <w:lang w:val="en-US" w:eastAsia="zh-CN"/>
        </w:rPr>
        <w:t>税率为</w:t>
      </w:r>
      <w:sdt>
        <w:sdtPr>
          <w:rPr>
            <w:rFonts w:ascii="Times New Roman" w:hAnsi="Times New Roman" w:eastAsia="宋体" w:cs="Times New Roman"/>
            <w:kern w:val="2"/>
            <w:sz w:val="21"/>
            <w:szCs w:val="21"/>
            <w:lang w:val="en-US" w:eastAsia="zh-CN" w:bidi="ar-SA"/>
          </w:rPr>
          <w:alias w:val="合同金额"/>
          <w:tag w:val="合同金额"/>
          <w:id w:val="440832576"/>
          <w:placeholder>
            <w:docPart w:val="{0ecc454c-1bb9-4274-84cf-7fd37ad4ed0e}"/>
          </w:placeholder>
        </w:sdtPr>
        <w:sdtEndPr>
          <w:rPr>
            <w:rFonts w:ascii="Times New Roman" w:hAnsi="Times New Roman" w:eastAsia="宋体" w:cs="Times New Roman"/>
            <w:kern w:val="2"/>
            <w:sz w:val="21"/>
            <w:szCs w:val="22"/>
            <w:u w:val="single"/>
            <w:lang w:val="en-US" w:eastAsia="zh-CN" w:bidi="ar-SA"/>
          </w:rPr>
        </w:sdtEndPr>
        <w:sdtContent>
          <w:permStart w:id="29" w:edGrp="everyone"/>
          <w:r>
            <w:rPr>
              <w:rFonts w:ascii="Times New Roman" w:hAnsi="Times New Roman"/>
              <w:u w:val="single"/>
            </w:rPr>
            <w:t xml:space="preserve">             </w:t>
          </w:r>
          <w:permEnd w:id="29"/>
        </w:sdtContent>
      </w:sdt>
      <w:r>
        <w:rPr>
          <w:rFonts w:hint="eastAsia" w:ascii="Times New Roman" w:hAnsi="Times New Roman" w:eastAsia="宋体" w:cs="Times New Roman"/>
          <w:kern w:val="2"/>
          <w:sz w:val="21"/>
          <w:szCs w:val="22"/>
          <w:u w:val="single"/>
          <w:lang w:val="en-US" w:eastAsia="zh-CN" w:bidi="ar-SA"/>
        </w:rPr>
        <w:t>。</w:t>
      </w:r>
      <w:r>
        <w:rPr>
          <w:rFonts w:hint="default" w:ascii="Times New Roman" w:hAnsi="Times New Roman" w:eastAsia="宋体" w:cs="Times New Roman"/>
          <w:sz w:val="21"/>
          <w:szCs w:val="21"/>
          <w:lang w:val="en-US" w:eastAsia="zh-CN"/>
        </w:rPr>
        <w:t>其中，不含税价为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hint="default" w:ascii="Times New Roman" w:hAnsi="Times New Roman" w:eastAsia="宋体" w:cs="Times New Roman"/>
            <w:kern w:val="2"/>
            <w:sz w:val="21"/>
            <w:szCs w:val="21"/>
            <w:lang w:val="en-US" w:eastAsia="zh-CN" w:bidi="ar-SA"/>
          </w:rPr>
          <w:alias w:val="不含税价金额"/>
          <w:tag w:val="不含税价金额"/>
          <w:id w:val="336908368"/>
          <w:placeholder>
            <w:docPart w:val="{ed574759-d154-4972-8659-8b79c637aa8a}"/>
          </w:placeholder>
          <w:text/>
        </w:sdtPr>
        <w:sdtEndPr>
          <w:rPr>
            <w:rFonts w:hint="default" w:ascii="Times New Roman" w:hAnsi="Times New Roman" w:eastAsia="宋体" w:cs="Times New Roman"/>
            <w:kern w:val="2"/>
            <w:sz w:val="21"/>
            <w:szCs w:val="21"/>
            <w:u w:val="none"/>
            <w:lang w:val="en-US" w:eastAsia="zh-CN" w:bidi="ar-SA"/>
          </w:rPr>
        </w:sdtEndPr>
        <w:sdtContent>
          <w:sdt>
            <w:sdtPr>
              <w:rPr>
                <w:rFonts w:ascii="Times New Roman" w:hAnsi="Times New Roman" w:eastAsia="宋体" w:cs="Times New Roman"/>
                <w:kern w:val="2"/>
                <w:sz w:val="21"/>
                <w:szCs w:val="21"/>
                <w:lang w:val="en-US" w:eastAsia="zh-CN" w:bidi="ar-SA"/>
              </w:rPr>
              <w:alias w:val="合同大写金额"/>
              <w:tag w:val="合同大写金额"/>
              <w:id w:val="254522682"/>
              <w:placeholder>
                <w:docPart w:val="{d715db62-1401-46fa-ac64-a2baeb8d7562}"/>
              </w:placeholder>
            </w:sdtPr>
            <w:sdtEndPr>
              <w:rPr>
                <w:rFonts w:ascii="Times New Roman" w:hAnsi="Times New Roman" w:eastAsia="宋体" w:cs="Times New Roman"/>
                <w:kern w:val="2"/>
                <w:sz w:val="21"/>
                <w:szCs w:val="22"/>
                <w:u w:val="single"/>
                <w:lang w:val="en-US" w:eastAsia="zh-CN" w:bidi="ar-SA"/>
              </w:rPr>
            </w:sdtEndPr>
            <w:sdtContent>
              <w:permStart w:id="30" w:edGrp="everyone"/>
              <w:r>
                <w:rPr>
                  <w:rFonts w:ascii="Times New Roman" w:hAnsi="Times New Roman"/>
                  <w:u w:val="single"/>
                </w:rPr>
                <w:t xml:space="preserve">              </w:t>
              </w:r>
              <w:permEnd w:id="30"/>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122775197"/>
              <w:placeholder>
                <w:docPart w:val="{8b6937fa-2893-4e58-a114-f14b35332f48}"/>
              </w:placeholder>
            </w:sdtPr>
            <w:sdtEndPr>
              <w:rPr>
                <w:rFonts w:ascii="Times New Roman" w:hAnsi="Times New Roman" w:eastAsia="宋体" w:cs="Times New Roman"/>
                <w:kern w:val="2"/>
                <w:sz w:val="21"/>
                <w:szCs w:val="22"/>
                <w:u w:val="single"/>
                <w:lang w:val="en-US" w:eastAsia="zh-CN" w:bidi="ar-SA"/>
              </w:rPr>
            </w:sdtEndPr>
            <w:sdtContent>
              <w:permStart w:id="31" w:edGrp="everyone"/>
              <w:r>
                <w:rPr>
                  <w:rFonts w:ascii="Times New Roman" w:hAnsi="Times New Roman"/>
                  <w:u w:val="single"/>
                </w:rPr>
                <w:t xml:space="preserve">             </w:t>
              </w:r>
              <w:permEnd w:id="31"/>
            </w:sdtContent>
          </w:sdt>
          <w:r>
            <w:rPr>
              <w:rFonts w:hint="default" w:ascii="Times New Roman" w:hAnsi="Times New Roman" w:eastAsia="宋体" w:cs="Times New Roman"/>
              <w:sz w:val="21"/>
              <w:szCs w:val="21"/>
              <w:u w:val="none"/>
              <w:lang w:val="en-US" w:eastAsia="zh-CN"/>
            </w:rPr>
            <w:t xml:space="preserve"> </w:t>
          </w:r>
        </w:sdtContent>
      </w:sdt>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增值税为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ascii="Times New Roman" w:hAnsi="Times New Roman" w:eastAsia="宋体" w:cs="Times New Roman"/>
            <w:kern w:val="2"/>
            <w:sz w:val="21"/>
            <w:szCs w:val="21"/>
            <w:lang w:val="en-US" w:eastAsia="zh-CN" w:bidi="ar-SA"/>
          </w:rPr>
          <w:alias w:val="合同大写金额"/>
          <w:tag w:val="合同大写金额"/>
          <w:id w:val="297542415"/>
          <w:placeholder>
            <w:docPart w:val="{318baa3c-2490-4c55-9f33-02efeb7c85db}"/>
          </w:placeholder>
        </w:sdtPr>
        <w:sdtEndPr>
          <w:rPr>
            <w:rFonts w:ascii="Times New Roman" w:hAnsi="Times New Roman" w:eastAsia="宋体" w:cs="Times New Roman"/>
            <w:kern w:val="2"/>
            <w:sz w:val="21"/>
            <w:szCs w:val="22"/>
            <w:u w:val="single"/>
            <w:lang w:val="en-US" w:eastAsia="zh-CN" w:bidi="ar-SA"/>
          </w:rPr>
        </w:sdtEndPr>
        <w:sdtContent>
          <w:permStart w:id="32" w:edGrp="everyone"/>
          <w:r>
            <w:rPr>
              <w:rFonts w:ascii="Times New Roman" w:hAnsi="Times New Roman"/>
              <w:u w:val="single"/>
            </w:rPr>
            <w:t xml:space="preserve">              </w:t>
          </w:r>
          <w:permEnd w:id="32"/>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453438689"/>
          <w:placeholder>
            <w:docPart w:val="{4a4e110c-8372-42c9-b75d-0f6a25ec668e}"/>
          </w:placeholder>
        </w:sdtPr>
        <w:sdtEndPr>
          <w:rPr>
            <w:rFonts w:ascii="Times New Roman" w:hAnsi="Times New Roman" w:eastAsia="宋体" w:cs="Times New Roman"/>
            <w:kern w:val="2"/>
            <w:sz w:val="21"/>
            <w:szCs w:val="22"/>
            <w:u w:val="single"/>
            <w:lang w:val="en-US" w:eastAsia="zh-CN" w:bidi="ar-SA"/>
          </w:rPr>
        </w:sdtEndPr>
        <w:sdtContent>
          <w:permStart w:id="33" w:edGrp="everyone"/>
          <w:r>
            <w:rPr>
              <w:rFonts w:ascii="Times New Roman" w:hAnsi="Times New Roman"/>
              <w:u w:val="single"/>
            </w:rPr>
            <w:t xml:space="preserve">             </w:t>
          </w:r>
          <w:permEnd w:id="33"/>
        </w:sdtContent>
      </w:sdt>
      <w:r>
        <w:rPr>
          <w:rFonts w:hint="eastAsia" w:ascii="Times New Roman" w:hAnsi="Times New Roman" w:eastAsia="宋体" w:cs="Times New Roman"/>
          <w:kern w:val="2"/>
          <w:sz w:val="21"/>
          <w:szCs w:val="22"/>
          <w:u w:val="single"/>
          <w:lang w:val="en-US" w:eastAsia="zh-CN" w:bidi="ar-SA"/>
        </w:rPr>
        <w:t>。</w:t>
      </w:r>
      <w:r>
        <w:rPr>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cs="宋体-18030"/>
          <w:szCs w:val="21"/>
          <w:lang w:eastAsia="zh-CN"/>
        </w:rPr>
      </w:pPr>
      <w:r>
        <w:rPr>
          <w:rFonts w:hint="eastAsia" w:ascii="宋体" w:hAnsi="宋体" w:cs="宋体-18030"/>
          <w:szCs w:val="21"/>
          <w:lang w:val="en-US" w:eastAsia="zh-CN"/>
        </w:rPr>
        <w:t xml:space="preserve">10.2 </w:t>
      </w:r>
      <w:r>
        <w:rPr>
          <w:rFonts w:hint="eastAsia" w:ascii="宋体" w:hAnsi="宋体" w:cs="宋体-18030"/>
          <w:szCs w:val="21"/>
        </w:rPr>
        <w:t>合同价款</w:t>
      </w:r>
      <w:r>
        <w:rPr>
          <w:rFonts w:hint="eastAsia" w:ascii="宋体" w:hAnsi="宋体" w:cs="宋体-18030"/>
          <w:szCs w:val="21"/>
          <w:lang w:val="en-US" w:eastAsia="zh-CN"/>
        </w:rPr>
        <w:t>支付按</w:t>
      </w:r>
      <w:r>
        <w:rPr>
          <w:rFonts w:hint="eastAsia" w:ascii="宋体" w:hAnsi="宋体" w:eastAsia="宋体" w:cs="宋体"/>
          <w:sz w:val="21"/>
          <w:szCs w:val="21"/>
          <w:lang w:val="en-US" w:eastAsia="zh-CN"/>
        </w:rPr>
        <w:t>第</w:t>
      </w:r>
      <w:permStart w:id="34" w:edGrp="everyone"/>
      <w:r>
        <w:rPr>
          <w:rFonts w:hint="eastAsia" w:ascii="宋体" w:hAnsi="宋体" w:eastAsia="宋体" w:cs="宋体"/>
          <w:sz w:val="21"/>
          <w:szCs w:val="21"/>
          <w:u w:val="single"/>
          <w:lang w:val="en-US" w:eastAsia="zh-CN"/>
        </w:rPr>
        <w:t xml:space="preserve">     </w:t>
      </w:r>
      <w:permEnd w:id="34"/>
      <w:r>
        <w:rPr>
          <w:rFonts w:hint="eastAsia" w:ascii="宋体" w:hAnsi="宋体" w:eastAsia="宋体" w:cs="宋体"/>
          <w:sz w:val="21"/>
          <w:szCs w:val="21"/>
          <w:lang w:val="en-US" w:eastAsia="zh-CN"/>
        </w:rPr>
        <w:t>种</w:t>
      </w:r>
      <w:r>
        <w:rPr>
          <w:rFonts w:hint="eastAsia" w:ascii="宋体" w:hAnsi="宋体" w:cs="宋体-18030"/>
          <w:szCs w:val="21"/>
        </w:rPr>
        <w:t>方式</w:t>
      </w:r>
      <w:r>
        <w:rPr>
          <w:rFonts w:hint="eastAsia" w:ascii="宋体" w:hAnsi="宋体" w:cs="宋体-18030"/>
          <w:szCs w:val="21"/>
          <w:lang w:eastAsia="zh-CN"/>
        </w:rPr>
        <w:t>（</w:t>
      </w:r>
      <w:r>
        <w:rPr>
          <w:rFonts w:hint="eastAsia" w:ascii="宋体" w:hAnsi="宋体" w:cs="宋体-18030"/>
          <w:szCs w:val="21"/>
          <w:lang w:val="en-US" w:eastAsia="zh-CN"/>
        </w:rPr>
        <w:t>1.</w:t>
      </w:r>
      <w:r>
        <w:rPr>
          <w:rFonts w:hint="eastAsia" w:ascii="宋体" w:hAnsi="宋体" w:cs="宋体-18030"/>
          <w:szCs w:val="21"/>
        </w:rPr>
        <w:t>转账</w:t>
      </w:r>
      <w:r>
        <w:rPr>
          <w:rFonts w:hint="eastAsia" w:ascii="宋体" w:hAnsi="宋体" w:cs="宋体-18030"/>
          <w:szCs w:val="21"/>
          <w:lang w:val="en-US" w:eastAsia="zh-CN"/>
        </w:rPr>
        <w:t>/2.</w:t>
      </w:r>
      <w:r>
        <w:rPr>
          <w:rFonts w:hint="eastAsia" w:ascii="宋体" w:hAnsi="宋体" w:cs="宋体-18030"/>
          <w:szCs w:val="21"/>
        </w:rPr>
        <w:t>汇票</w:t>
      </w:r>
      <w:r>
        <w:rPr>
          <w:rFonts w:hint="eastAsia" w:ascii="宋体" w:hAnsi="宋体" w:cs="宋体-18030"/>
          <w:szCs w:val="21"/>
          <w:lang w:val="en-US" w:eastAsia="zh-CN"/>
        </w:rPr>
        <w:t>/3.支票/4.其他</w:t>
      </w:r>
      <w:permStart w:id="35" w:edGrp="everyone"/>
      <w:r>
        <w:rPr>
          <w:rFonts w:hint="eastAsia" w:ascii="宋体" w:hAnsi="宋体" w:eastAsia="宋体" w:cs="宋体"/>
          <w:color w:val="C00000"/>
          <w:sz w:val="21"/>
          <w:szCs w:val="21"/>
          <w:u w:val="single"/>
          <w:lang w:val="en-US" w:eastAsia="zh-CN"/>
        </w:rPr>
        <w:t xml:space="preserve">   </w:t>
      </w:r>
      <w:r>
        <w:rPr>
          <w:rFonts w:hint="eastAsia" w:ascii="宋体" w:hAnsi="宋体" w:cs="宋体"/>
          <w:color w:val="C00000"/>
          <w:sz w:val="21"/>
          <w:szCs w:val="21"/>
          <w:u w:val="single"/>
          <w:lang w:val="en-US" w:eastAsia="zh-CN"/>
        </w:rPr>
        <w:t xml:space="preserve">  </w:t>
      </w:r>
      <w:permEnd w:id="35"/>
      <w:r>
        <w:rPr>
          <w:rFonts w:hint="eastAsia" w:ascii="宋体" w:hAnsi="宋体" w:cs="宋体-18030"/>
          <w:sz w:val="21"/>
          <w:szCs w:val="21"/>
          <w:lang w:val="en-US" w:eastAsia="zh-CN"/>
        </w:rPr>
        <w:t>)</w:t>
      </w:r>
      <w:r>
        <w:rPr>
          <w:rFonts w:hint="eastAsia" w:ascii="宋体" w:hAnsi="宋体" w:cs="宋体-18030"/>
          <w:sz w:val="21"/>
          <w:szCs w:val="21"/>
          <w:lang w:eastAsia="zh-CN"/>
        </w:rPr>
        <w:t>。</w:t>
      </w:r>
      <w:r>
        <w:rPr>
          <w:rFonts w:hint="eastAsia" w:ascii="宋体" w:hAnsi="宋体" w:eastAsia="宋体" w:cs="宋体"/>
          <w:sz w:val="21"/>
          <w:szCs w:val="21"/>
          <w:lang w:val="en-US" w:eastAsia="zh-CN"/>
        </w:rPr>
        <w:t>如需使用商业汇票进行支付的，由款项支付方承担资金成本（买方付息贴现）。</w:t>
      </w:r>
    </w:p>
    <w:p>
      <w:pPr>
        <w:spacing w:line="300" w:lineRule="auto"/>
        <w:ind w:firstLine="420" w:firstLineChars="200"/>
        <w:rPr>
          <w:rFonts w:hint="eastAsia" w:ascii="宋体" w:hAnsi="宋体" w:cs="宋体-18030"/>
          <w:szCs w:val="21"/>
          <w:lang w:eastAsia="zh-CN"/>
        </w:rPr>
      </w:pPr>
      <w:r>
        <w:rPr>
          <w:rFonts w:hint="eastAsia" w:ascii="宋体" w:hAnsi="宋体" w:cs="宋体-18030"/>
          <w:szCs w:val="21"/>
          <w:lang w:val="en-US" w:eastAsia="zh-CN"/>
        </w:rPr>
        <w:t>监理人</w:t>
      </w:r>
      <w:r>
        <w:rPr>
          <w:rFonts w:hint="eastAsia" w:ascii="宋体" w:hAnsi="宋体" w:cs="宋体-18030"/>
          <w:szCs w:val="21"/>
          <w:lang w:eastAsia="zh-CN"/>
        </w:rPr>
        <w:t>汇票开立信息如下：</w:t>
      </w:r>
    </w:p>
    <w:p>
      <w:pPr>
        <w:spacing w:line="300" w:lineRule="auto"/>
        <w:ind w:firstLine="420" w:firstLineChars="200"/>
        <w:rPr>
          <w:rFonts w:hint="eastAsia" w:ascii="宋体" w:hAnsi="宋体" w:cs="宋体-18030"/>
          <w:szCs w:val="21"/>
          <w:lang w:eastAsia="zh-CN"/>
        </w:rPr>
      </w:pPr>
      <w:r>
        <w:rPr>
          <w:rFonts w:hint="eastAsia" w:ascii="宋体" w:hAnsi="宋体" w:cs="宋体-18030"/>
          <w:szCs w:val="21"/>
          <w:lang w:eastAsia="zh-CN"/>
        </w:rPr>
        <w:t>汇票类型：</w:t>
      </w:r>
      <w:permStart w:id="36" w:edGrp="everyone"/>
      <w:r>
        <w:rPr>
          <w:rFonts w:hint="eastAsia" w:ascii="宋体" w:hAnsi="宋体" w:eastAsia="宋体" w:cs="宋体"/>
          <w:b w:val="0"/>
          <w:bCs w:val="0"/>
          <w:sz w:val="21"/>
          <w:szCs w:val="21"/>
          <w:lang w:eastAsia="zh-CN"/>
        </w:rPr>
        <w:sym w:font="Wingdings" w:char="006F"/>
      </w:r>
      <w:r>
        <w:rPr>
          <w:rFonts w:hint="eastAsia" w:ascii="宋体" w:hAnsi="宋体" w:eastAsia="宋体" w:cs="宋体"/>
          <w:b w:val="0"/>
          <w:bCs w:val="0"/>
          <w:sz w:val="21"/>
          <w:szCs w:val="21"/>
          <w:lang w:eastAsia="zh-CN"/>
        </w:rPr>
        <w:t>银行承兑汇票</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sym w:font="Wingdings" w:char="006F"/>
      </w:r>
      <w:r>
        <w:rPr>
          <w:rFonts w:hint="eastAsia" w:ascii="宋体" w:hAnsi="宋体" w:eastAsia="宋体" w:cs="宋体"/>
          <w:b w:val="0"/>
          <w:bCs w:val="0"/>
          <w:sz w:val="21"/>
          <w:szCs w:val="21"/>
          <w:lang w:eastAsia="zh-CN"/>
        </w:rPr>
        <w:t>商业承兑汇票</w:t>
      </w:r>
      <w:permEnd w:id="36"/>
    </w:p>
    <w:p>
      <w:pPr>
        <w:spacing w:line="300" w:lineRule="auto"/>
        <w:ind w:firstLine="420" w:firstLineChars="200"/>
        <w:rPr>
          <w:rFonts w:hint="eastAsia" w:ascii="宋体" w:hAnsi="宋体" w:cs="宋体-18030"/>
          <w:szCs w:val="21"/>
          <w:lang w:val="en-US" w:eastAsia="zh-CN"/>
        </w:rPr>
      </w:pPr>
      <w:r>
        <w:rPr>
          <w:rFonts w:hint="eastAsia" w:ascii="宋体" w:hAnsi="宋体" w:cs="宋体-18030"/>
          <w:szCs w:val="21"/>
          <w:lang w:eastAsia="zh-CN"/>
        </w:rPr>
        <w:t>收款人全称：</w:t>
      </w:r>
      <w:permStart w:id="37" w:edGrp="everyone"/>
      <w:r>
        <w:rPr>
          <w:rFonts w:hint="eastAsia" w:ascii="宋体" w:hAnsi="宋体" w:cs="宋体-18030"/>
          <w:szCs w:val="21"/>
          <w:lang w:val="en-US" w:eastAsia="zh-CN"/>
        </w:rPr>
        <w:t xml:space="preserve">              </w:t>
      </w:r>
      <w:permEnd w:id="37"/>
    </w:p>
    <w:p>
      <w:pPr>
        <w:spacing w:line="300" w:lineRule="auto"/>
        <w:ind w:firstLine="420" w:firstLineChars="200"/>
        <w:rPr>
          <w:rFonts w:hint="eastAsia" w:ascii="宋体" w:hAnsi="宋体" w:cs="宋体-18030"/>
          <w:szCs w:val="21"/>
          <w:lang w:val="en-US" w:eastAsia="zh-CN"/>
        </w:rPr>
      </w:pPr>
      <w:r>
        <w:rPr>
          <w:rFonts w:hint="eastAsia" w:ascii="宋体" w:hAnsi="宋体" w:cs="宋体-18030"/>
          <w:szCs w:val="21"/>
          <w:lang w:eastAsia="zh-CN"/>
        </w:rPr>
        <w:t>银行账户：</w:t>
      </w:r>
      <w:permStart w:id="38" w:edGrp="everyone"/>
      <w:r>
        <w:rPr>
          <w:rFonts w:hint="eastAsia" w:ascii="宋体" w:hAnsi="宋体" w:cs="宋体-18030"/>
          <w:szCs w:val="21"/>
          <w:lang w:val="en-US" w:eastAsia="zh-CN"/>
        </w:rPr>
        <w:t xml:space="preserve">                </w:t>
      </w:r>
      <w:permEnd w:id="38"/>
    </w:p>
    <w:p>
      <w:pPr>
        <w:spacing w:line="300" w:lineRule="auto"/>
        <w:ind w:firstLine="420" w:firstLineChars="200"/>
        <w:rPr>
          <w:rFonts w:hint="eastAsia" w:ascii="宋体" w:hAnsi="宋体" w:eastAsia="宋体" w:cs="宋体-18030"/>
          <w:szCs w:val="21"/>
          <w:lang w:eastAsia="zh-CN"/>
        </w:rPr>
      </w:pPr>
      <w:r>
        <w:rPr>
          <w:rFonts w:hint="eastAsia" w:ascii="宋体" w:hAnsi="宋体" w:eastAsia="宋体" w:cs="宋体-18030"/>
          <w:szCs w:val="21"/>
          <w:lang w:eastAsia="zh-CN"/>
        </w:rPr>
        <w:t>开户银行：</w:t>
      </w:r>
      <w:permStart w:id="39" w:edGrp="everyone"/>
      <w:r>
        <w:rPr>
          <w:rFonts w:hint="eastAsia" w:ascii="宋体" w:hAnsi="宋体" w:eastAsia="宋体" w:cs="宋体-18030"/>
          <w:szCs w:val="21"/>
          <w:lang w:val="en-US" w:eastAsia="zh-CN"/>
        </w:rPr>
        <w:t xml:space="preserve">                </w:t>
      </w:r>
      <w:permEnd w:id="39"/>
    </w:p>
    <w:p>
      <w:pPr>
        <w:spacing w:line="300" w:lineRule="auto"/>
        <w:ind w:firstLine="420" w:firstLineChars="200"/>
        <w:rPr>
          <w:rFonts w:hint="eastAsia" w:ascii="宋体" w:hAnsi="宋体" w:eastAsia="宋体" w:cs="宋体-18030"/>
          <w:szCs w:val="21"/>
          <w:lang w:val="en-US" w:eastAsia="zh-CN"/>
        </w:rPr>
      </w:pPr>
      <w:r>
        <w:rPr>
          <w:rFonts w:hint="eastAsia" w:ascii="宋体" w:hAnsi="宋体" w:eastAsia="宋体" w:cs="宋体-18030"/>
          <w:szCs w:val="21"/>
          <w:lang w:eastAsia="zh-CN"/>
        </w:rPr>
        <w:t>开户行行号：</w:t>
      </w:r>
      <w:permStart w:id="40" w:edGrp="everyone"/>
      <w:r>
        <w:rPr>
          <w:rFonts w:hint="eastAsia" w:ascii="宋体" w:hAnsi="宋体" w:eastAsia="宋体" w:cs="宋体-18030"/>
          <w:szCs w:val="21"/>
          <w:lang w:val="en-US" w:eastAsia="zh-CN"/>
        </w:rPr>
        <w:t xml:space="preserve">              </w:t>
      </w:r>
      <w:permEnd w:id="40"/>
    </w:p>
    <w:p>
      <w:pPr>
        <w:spacing w:line="360" w:lineRule="auto"/>
        <w:ind w:firstLine="420" w:firstLineChars="200"/>
        <w:jc w:val="left"/>
        <w:outlineLvl w:val="9"/>
        <w:rPr>
          <w:rFonts w:hint="eastAsia" w:ascii="宋体" w:hAnsi="宋体" w:eastAsia="宋体" w:cs="宋体-18030"/>
          <w:szCs w:val="21"/>
          <w:lang w:val="en-US" w:eastAsia="zh-CN"/>
        </w:rPr>
      </w:pPr>
      <w:r>
        <w:rPr>
          <w:rFonts w:hint="eastAsia" w:ascii="宋体" w:hAnsi="宋体" w:eastAsia="宋体" w:cs="宋体-18030"/>
          <w:szCs w:val="21"/>
          <w:lang w:eastAsia="zh-CN"/>
        </w:rPr>
        <w:t>联系人：</w:t>
      </w:r>
      <w:permStart w:id="41" w:edGrp="everyone"/>
      <w:r>
        <w:rPr>
          <w:rFonts w:hint="eastAsia" w:ascii="宋体" w:hAnsi="宋体" w:eastAsia="宋体" w:cs="宋体-18030"/>
          <w:szCs w:val="21"/>
          <w:lang w:val="en-US" w:eastAsia="zh-CN"/>
        </w:rPr>
        <w:t xml:space="preserve">                  </w:t>
      </w:r>
      <w:r>
        <w:rPr>
          <w:rFonts w:hint="eastAsia" w:ascii="宋体" w:hAnsi="宋体" w:eastAsia="宋体" w:cs="宋体-18030"/>
          <w:sz w:val="21"/>
          <w:szCs w:val="21"/>
          <w:u w:val="none"/>
          <w:shd w:val="clear" w:color="auto" w:fill="auto"/>
          <w:lang w:val="en-US" w:eastAsia="zh-CN"/>
        </w:rPr>
        <w:t xml:space="preserve"> </w:t>
      </w:r>
      <w:permEnd w:id="41"/>
    </w:p>
    <w:p>
      <w:pPr>
        <w:spacing w:line="360" w:lineRule="auto"/>
        <w:ind w:firstLine="420" w:firstLineChars="200"/>
        <w:jc w:val="left"/>
        <w:outlineLvl w:val="9"/>
        <w:rPr>
          <w:rFonts w:hint="eastAsia" w:ascii="宋体" w:hAnsi="宋体" w:eastAsia="宋体" w:cs="宋体-18030"/>
          <w:szCs w:val="21"/>
          <w:lang w:val="en-US" w:eastAsia="zh-CN"/>
        </w:rPr>
      </w:pPr>
      <w:r>
        <w:rPr>
          <w:rFonts w:hint="eastAsia" w:ascii="宋体" w:hAnsi="宋体" w:eastAsia="宋体" w:cs="宋体-18030"/>
          <w:szCs w:val="21"/>
          <w:lang w:val="en-US" w:eastAsia="zh-CN"/>
        </w:rPr>
        <w:t>联系电话</w:t>
      </w:r>
      <w:r>
        <w:rPr>
          <w:rFonts w:hint="eastAsia" w:ascii="宋体" w:hAnsi="宋体" w:eastAsia="宋体" w:cs="宋体-18030"/>
          <w:szCs w:val="21"/>
          <w:lang w:eastAsia="zh-CN"/>
        </w:rPr>
        <w:t>：</w:t>
      </w:r>
      <w:permStart w:id="42" w:edGrp="everyone"/>
      <w:r>
        <w:rPr>
          <w:rFonts w:hint="eastAsia" w:ascii="宋体" w:hAnsi="宋体" w:eastAsia="宋体" w:cs="宋体-18030"/>
          <w:szCs w:val="21"/>
          <w:lang w:val="en-US" w:eastAsia="zh-CN"/>
        </w:rPr>
        <w:t xml:space="preserve">              </w:t>
      </w:r>
      <w:permEnd w:id="42"/>
    </w:p>
    <w:p>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lang w:val="en-US" w:eastAsia="zh-CN"/>
        </w:rPr>
        <w:t>10.3</w:t>
      </w:r>
      <w:r>
        <w:rPr>
          <w:rFonts w:hint="eastAsia" w:ascii="宋体" w:hAnsi="宋体" w:eastAsia="宋体" w:cs="宋体-18030"/>
          <w:sz w:val="21"/>
          <w:szCs w:val="21"/>
        </w:rPr>
        <w:t>乙方应在甲方付预付款前</w:t>
      </w:r>
      <w:permStart w:id="43" w:edGrp="everyone"/>
      <w:r>
        <w:rPr>
          <w:rFonts w:hint="eastAsia" w:ascii="宋体" w:hAnsi="宋体" w:eastAsia="宋体" w:cs="宋体-18030"/>
          <w:sz w:val="21"/>
          <w:szCs w:val="21"/>
          <w:u w:val="none"/>
        </w:rPr>
        <w:t xml:space="preserve">  </w:t>
      </w:r>
      <w:r>
        <w:rPr>
          <w:rFonts w:hint="eastAsia" w:ascii="宋体" w:hAnsi="宋体" w:eastAsia="宋体" w:cs="宋体-18030"/>
          <w:sz w:val="21"/>
          <w:szCs w:val="21"/>
          <w:u w:val="none"/>
          <w:lang w:val="en-US" w:eastAsia="zh-CN"/>
        </w:rPr>
        <w:t xml:space="preserve">   </w:t>
      </w:r>
      <w:r>
        <w:rPr>
          <w:rFonts w:hint="eastAsia" w:ascii="宋体" w:hAnsi="宋体" w:eastAsia="宋体" w:cs="宋体-18030"/>
          <w:sz w:val="21"/>
          <w:szCs w:val="21"/>
          <w:u w:val="none"/>
        </w:rPr>
        <w:t xml:space="preserve"> </w:t>
      </w:r>
      <w:permEnd w:id="43"/>
      <w:r>
        <w:rPr>
          <w:rFonts w:hint="eastAsia" w:ascii="宋体" w:hAnsi="宋体" w:eastAsia="宋体" w:cs="宋体-18030"/>
          <w:sz w:val="21"/>
          <w:szCs w:val="21"/>
        </w:rPr>
        <w:t>日开具收据等带有法律</w:t>
      </w:r>
      <w:r>
        <w:rPr>
          <w:rFonts w:hint="eastAsia" w:ascii="宋体" w:hAnsi="宋体" w:eastAsia="宋体" w:cs="宋体-18030"/>
          <w:sz w:val="21"/>
          <w:szCs w:val="21"/>
          <w:lang w:val="en-US" w:eastAsia="zh-CN"/>
        </w:rPr>
        <w:t>效力</w:t>
      </w:r>
      <w:r>
        <w:rPr>
          <w:rFonts w:hint="eastAsia" w:ascii="宋体" w:hAnsi="宋体" w:eastAsia="宋体" w:cs="宋体-18030"/>
          <w:sz w:val="21"/>
          <w:szCs w:val="21"/>
        </w:rPr>
        <w:t>的原始凭据，否则甲方有权迟延支付相应价款，乙方因此造成的损失由其自行承担。</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left"/>
        <w:textAlignment w:val="auto"/>
        <w:outlineLvl w:val="9"/>
        <w:rPr>
          <w:rFonts w:hint="eastAsia" w:ascii="宋体" w:hAnsi="宋体" w:eastAsia="宋体" w:cs="宋体-18030"/>
          <w:sz w:val="21"/>
          <w:szCs w:val="21"/>
        </w:rPr>
      </w:pPr>
      <w:r>
        <w:rPr>
          <w:rFonts w:hint="eastAsia" w:ascii="宋体" w:hAnsi="宋体" w:eastAsia="宋体" w:cs="宋体-18030"/>
          <w:sz w:val="21"/>
          <w:szCs w:val="21"/>
        </w:rPr>
        <w:t>乙方应在甲方</w:t>
      </w:r>
      <w:r>
        <w:rPr>
          <w:rFonts w:hint="eastAsia" w:ascii="宋体" w:hAnsi="宋体" w:eastAsia="宋体" w:cs="宋体-18030"/>
          <w:sz w:val="21"/>
          <w:szCs w:val="21"/>
          <w:lang w:val="en-US" w:eastAsia="zh-CN"/>
        </w:rPr>
        <w:t>支</w:t>
      </w:r>
      <w:r>
        <w:rPr>
          <w:rFonts w:hint="eastAsia" w:ascii="宋体" w:hAnsi="宋体" w:eastAsia="宋体" w:cs="宋体-18030"/>
          <w:sz w:val="21"/>
          <w:szCs w:val="21"/>
        </w:rPr>
        <w:t>付首付款、进度款及尾款款前</w:t>
      </w:r>
      <w:permStart w:id="44" w:edGrp="everyone"/>
      <w:r>
        <w:rPr>
          <w:rFonts w:hint="eastAsia" w:ascii="宋体" w:hAnsi="宋体" w:eastAsia="宋体" w:cs="宋体-18030"/>
          <w:sz w:val="21"/>
          <w:szCs w:val="21"/>
          <w:u w:val="none"/>
          <w:shd w:val="clear" w:color="auto" w:fill="auto"/>
          <w:lang w:val="en-US" w:eastAsia="zh-CN"/>
        </w:rPr>
        <w:t xml:space="preserve">      </w:t>
      </w:r>
      <w:permEnd w:id="44"/>
      <w:r>
        <w:rPr>
          <w:rFonts w:hint="eastAsia" w:ascii="宋体" w:hAnsi="宋体" w:eastAsia="宋体" w:cs="宋体-18030"/>
          <w:sz w:val="21"/>
          <w:szCs w:val="21"/>
          <w:lang w:val="en-US" w:eastAsia="zh-CN"/>
        </w:rPr>
        <w:t>日</w:t>
      </w:r>
      <w:r>
        <w:rPr>
          <w:rFonts w:hint="eastAsia" w:ascii="宋体" w:hAnsi="宋体" w:eastAsia="宋体" w:cs="宋体-18030"/>
          <w:sz w:val="21"/>
          <w:szCs w:val="21"/>
        </w:rPr>
        <w:t>开具等额的增值税专用发票，</w:t>
      </w:r>
      <w:r>
        <w:rPr>
          <w:rFonts w:hint="eastAsia" w:ascii="宋体" w:hAnsi="宋体" w:eastAsia="宋体" w:cs="宋体-18030"/>
          <w:sz w:val="21"/>
          <w:szCs w:val="21"/>
          <w:highlight w:val="none"/>
          <w:lang w:val="en-US" w:eastAsia="zh-CN"/>
        </w:rPr>
        <w:t>增值税专用发票上注明的银行账户应与本合同提供的相同，</w:t>
      </w:r>
      <w:r>
        <w:rPr>
          <w:rFonts w:hint="eastAsia" w:ascii="宋体" w:hAnsi="宋体" w:eastAsia="宋体" w:cs="宋体-18030"/>
          <w:sz w:val="21"/>
          <w:szCs w:val="21"/>
        </w:rPr>
        <w:t>否则甲方有权迟延支付相应价款，乙方因此造成的损失由其自行承担。</w:t>
      </w:r>
    </w:p>
    <w:p>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rPr>
        <w:t>如乙方不能开具增值税专用发票的，应向甲方提交相关证明材料并取得甲方</w:t>
      </w:r>
      <w:r>
        <w:rPr>
          <w:rFonts w:hint="eastAsia" w:ascii="宋体" w:hAnsi="宋体" w:eastAsia="宋体" w:cs="宋体-18030"/>
          <w:sz w:val="21"/>
          <w:szCs w:val="21"/>
          <w:lang w:val="en-US" w:eastAsia="zh-CN"/>
        </w:rPr>
        <w:t>书面</w:t>
      </w:r>
      <w:r>
        <w:rPr>
          <w:rFonts w:hint="eastAsia" w:ascii="宋体" w:hAnsi="宋体" w:eastAsia="宋体" w:cs="宋体-18030"/>
          <w:sz w:val="21"/>
          <w:szCs w:val="21"/>
        </w:rPr>
        <w:t>同意后，可开具符合甲方要求的其他发票。</w:t>
      </w:r>
    </w:p>
    <w:p>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rPr>
      </w:pPr>
      <w:r>
        <w:rPr>
          <w:rFonts w:hint="eastAsia" w:ascii="宋体" w:hAnsi="宋体" w:eastAsia="宋体" w:cs="宋体-18030"/>
          <w:sz w:val="21"/>
          <w:szCs w:val="21"/>
          <w:lang w:val="en-US" w:eastAsia="zh-CN"/>
        </w:rPr>
        <w:t>10.4监理人</w:t>
      </w:r>
      <w:r>
        <w:rPr>
          <w:rFonts w:hint="eastAsia" w:ascii="宋体" w:hAnsi="宋体" w:eastAsia="宋体" w:cs="宋体-18030"/>
          <w:sz w:val="21"/>
          <w:szCs w:val="21"/>
        </w:rPr>
        <w:t>收款账户信息如下：</w:t>
      </w:r>
    </w:p>
    <w:p>
      <w:pPr>
        <w:keepNext w:val="0"/>
        <w:keepLines w:val="0"/>
        <w:pageBreakBefore w:val="0"/>
        <w:widowControl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u w:val="none"/>
          <w:lang w:val="en-US" w:eastAsia="zh-CN"/>
        </w:rPr>
      </w:pPr>
      <w:r>
        <w:rPr>
          <w:rFonts w:hint="eastAsia" w:ascii="宋体" w:hAnsi="宋体" w:eastAsia="宋体" w:cs="宋体-18030"/>
          <w:sz w:val="21"/>
          <w:szCs w:val="21"/>
        </w:rPr>
        <w:t>账号：</w:t>
      </w:r>
      <w:permStart w:id="45" w:edGrp="everyone"/>
      <w:r>
        <w:rPr>
          <w:rFonts w:hint="eastAsia" w:ascii="宋体" w:hAnsi="宋体" w:eastAsia="宋体" w:cs="宋体-18030"/>
          <w:sz w:val="21"/>
          <w:szCs w:val="21"/>
          <w:u w:val="none"/>
          <w:lang w:val="en-US" w:eastAsia="zh-CN"/>
        </w:rPr>
        <w:t xml:space="preserve">      </w:t>
      </w:r>
      <w:permEnd w:id="45"/>
    </w:p>
    <w:p>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18030"/>
          <w:sz w:val="21"/>
          <w:szCs w:val="21"/>
          <w:u w:val="none"/>
          <w:shd w:val="clear" w:color="auto" w:fill="auto"/>
          <w:lang w:val="en-US" w:eastAsia="zh-CN"/>
        </w:rPr>
      </w:pPr>
      <w:r>
        <w:rPr>
          <w:rFonts w:hint="eastAsia" w:ascii="宋体" w:hAnsi="宋体" w:eastAsia="宋体" w:cs="宋体-18030"/>
          <w:sz w:val="21"/>
          <w:szCs w:val="21"/>
        </w:rPr>
        <w:t>户名：</w:t>
      </w:r>
      <w:permStart w:id="46" w:edGrp="everyone"/>
      <w:r>
        <w:rPr>
          <w:rFonts w:hint="eastAsia" w:ascii="宋体" w:hAnsi="宋体" w:eastAsia="宋体" w:cs="宋体-18030"/>
          <w:sz w:val="21"/>
          <w:szCs w:val="21"/>
          <w:u w:val="none"/>
          <w:lang w:val="en-US" w:eastAsia="zh-CN"/>
        </w:rPr>
        <w:t xml:space="preserve">      </w:t>
      </w:r>
      <w:permEnd w:id="46"/>
    </w:p>
    <w:p>
      <w:pPr>
        <w:keepNext w:val="0"/>
        <w:keepLines w:val="0"/>
        <w:pageBreakBefore w:val="0"/>
        <w:kinsoku/>
        <w:wordWrap/>
        <w:overflowPunct/>
        <w:topLinePunct w:val="0"/>
        <w:bidi w:val="0"/>
        <w:adjustRightInd/>
        <w:snapToGrid/>
        <w:spacing w:line="360" w:lineRule="auto"/>
        <w:ind w:left="0" w:leftChars="0" w:right="0" w:rightChars="0" w:firstLine="420" w:firstLineChars="200"/>
        <w:jc w:val="left"/>
        <w:outlineLvl w:val="9"/>
        <w:rPr>
          <w:rFonts w:hint="eastAsia" w:ascii="宋体" w:hAnsi="宋体" w:eastAsia="宋体" w:cs="宋体"/>
          <w:color w:val="auto"/>
          <w:sz w:val="28"/>
          <w:szCs w:val="28"/>
          <w:u w:val="single"/>
          <w:shd w:val="pct10" w:color="auto" w:fill="FFFFFF"/>
          <w:lang w:val="en-US" w:eastAsia="zh-CN"/>
        </w:rPr>
      </w:pPr>
      <w:r>
        <w:rPr>
          <w:rFonts w:hint="eastAsia" w:ascii="宋体" w:hAnsi="宋体" w:eastAsia="宋体" w:cs="宋体-18030"/>
          <w:sz w:val="21"/>
          <w:szCs w:val="21"/>
        </w:rPr>
        <w:t>开户行：</w:t>
      </w:r>
      <w:permStart w:id="47" w:edGrp="everyone"/>
      <w:r>
        <w:rPr>
          <w:rFonts w:hint="eastAsia" w:ascii="宋体" w:hAnsi="宋体" w:eastAsia="宋体" w:cs="宋体-18030"/>
          <w:sz w:val="21"/>
          <w:szCs w:val="21"/>
          <w:u w:val="none"/>
          <w:lang w:val="en-US" w:eastAsia="zh-CN"/>
        </w:rPr>
        <w:t xml:space="preserve">      </w:t>
      </w:r>
      <w:permEnd w:id="47"/>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18030"/>
          <w:szCs w:val="21"/>
          <w:lang w:val="en-US" w:eastAsia="zh-CN"/>
        </w:rPr>
        <w:t>10.5监理人</w:t>
      </w:r>
      <w:r>
        <w:rPr>
          <w:rFonts w:hint="eastAsia" w:ascii="宋体" w:hAnsi="宋体" w:eastAsia="宋体" w:cs="宋体"/>
          <w:color w:val="auto"/>
          <w:kern w:val="0"/>
          <w:sz w:val="21"/>
          <w:szCs w:val="21"/>
          <w:highlight w:val="none"/>
          <w:lang w:val="en-US" w:eastAsia="zh-CN"/>
        </w:rPr>
        <w:t>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数字人民币钱包开户行：</w:t>
      </w:r>
      <w:sdt>
        <w:sdtPr>
          <w:rPr>
            <w:rFonts w:hint="eastAsia" w:ascii="宋体" w:hAnsi="宋体" w:eastAsia="宋体" w:cs="宋体"/>
            <w:color w:val="auto"/>
            <w:kern w:val="0"/>
            <w:sz w:val="21"/>
            <w:szCs w:val="21"/>
            <w:highlight w:val="none"/>
            <w:lang w:val="en-US" w:eastAsia="zh-CN"/>
          </w:rPr>
          <w:alias w:val="乙方数字人民币钱包开户银行名称"/>
          <w:tag w:val="乙方数字人民币钱包开户银行名称"/>
          <w:id w:val="147451869"/>
          <w:placeholder>
            <w:docPart w:val="{4def45a2-322e-4c6a-8fff-a378648d9b9c}"/>
          </w:placeholder>
          <w:text/>
        </w:sdtPr>
        <w:sdtEndPr>
          <w:rPr>
            <w:rFonts w:hint="eastAsia" w:ascii="宋体" w:hAnsi="宋体" w:eastAsia="宋体" w:cs="宋体"/>
            <w:color w:val="auto"/>
            <w:kern w:val="0"/>
            <w:sz w:val="21"/>
            <w:szCs w:val="21"/>
            <w:highlight w:val="none"/>
            <w:lang w:val="en-US" w:eastAsia="zh-CN"/>
          </w:rPr>
        </w:sdtEndPr>
        <w:sdtContent>
          <w:permStart w:id="48" w:edGrp="everyone"/>
          <w:r>
            <w:rPr>
              <w:rFonts w:hint="eastAsia" w:ascii="宋体" w:hAnsi="宋体" w:eastAsia="宋体" w:cs="宋体"/>
              <w:color w:val="auto"/>
              <w:kern w:val="0"/>
              <w:sz w:val="21"/>
              <w:szCs w:val="21"/>
              <w:highlight w:val="none"/>
              <w:u w:val="single"/>
              <w:lang w:val="en-US" w:eastAsia="zh-CN"/>
            </w:rPr>
            <w:t xml:space="preserve">      </w:t>
          </w:r>
          <w:permEnd w:id="48"/>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钱包名称：</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名称"/>
          <w:tag w:val="乙方数字人民币钱包名称"/>
          <w:id w:val="147452104"/>
          <w:placeholder>
            <w:docPart w:val="{ff74c374-0584-42b7-bdbc-b49d5c037a33}"/>
          </w:placeholder>
          <w:text/>
        </w:sdtPr>
        <w:sdtEndPr>
          <w:rPr>
            <w:rFonts w:hint="eastAsia" w:asciiTheme="minorEastAsia" w:hAnsiTheme="minorEastAsia" w:eastAsiaTheme="minorEastAsia" w:cstheme="minorEastAsia"/>
            <w:color w:val="auto"/>
            <w:kern w:val="2"/>
            <w:sz w:val="21"/>
            <w:szCs w:val="21"/>
            <w:highlight w:val="none"/>
            <w:lang w:val="en-US" w:eastAsia="zh-CN" w:bidi="ar-SA"/>
          </w:rPr>
        </w:sdtEndPr>
        <w:sdtContent>
          <w:permStart w:id="49" w:edGrp="everyone"/>
          <w:r>
            <w:rPr>
              <w:rFonts w:hint="eastAsia" w:asciiTheme="minorEastAsia" w:hAnsiTheme="minorEastAsia" w:eastAsiaTheme="minorEastAsia" w:cstheme="minorEastAsia"/>
              <w:color w:val="auto"/>
              <w:sz w:val="21"/>
              <w:szCs w:val="21"/>
              <w:highlight w:val="none"/>
              <w:u w:val="single"/>
              <w:lang w:val="en-US" w:eastAsia="zh-CN"/>
            </w:rPr>
            <w:t xml:space="preserve">      </w:t>
          </w:r>
          <w:permEnd w:id="49"/>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钱包编号：</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编号"/>
          <w:tag w:val="乙方数字人民币钱包编号"/>
          <w:id w:val="530282237"/>
          <w:placeholder>
            <w:docPart w:val="{0d1821f1-7cae-43d2-90ce-a2c24ca2006b}"/>
          </w:placeholder>
          <w:text/>
        </w:sdtPr>
        <w:sdtEndPr>
          <w:rPr>
            <w:rFonts w:hint="eastAsia" w:asciiTheme="minorEastAsia" w:hAnsiTheme="minorEastAsia" w:eastAsiaTheme="minorEastAsia" w:cstheme="minorEastAsia"/>
            <w:color w:val="auto"/>
            <w:kern w:val="2"/>
            <w:sz w:val="21"/>
            <w:szCs w:val="21"/>
            <w:highlight w:val="none"/>
            <w:lang w:val="en-US" w:eastAsia="zh-CN" w:bidi="ar-SA"/>
          </w:rPr>
        </w:sdtEndPr>
        <w:sdtContent>
          <w:permStart w:id="50" w:edGrp="everyone"/>
          <w:r>
            <w:rPr>
              <w:rFonts w:hint="eastAsia" w:asciiTheme="minorEastAsia" w:hAnsiTheme="minorEastAsia" w:eastAsiaTheme="minorEastAsia" w:cstheme="minorEastAsia"/>
              <w:color w:val="auto"/>
              <w:sz w:val="21"/>
              <w:szCs w:val="21"/>
              <w:highlight w:val="none"/>
              <w:u w:val="single"/>
              <w:lang w:val="en-US" w:eastAsia="zh-CN"/>
            </w:rPr>
            <w:t xml:space="preserve">      </w:t>
          </w:r>
          <w:permEnd w:id="50"/>
        </w:sdtContent>
      </w:sdt>
      <w:r>
        <w:rPr>
          <w:rFonts w:hint="eastAsia" w:ascii="宋体" w:hAnsi="宋体" w:eastAsia="宋体" w:cs="宋体"/>
          <w:color w:val="auto"/>
          <w:kern w:val="0"/>
          <w:sz w:val="21"/>
          <w:szCs w:val="21"/>
          <w:highlight w:val="none"/>
          <w:lang w:val="en-US" w:eastAsia="zh-CN"/>
        </w:rPr>
        <w:t xml:space="preserve"> </w:t>
      </w:r>
    </w:p>
    <w:p>
      <w:pPr>
        <w:pStyle w:val="2"/>
        <w:ind w:firstLine="422" w:firstLineChars="200"/>
        <w:rPr>
          <w:rFonts w:hint="eastAsia"/>
        </w:rPr>
      </w:pPr>
      <w:r>
        <w:rPr>
          <w:rFonts w:hint="eastAsia" w:ascii="宋体" w:hAnsi="宋体" w:cs="宋体"/>
          <w:b/>
          <w:bCs/>
          <w:color w:val="auto"/>
          <w:kern w:val="0"/>
          <w:sz w:val="21"/>
          <w:szCs w:val="21"/>
          <w:highlight w:val="none"/>
          <w:u w:val="none"/>
          <w:lang w:val="en-US" w:eastAsia="zh-CN"/>
        </w:rPr>
        <w:t>10.6本合同项下监理人收款账户信息、监理人数字人民币对公钱包信息，以本合同第10.4、第10.5条约定为准。监理人在签署本合同时，应对前述信息进行确认，本合同一经双方签署即视为监理人确认前述信息无误，委托人应按前述信息进行付款。监理人如需变更收款账户或数字人民币钱包信息的，应提前向委托人提出，并由双方签署变更协议后方可变更；否则，委托人仍应按本条约定的收款信息进行付款。委托人按本条约定的收款信息付款后，视为已完成付款义务，因收款信息错误造成的全部损失由监理人自行承担，委托人人不承担任何责任。</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cs="宋体"/>
          <w:kern w:val="0"/>
          <w:szCs w:val="21"/>
          <w:lang w:val="en-US" w:eastAsia="zh-CN"/>
        </w:rPr>
        <w:t>10.7</w:t>
      </w:r>
      <w:r>
        <w:rPr>
          <w:rFonts w:hint="eastAsia" w:ascii="宋体" w:hAnsi="宋体" w:eastAsia="宋体" w:cs="宋体"/>
          <w:color w:val="auto"/>
          <w:kern w:val="0"/>
          <w:sz w:val="21"/>
          <w:szCs w:val="21"/>
          <w:lang w:val="en-US" w:eastAsia="zh-CN"/>
        </w:rPr>
        <w:t>委托人增值税开票信息如下：</w:t>
      </w:r>
    </w:p>
    <w:p>
      <w:pPr>
        <w:keepNext w:val="0"/>
        <w:keepLines w:val="0"/>
        <w:pageBreakBefore w:val="0"/>
        <w:widowControl w:val="0"/>
        <w:kinsoku/>
        <w:wordWrap/>
        <w:overflowPunct/>
        <w:topLinePunct w:val="0"/>
        <w:autoSpaceDE/>
        <w:autoSpaceDN/>
        <w:bidi w:val="0"/>
        <w:adjustRightInd w:val="0"/>
        <w:snapToGrid/>
        <w:ind w:firstLine="420" w:firstLineChars="200"/>
        <w:textAlignment w:val="baseline"/>
        <w:rPr>
          <w:rFonts w:hint="eastAsia" w:ascii="宋体" w:hAnsi="宋体" w:eastAsia="宋体" w:cs="宋体"/>
          <w:color w:val="auto"/>
          <w:kern w:val="0"/>
          <w:sz w:val="21"/>
          <w:szCs w:val="21"/>
          <w:u w:val="single"/>
          <w:lang w:val="en-US" w:eastAsia="zh-CN"/>
        </w:rPr>
      </w:pPr>
      <w:r>
        <w:rPr>
          <w:rFonts w:hint="eastAsia" w:ascii="宋体" w:hAnsi="宋体" w:eastAsia="宋体" w:cs="宋体"/>
          <w:color w:val="auto"/>
          <w:kern w:val="0"/>
          <w:sz w:val="21"/>
          <w:szCs w:val="21"/>
          <w:lang w:val="en-US" w:eastAsia="zh-CN"/>
        </w:rPr>
        <w:t>单位名称：</w:t>
      </w:r>
      <w:permStart w:id="51" w:edGrp="everyone"/>
      <w:r>
        <w:rPr>
          <w:rFonts w:hint="eastAsia" w:cs="Times New Roman"/>
          <w:color w:val="auto"/>
          <w:kern w:val="2"/>
          <w:sz w:val="21"/>
          <w:szCs w:val="21"/>
          <w:u w:val="single"/>
          <w:lang w:val="en-US" w:eastAsia="zh-CN" w:bidi="ar-SA"/>
        </w:rPr>
        <w:t xml:space="preserve">      </w:t>
      </w:r>
      <w:permEnd w:id="51"/>
    </w:p>
    <w:p>
      <w:pPr>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税务识别号：</w:t>
      </w:r>
      <w:permStart w:id="52" w:edGrp="everyone"/>
      <w:r>
        <w:rPr>
          <w:rFonts w:hint="eastAsia" w:cs="Times New Roman"/>
          <w:color w:val="auto"/>
          <w:kern w:val="2"/>
          <w:sz w:val="21"/>
          <w:szCs w:val="21"/>
          <w:u w:val="single"/>
          <w:lang w:val="en-US" w:eastAsia="zh-CN" w:bidi="ar-SA"/>
        </w:rPr>
        <w:t xml:space="preserve">      </w:t>
      </w:r>
      <w:permEnd w:id="52"/>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开户行：</w:t>
      </w:r>
      <w:permStart w:id="53" w:edGrp="everyone"/>
      <w:r>
        <w:rPr>
          <w:rFonts w:hint="eastAsia" w:ascii="宋体" w:hAnsi="宋体" w:eastAsia="宋体" w:cs="宋体"/>
          <w:color w:val="auto"/>
          <w:sz w:val="21"/>
          <w:szCs w:val="21"/>
          <w:u w:val="single"/>
          <w:lang w:val="en-US" w:eastAsia="zh-CN"/>
        </w:rPr>
        <w:t xml:space="preserve">       </w:t>
      </w:r>
      <w:permEnd w:id="53"/>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银行账号：</w:t>
      </w:r>
      <w:permStart w:id="54" w:edGrp="everyone"/>
      <w:r>
        <w:rPr>
          <w:rFonts w:hint="eastAsia" w:ascii="宋体" w:hAnsi="宋体" w:eastAsia="宋体" w:cs="宋体"/>
          <w:color w:val="auto"/>
          <w:sz w:val="21"/>
          <w:szCs w:val="21"/>
          <w:u w:val="single"/>
          <w:lang w:val="en-US" w:eastAsia="zh-CN"/>
        </w:rPr>
        <w:t xml:space="preserve">       </w:t>
      </w:r>
      <w:permEnd w:id="54"/>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地址：</w:t>
      </w:r>
      <w:permStart w:id="55" w:edGrp="everyone"/>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permEnd w:id="55"/>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10.8 </w:t>
      </w:r>
      <w:r>
        <w:rPr>
          <w:rFonts w:hint="eastAsia" w:ascii="宋体" w:hAnsi="宋体" w:eastAsia="宋体" w:cs="宋体"/>
          <w:color w:val="auto"/>
          <w:kern w:val="0"/>
          <w:sz w:val="21"/>
          <w:szCs w:val="21"/>
          <w:lang w:val="en-US" w:eastAsia="zh-CN"/>
        </w:rPr>
        <w:t>若监理人未能按上述要求开具增值税专用发票，或实际开票税率与上述要求不符，委托人有权根据实际收取的发票类型及税率从合同价款中直接扣除相应金额的合同款进行结算。委托人有权在任一批次的合同付款中直接扣减税款差额。若未支付合同款不足以弥补税款差额，监理人应将差额退还委托人。税款差额计算方式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税款差额=承诺税率对应的增值税进项税额﹣实际开具发票的进项税额（若计算得出的扣款小于0，则取0）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其中：增值税进项税额=∑开票金额÷（1+税率）×税率</w:t>
      </w:r>
    </w:p>
    <w:p>
      <w:pPr>
        <w:spacing w:line="360" w:lineRule="auto"/>
        <w:ind w:firstLine="420" w:firstLineChars="200"/>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10.9 本合同项下不含税价格不因国家税率变化而变化，若在本合同履行期间遇国家税率调整，则价税合计相应调整，以开具发票的时间为准。</w:t>
      </w:r>
    </w:p>
    <w:p>
      <w:pPr>
        <w:spacing w:line="440" w:lineRule="exact"/>
        <w:ind w:firstLine="420" w:firstLineChars="200"/>
        <w:rPr>
          <w:szCs w:val="21"/>
        </w:rPr>
      </w:pPr>
      <w:r>
        <w:rPr>
          <w:rFonts w:hint="eastAsia"/>
          <w:szCs w:val="21"/>
        </w:rPr>
        <w:t>10.</w:t>
      </w:r>
      <w:r>
        <w:rPr>
          <w:rFonts w:hint="eastAsia"/>
          <w:szCs w:val="21"/>
          <w:lang w:val="en-US" w:eastAsia="zh-CN"/>
        </w:rPr>
        <w:t>10</w:t>
      </w:r>
      <w:r>
        <w:rPr>
          <w:szCs w:val="21"/>
        </w:rPr>
        <w:t>支付条</w:t>
      </w:r>
      <w:r>
        <w:rPr>
          <w:rFonts w:hint="eastAsia"/>
          <w:szCs w:val="21"/>
          <w:lang w:val="en-US" w:eastAsia="zh-CN"/>
        </w:rPr>
        <w:t>件</w:t>
      </w:r>
      <w:r>
        <w:rPr>
          <w:szCs w:val="21"/>
        </w:rPr>
        <w:t>及程序在合同条款和附件中另有规定。</w:t>
      </w:r>
    </w:p>
    <w:p>
      <w:pPr>
        <w:spacing w:line="440" w:lineRule="exact"/>
        <w:ind w:firstLine="420" w:firstLineChars="200"/>
        <w:rPr>
          <w:szCs w:val="21"/>
        </w:rPr>
      </w:pPr>
      <w:r>
        <w:rPr>
          <w:rFonts w:hint="eastAsia"/>
          <w:szCs w:val="21"/>
        </w:rPr>
        <w:t>11</w:t>
      </w:r>
      <w:r>
        <w:rPr>
          <w:szCs w:val="21"/>
        </w:rPr>
        <w:t>. 总监理工程师：</w:t>
      </w:r>
      <w:permStart w:id="56" w:edGrp="everyone"/>
      <w:r>
        <w:rPr>
          <w:szCs w:val="21"/>
          <w:u w:val="single"/>
        </w:rPr>
        <w:t xml:space="preserve">          </w:t>
      </w:r>
      <w:permEnd w:id="56"/>
      <w:r>
        <w:rPr>
          <w:rFonts w:hint="eastAsia" w:ascii="宋体" w:hAnsi="宋体"/>
          <w:szCs w:val="21"/>
        </w:rPr>
        <w:t>，身份证号码：</w:t>
      </w:r>
      <w:permStart w:id="57" w:edGrp="everyone"/>
      <w:r>
        <w:rPr>
          <w:szCs w:val="21"/>
          <w:u w:val="single"/>
        </w:rPr>
        <w:t xml:space="preserve">          </w:t>
      </w:r>
      <w:permEnd w:id="57"/>
      <w:r>
        <w:rPr>
          <w:rFonts w:hint="eastAsia" w:ascii="宋体" w:hAnsi="宋体"/>
          <w:szCs w:val="21"/>
        </w:rPr>
        <w:t>，注册号：</w:t>
      </w:r>
      <w:permStart w:id="58" w:edGrp="everyone"/>
      <w:r>
        <w:rPr>
          <w:szCs w:val="21"/>
          <w:u w:val="single"/>
        </w:rPr>
        <w:t xml:space="preserve">          </w:t>
      </w:r>
      <w:r>
        <w:rPr>
          <w:szCs w:val="21"/>
        </w:rPr>
        <w:t>。</w:t>
      </w:r>
      <w:permEnd w:id="58"/>
    </w:p>
    <w:p>
      <w:pPr>
        <w:spacing w:line="440" w:lineRule="exact"/>
        <w:ind w:firstLine="420" w:firstLineChars="200"/>
        <w:rPr>
          <w:szCs w:val="21"/>
        </w:rPr>
      </w:pPr>
      <w:r>
        <w:rPr>
          <w:rFonts w:hint="eastAsia"/>
          <w:szCs w:val="21"/>
        </w:rPr>
        <w:t>12. 词语含义</w:t>
      </w:r>
    </w:p>
    <w:p>
      <w:pPr>
        <w:spacing w:line="440" w:lineRule="exact"/>
        <w:ind w:firstLine="420" w:firstLineChars="200"/>
        <w:rPr>
          <w:szCs w:val="21"/>
        </w:rPr>
      </w:pPr>
      <w:r>
        <w:rPr>
          <w:rFonts w:hint="eastAsia"/>
          <w:szCs w:val="21"/>
        </w:rPr>
        <w:t>本协议书中词语含义与通用合同条款中赋予的含义相同。</w:t>
      </w:r>
    </w:p>
    <w:p>
      <w:pPr>
        <w:spacing w:line="440" w:lineRule="exact"/>
        <w:ind w:firstLine="420" w:firstLineChars="200"/>
        <w:rPr>
          <w:szCs w:val="21"/>
        </w:rPr>
      </w:pPr>
      <w:r>
        <w:rPr>
          <w:rFonts w:hint="eastAsia"/>
          <w:szCs w:val="21"/>
        </w:rPr>
        <w:t>13. 签订时间</w:t>
      </w:r>
      <w:r>
        <w:rPr>
          <w:rFonts w:hint="eastAsia"/>
          <w:szCs w:val="21"/>
        </w:rPr>
        <w:tab/>
      </w:r>
    </w:p>
    <w:p>
      <w:pPr>
        <w:spacing w:line="440" w:lineRule="exact"/>
        <w:ind w:firstLine="420" w:firstLineChars="200"/>
        <w:rPr>
          <w:szCs w:val="21"/>
        </w:rPr>
      </w:pPr>
      <w:permStart w:id="59" w:edGrp="everyone"/>
      <w:r>
        <w:rPr>
          <w:rFonts w:hint="eastAsia"/>
          <w:szCs w:val="21"/>
        </w:rPr>
        <w:t>本合同于_________年 _____月 ______日签订。</w:t>
      </w:r>
    </w:p>
    <w:permEnd w:id="59"/>
    <w:p>
      <w:pPr>
        <w:spacing w:line="440" w:lineRule="exact"/>
        <w:ind w:firstLine="420" w:firstLineChars="200"/>
        <w:rPr>
          <w:szCs w:val="21"/>
        </w:rPr>
      </w:pPr>
      <w:r>
        <w:rPr>
          <w:rFonts w:hint="eastAsia"/>
          <w:szCs w:val="21"/>
        </w:rPr>
        <w:t>14. 签订地点</w:t>
      </w:r>
    </w:p>
    <w:p>
      <w:pPr>
        <w:spacing w:line="440" w:lineRule="exact"/>
        <w:ind w:firstLine="420" w:firstLineChars="200"/>
        <w:rPr>
          <w:szCs w:val="21"/>
        </w:rPr>
      </w:pPr>
      <w:permStart w:id="60" w:edGrp="everyone"/>
      <w:r>
        <w:rPr>
          <w:rFonts w:hint="eastAsia"/>
          <w:szCs w:val="21"/>
        </w:rPr>
        <w:t>本</w:t>
      </w:r>
      <w:r>
        <w:rPr>
          <w:rFonts w:hint="eastAsia" w:ascii="宋体" w:hAnsi="宋体" w:eastAsia="宋体" w:cs="宋体"/>
          <w:sz w:val="21"/>
          <w:szCs w:val="21"/>
        </w:rPr>
        <w:t>合同在</w:t>
      </w:r>
      <w:sdt>
        <w:sdtPr>
          <w:rPr>
            <w:rFonts w:hint="eastAsia" w:ascii="宋体" w:hAnsi="宋体" w:eastAsia="宋体" w:cs="宋体"/>
            <w:kern w:val="2"/>
            <w:sz w:val="21"/>
            <w:szCs w:val="21"/>
            <w:u w:val="single"/>
            <w:lang w:val="en-US" w:eastAsia="zh-CN" w:bidi="ar-SA"/>
          </w:rPr>
          <w:alias w:val="签约地点"/>
          <w:tag w:val="签约地点"/>
          <w:id w:val="391179285"/>
          <w:placeholder>
            <w:docPart w:val="{efe19991-d4ca-40ff-b9ce-a047c36ddfc1}"/>
          </w:placeholder>
          <w:text w:multiLine="1"/>
        </w:sdtPr>
        <w:sdtEndPr>
          <w:rPr>
            <w:rFonts w:hint="eastAsia" w:ascii="宋体" w:hAnsi="宋体" w:eastAsia="宋体" w:cs="宋体"/>
            <w:kern w:val="2"/>
            <w:sz w:val="21"/>
            <w:szCs w:val="21"/>
            <w:u w:val="single"/>
            <w:lang w:val="en-US" w:eastAsia="zh-CN" w:bidi="ar-SA"/>
          </w:rPr>
        </w:sdtEndPr>
        <w:sdtContent>
          <w:r>
            <w:rPr>
              <w:rFonts w:hint="eastAsia" w:ascii="宋体" w:hAnsi="宋体" w:eastAsia="宋体" w:cs="宋体"/>
              <w:kern w:val="2"/>
              <w:sz w:val="21"/>
              <w:szCs w:val="21"/>
              <w:u w:val="single"/>
              <w:lang w:val="en-US" w:eastAsia="zh-CN" w:bidi="ar-SA"/>
            </w:rPr>
            <w:t xml:space="preserve">               </w:t>
          </w:r>
        </w:sdtContent>
      </w:sdt>
      <w:r>
        <w:rPr>
          <w:rFonts w:hint="eastAsia" w:ascii="宋体" w:hAnsi="宋体" w:eastAsia="宋体" w:cs="宋体"/>
          <w:sz w:val="21"/>
          <w:szCs w:val="21"/>
        </w:rPr>
        <w:t>签订</w:t>
      </w:r>
      <w:r>
        <w:rPr>
          <w:rFonts w:hint="eastAsia"/>
          <w:szCs w:val="21"/>
        </w:rPr>
        <w:t>。</w:t>
      </w:r>
    </w:p>
    <w:permEnd w:id="60"/>
    <w:p>
      <w:pPr>
        <w:spacing w:line="440" w:lineRule="exact"/>
        <w:ind w:firstLine="420" w:firstLineChars="200"/>
        <w:rPr>
          <w:szCs w:val="21"/>
        </w:rPr>
      </w:pPr>
      <w:r>
        <w:rPr>
          <w:rFonts w:hint="eastAsia"/>
          <w:szCs w:val="21"/>
        </w:rPr>
        <w:t>15. 本合同一式</w:t>
      </w:r>
      <w:sdt>
        <w:sdtPr>
          <w:rPr>
            <w:rFonts w:hint="eastAsia" w:ascii="宋体" w:hAnsi="宋体" w:eastAsia="宋体" w:cs="宋体"/>
            <w:kern w:val="2"/>
            <w:sz w:val="21"/>
            <w:szCs w:val="21"/>
            <w:lang w:val="en-US" w:eastAsia="zh-CN" w:bidi="ar-SA"/>
          </w:rPr>
          <w:alias w:val="建议数字大写，注意各份数相加结果"/>
          <w:tag w:val="合同总份数 "/>
          <w:id w:val="147474502"/>
          <w:placeholder>
            <w:docPart w:val="{6d805666-58b3-4c9a-83a0-916860985ecb}"/>
          </w:placeholder>
        </w:sdtPr>
        <w:sdtEndPr>
          <w:rPr>
            <w:rFonts w:hint="eastAsia" w:ascii="宋体" w:hAnsi="宋体" w:eastAsia="宋体" w:cs="宋体"/>
            <w:kern w:val="2"/>
            <w:sz w:val="21"/>
            <w:szCs w:val="21"/>
            <w:lang w:val="en-US" w:eastAsia="zh-CN" w:bidi="ar-SA"/>
          </w:rPr>
        </w:sdtEndPr>
        <w:sdtContent>
          <w:permStart w:id="61" w:edGrp="everyone"/>
          <w:r>
            <w:rPr>
              <w:rFonts w:hint="eastAsia" w:ascii="宋体" w:hAnsi="宋体" w:eastAsia="宋体" w:cs="宋体"/>
              <w:kern w:val="2"/>
              <w:sz w:val="21"/>
              <w:szCs w:val="21"/>
              <w:u w:val="single"/>
              <w:lang w:val="en-US" w:eastAsia="zh-CN" w:bidi="ar-SA"/>
            </w:rPr>
            <w:t xml:space="preserve">    </w:t>
          </w:r>
          <w:permEnd w:id="61"/>
        </w:sdtContent>
      </w:sdt>
      <w:r>
        <w:rPr>
          <w:rFonts w:hint="eastAsia"/>
          <w:szCs w:val="21"/>
        </w:rPr>
        <w:t>份，均具有同等法律效力，委托人执</w:t>
      </w:r>
      <w:sdt>
        <w:sdtPr>
          <w:rPr>
            <w:rFonts w:hint="eastAsia" w:ascii="宋体" w:hAnsi="宋体" w:eastAsia="宋体" w:cs="宋体"/>
            <w:kern w:val="2"/>
            <w:sz w:val="21"/>
            <w:szCs w:val="21"/>
            <w:lang w:val="en-US" w:eastAsia="zh-CN" w:bidi="ar-SA"/>
          </w:rPr>
          <w:alias w:val="建议数字大写，注意各份数相加结果"/>
          <w:tag w:val="甲方所执份数"/>
          <w:id w:val="895778106"/>
          <w:placeholder>
            <w:docPart w:val="{0e84f306-367a-4fbe-9e28-b328d7e0f7ea}"/>
          </w:placeholder>
        </w:sdtPr>
        <w:sdtEndPr>
          <w:rPr>
            <w:rFonts w:hint="eastAsia" w:asciiTheme="minorHAnsi" w:hAnsiTheme="minorHAnsi" w:eastAsiaTheme="minorEastAsia" w:cstheme="minorBidi"/>
            <w:kern w:val="2"/>
            <w:sz w:val="28"/>
            <w:szCs w:val="36"/>
            <w:u w:val="single"/>
            <w:lang w:val="en-US" w:eastAsia="zh-CN" w:bidi="ar-SA"/>
          </w:rPr>
        </w:sdtEndPr>
        <w:sdtContent>
          <w:permStart w:id="62" w:edGrp="everyone"/>
          <w:r>
            <w:rPr>
              <w:rFonts w:hint="eastAsia" w:ascii="宋体" w:hAnsi="宋体" w:eastAsia="宋体" w:cs="宋体"/>
              <w:kern w:val="2"/>
              <w:sz w:val="21"/>
              <w:szCs w:val="21"/>
              <w:u w:val="single"/>
              <w:lang w:val="en-US" w:eastAsia="zh-CN" w:bidi="ar-SA"/>
            </w:rPr>
            <w:t xml:space="preserve">   </w:t>
          </w:r>
          <w:permEnd w:id="62"/>
        </w:sdtContent>
      </w:sdt>
      <w:r>
        <w:rPr>
          <w:rFonts w:hint="eastAsia"/>
          <w:szCs w:val="21"/>
        </w:rPr>
        <w:t>份，监理人执</w:t>
      </w:r>
      <w:sdt>
        <w:sdtPr>
          <w:rPr>
            <w:rFonts w:hint="eastAsia" w:ascii="宋体" w:hAnsi="宋体" w:eastAsia="宋体" w:cs="宋体"/>
            <w:kern w:val="2"/>
            <w:sz w:val="21"/>
            <w:szCs w:val="21"/>
            <w:lang w:val="en-US" w:eastAsia="zh-CN" w:bidi="ar-SA"/>
          </w:rPr>
          <w:alias w:val="建议数字大写，注意各份数相加结果"/>
          <w:tag w:val="乙方所执份数"/>
          <w:id w:val="127757003"/>
          <w:placeholder>
            <w:docPart w:val="{3066c63d-26d7-47ea-969b-f45df479caeb}"/>
          </w:placeholder>
        </w:sdtPr>
        <w:sdtEndPr>
          <w:rPr>
            <w:rFonts w:hint="eastAsia" w:asciiTheme="minorHAnsi" w:hAnsiTheme="minorHAnsi" w:eastAsiaTheme="minorEastAsia" w:cstheme="minorBidi"/>
            <w:kern w:val="2"/>
            <w:sz w:val="28"/>
            <w:szCs w:val="36"/>
            <w:lang w:val="en-US" w:eastAsia="zh-CN" w:bidi="ar-SA"/>
          </w:rPr>
        </w:sdtEndPr>
        <w:sdtContent>
          <w:permStart w:id="63" w:edGrp="everyone"/>
          <w:r>
            <w:rPr>
              <w:rFonts w:hint="eastAsia" w:ascii="宋体" w:hAnsi="宋体" w:eastAsia="宋体" w:cs="宋体"/>
              <w:kern w:val="2"/>
              <w:sz w:val="21"/>
              <w:szCs w:val="21"/>
              <w:u w:val="single"/>
              <w:lang w:val="en-US" w:eastAsia="zh-CN" w:bidi="ar-SA"/>
            </w:rPr>
            <w:t xml:space="preserve">   </w:t>
          </w:r>
          <w:permEnd w:id="63"/>
        </w:sdtContent>
      </w:sdt>
      <w:r>
        <w:rPr>
          <w:rFonts w:hint="eastAsia"/>
          <w:szCs w:val="21"/>
        </w:rPr>
        <w:t>份。</w:t>
      </w:r>
    </w:p>
    <w:p>
      <w:pPr>
        <w:spacing w:line="440" w:lineRule="exact"/>
        <w:ind w:firstLine="420" w:firstLineChars="200"/>
        <w:rPr>
          <w:szCs w:val="21"/>
        </w:rPr>
      </w:pPr>
      <w:r>
        <w:rPr>
          <w:rFonts w:hint="eastAsia"/>
          <w:szCs w:val="21"/>
        </w:rPr>
        <w:t>16. 承诺</w:t>
      </w:r>
    </w:p>
    <w:p>
      <w:pPr>
        <w:spacing w:line="440" w:lineRule="exact"/>
        <w:ind w:firstLine="420" w:firstLineChars="200"/>
        <w:rPr>
          <w:szCs w:val="21"/>
        </w:rPr>
      </w:pPr>
      <w:r>
        <w:rPr>
          <w:rFonts w:hint="eastAsia"/>
          <w:szCs w:val="21"/>
        </w:rPr>
        <w:t>委托人承诺按照法律规定履行项目审批手续，按照合同约定提供监理依据，并按合同约定的期限和方式支付合同价款。</w:t>
      </w:r>
    </w:p>
    <w:p>
      <w:pPr>
        <w:spacing w:line="440" w:lineRule="exact"/>
        <w:ind w:firstLine="420" w:firstLineChars="200"/>
        <w:rPr>
          <w:szCs w:val="21"/>
        </w:rPr>
      </w:pPr>
      <w:r>
        <w:rPr>
          <w:rFonts w:hint="eastAsia" w:hAnsi="宋体" w:cs="仿宋_GB2312"/>
          <w:kern w:val="0"/>
          <w:szCs w:val="21"/>
        </w:rPr>
        <w:t>监理人承诺按合同约定承担本工程建设监理服务工作。</w:t>
      </w:r>
    </w:p>
    <w:p>
      <w:pPr>
        <w:spacing w:line="440" w:lineRule="exact"/>
        <w:ind w:firstLine="420" w:firstLineChars="200"/>
        <w:rPr>
          <w:szCs w:val="21"/>
        </w:rPr>
      </w:pPr>
      <w:r>
        <w:rPr>
          <w:rFonts w:hint="eastAsia"/>
          <w:szCs w:val="21"/>
        </w:rPr>
        <w:t>监理人承诺，监理人已仔细阅读合同中列明的中国南方电网有限公司基建管理各项管理规定，在项目执行期间自愿服从并严格遵守合同中各项管理规定的要求。在项目执行期间如若违反相关管理规定，监理人自愿接受委托人相关的处罚（如通报批评、承包商考核扣分、停止投标资格以及依照合同额相关比例进行扣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szCs w:val="21"/>
        </w:rPr>
        <w:t xml:space="preserve">17. </w:t>
      </w:r>
      <w:r>
        <w:rPr>
          <w:rFonts w:hint="eastAsia" w:ascii="宋体" w:hAnsi="宋体" w:eastAsia="宋体" w:cs="宋体"/>
          <w:color w:val="auto"/>
          <w:sz w:val="21"/>
          <w:szCs w:val="21"/>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default" w:ascii="宋体" w:hAnsi="宋体" w:eastAsia="宋体" w:cs="宋体"/>
          <w:color w:val="auto"/>
          <w:sz w:val="21"/>
          <w:szCs w:val="21"/>
          <w:lang w:val="en-US"/>
        </w:rPr>
        <w:t>7</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1 </w:t>
      </w:r>
      <w:r>
        <w:rPr>
          <w:rFonts w:hint="eastAsia" w:ascii="宋体" w:hAnsi="宋体" w:eastAsia="宋体" w:cs="宋体"/>
          <w:color w:val="auto"/>
          <w:sz w:val="21"/>
          <w:szCs w:val="21"/>
        </w:rPr>
        <w:t>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方应严格遵守国家关于市场准入、招标</w:t>
      </w:r>
      <w:r>
        <w:rPr>
          <w:rFonts w:hint="eastAsia" w:ascii="宋体" w:hAnsi="宋体" w:eastAsia="宋体" w:cs="宋体"/>
          <w:color w:val="auto"/>
          <w:sz w:val="21"/>
          <w:szCs w:val="21"/>
          <w:lang w:val="en-US" w:eastAsia="zh-CN"/>
        </w:rPr>
        <w:t>采购、工程建设</w:t>
      </w:r>
      <w:r>
        <w:rPr>
          <w:rFonts w:hint="eastAsia" w:ascii="宋体" w:hAnsi="宋体" w:eastAsia="宋体" w:cs="宋体"/>
          <w:color w:val="auto"/>
          <w:sz w:val="21"/>
          <w:szCs w:val="21"/>
        </w:rPr>
        <w:t>等市场经济活动的法律法规、政策及廉洁规定，不得为获取不正当利益，损害国家、集体和合同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w:t>
      </w:r>
      <w:r>
        <w:rPr>
          <w:rFonts w:hint="eastAsia" w:ascii="宋体" w:hAnsi="宋体" w:eastAsia="宋体" w:cs="宋体"/>
          <w:color w:val="auto"/>
          <w:sz w:val="21"/>
          <w:szCs w:val="21"/>
          <w:lang w:val="en-US" w:eastAsia="zh-CN"/>
        </w:rPr>
        <w:t>权益</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7</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color w:val="auto"/>
          <w:sz w:val="21"/>
          <w:szCs w:val="21"/>
        </w:rPr>
        <w:t>甲方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包括甲方工作</w:t>
      </w:r>
      <w:r>
        <w:rPr>
          <w:rFonts w:hint="eastAsia" w:ascii="宋体" w:hAnsi="宋体" w:eastAsia="宋体" w:cs="宋体"/>
          <w:color w:val="auto"/>
          <w:sz w:val="21"/>
          <w:szCs w:val="21"/>
        </w:rPr>
        <w:t>人员</w:t>
      </w:r>
      <w:r>
        <w:rPr>
          <w:rFonts w:hint="eastAsia" w:ascii="宋体" w:hAnsi="宋体" w:eastAsia="宋体" w:cs="宋体"/>
          <w:color w:val="auto"/>
          <w:sz w:val="21"/>
          <w:szCs w:val="21"/>
          <w:lang w:val="en-US" w:eastAsia="zh-CN"/>
        </w:rPr>
        <w:t>及其特定关系人，下同）应</w:t>
      </w:r>
      <w:r>
        <w:rPr>
          <w:rFonts w:hint="eastAsia" w:ascii="宋体" w:hAnsi="宋体" w:eastAsia="宋体" w:cs="宋体"/>
          <w:color w:val="auto"/>
          <w:sz w:val="21"/>
          <w:szCs w:val="21"/>
        </w:rPr>
        <w:t>遵守廉洁规定，</w:t>
      </w:r>
      <w:r>
        <w:rPr>
          <w:rFonts w:hint="eastAsia" w:ascii="宋体" w:hAnsi="宋体" w:eastAsia="宋体" w:cs="宋体"/>
          <w:color w:val="auto"/>
          <w:sz w:val="21"/>
          <w:szCs w:val="21"/>
          <w:lang w:val="en-US" w:eastAsia="zh-CN"/>
        </w:rPr>
        <w:t>不得</w:t>
      </w:r>
      <w:r>
        <w:rPr>
          <w:rFonts w:hint="eastAsia" w:ascii="宋体" w:hAnsi="宋体" w:eastAsia="宋体" w:cs="宋体"/>
          <w:color w:val="auto"/>
          <w:sz w:val="21"/>
          <w:szCs w:val="21"/>
          <w:lang w:eastAsia="zh-CN"/>
        </w:rPr>
        <w:t>利用职权或者职务上的影响谋取</w:t>
      </w:r>
      <w:r>
        <w:rPr>
          <w:rFonts w:hint="eastAsia" w:ascii="宋体" w:hAnsi="宋体" w:eastAsia="宋体" w:cs="宋体"/>
          <w:color w:val="auto"/>
          <w:sz w:val="21"/>
          <w:szCs w:val="21"/>
          <w:lang w:val="en-US" w:eastAsia="zh-CN"/>
        </w:rPr>
        <w:t>不正当利益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w:t>
      </w:r>
      <w:r>
        <w:rPr>
          <w:rFonts w:hint="eastAsia" w:ascii="宋体" w:hAnsi="宋体" w:eastAsia="宋体" w:cs="宋体"/>
          <w:color w:val="auto"/>
          <w:sz w:val="21"/>
          <w:szCs w:val="21"/>
          <w:lang w:val="en-US" w:eastAsia="zh-CN"/>
        </w:rPr>
        <w:t>索取或收受乙方</w:t>
      </w:r>
      <w:r>
        <w:rPr>
          <w:rFonts w:hint="eastAsia" w:ascii="宋体" w:hAnsi="宋体" w:eastAsia="宋体" w:cs="宋体"/>
          <w:color w:val="auto"/>
          <w:sz w:val="21"/>
          <w:szCs w:val="21"/>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1"/>
          <w:szCs w:val="21"/>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1"/>
          <w:szCs w:val="21"/>
        </w:rPr>
        <w:t>可能影响公正</w:t>
      </w:r>
      <w:r>
        <w:rPr>
          <w:rFonts w:hint="eastAsia" w:ascii="宋体" w:hAnsi="宋体" w:eastAsia="宋体" w:cs="宋体"/>
          <w:color w:val="auto"/>
          <w:sz w:val="21"/>
          <w:szCs w:val="21"/>
          <w:lang w:val="en-US" w:eastAsia="zh-CN"/>
        </w:rPr>
        <w:t>执行公务</w:t>
      </w:r>
      <w:r>
        <w:rPr>
          <w:rFonts w:hint="eastAsia" w:ascii="宋体" w:hAnsi="宋体" w:eastAsia="宋体" w:cs="宋体"/>
          <w:color w:val="auto"/>
          <w:sz w:val="21"/>
          <w:szCs w:val="21"/>
        </w:rPr>
        <w:t>的宴请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旅游、健身、娱乐</w:t>
      </w:r>
      <w:r>
        <w:rPr>
          <w:rFonts w:hint="eastAsia" w:ascii="宋体" w:hAnsi="宋体" w:eastAsia="宋体" w:cs="宋体"/>
          <w:color w:val="auto"/>
          <w:sz w:val="21"/>
          <w:szCs w:val="21"/>
          <w:lang w:val="en-US" w:eastAsia="zh-CN"/>
        </w:rPr>
        <w:t>等活动；不得要求或接受乙方为个人装修住房、婚丧嫁娶及亲属工作安排等提供便利；</w:t>
      </w:r>
      <w:r>
        <w:rPr>
          <w:rFonts w:hint="eastAsia" w:ascii="宋体" w:hAnsi="宋体" w:eastAsia="宋体" w:cs="宋体"/>
          <w:color w:val="auto"/>
          <w:sz w:val="21"/>
          <w:szCs w:val="21"/>
        </w:rPr>
        <w:t>不得向乙方</w:t>
      </w:r>
      <w:r>
        <w:rPr>
          <w:rFonts w:hint="eastAsia" w:ascii="宋体" w:hAnsi="宋体" w:eastAsia="宋体" w:cs="宋体"/>
          <w:color w:val="auto"/>
          <w:sz w:val="21"/>
          <w:szCs w:val="21"/>
          <w:lang w:val="en-US" w:eastAsia="zh-CN"/>
        </w:rPr>
        <w:t>介绍亲属或其他特定关系人参与可能获取不正当利益的经济活动</w:t>
      </w:r>
      <w:r>
        <w:rPr>
          <w:rFonts w:hint="eastAsia" w:ascii="宋体" w:hAnsi="宋体" w:eastAsia="宋体" w:cs="宋体"/>
          <w:color w:val="auto"/>
          <w:sz w:val="21"/>
          <w:szCs w:val="21"/>
          <w:lang w:eastAsia="zh-CN"/>
        </w:rPr>
        <w:t>；不</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1</w:t>
      </w:r>
      <w:r>
        <w:rPr>
          <w:rFonts w:hint="default"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乙方应遵守廉洁规定，</w:t>
      </w:r>
      <w:r>
        <w:rPr>
          <w:rFonts w:hint="eastAsia" w:ascii="宋体" w:hAnsi="宋体" w:eastAsia="宋体" w:cs="宋体"/>
          <w:color w:val="auto"/>
          <w:sz w:val="21"/>
          <w:szCs w:val="21"/>
          <w:highlight w:val="none"/>
          <w:lang w:val="en-US" w:eastAsia="zh-CN"/>
        </w:rPr>
        <w:t>不得利用本合同项下业务合作便利谋取不正当利益，</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不得向甲方</w:t>
      </w:r>
      <w:r>
        <w:rPr>
          <w:rFonts w:hint="eastAsia" w:ascii="宋体" w:hAnsi="宋体" w:eastAsia="宋体" w:cs="宋体"/>
          <w:color w:val="auto"/>
          <w:sz w:val="21"/>
          <w:szCs w:val="21"/>
          <w:lang w:val="en-US" w:eastAsia="zh-CN"/>
        </w:rPr>
        <w:t>提供或</w:t>
      </w:r>
      <w:r>
        <w:rPr>
          <w:rFonts w:hint="eastAsia" w:ascii="宋体" w:hAnsi="宋体" w:eastAsia="宋体" w:cs="宋体"/>
          <w:color w:val="auto"/>
          <w:sz w:val="21"/>
          <w:szCs w:val="21"/>
        </w:rPr>
        <w:t>赠送</w:t>
      </w:r>
      <w:r>
        <w:rPr>
          <w:rFonts w:hint="eastAsia" w:ascii="宋体" w:hAnsi="宋体" w:eastAsia="宋体" w:cs="宋体"/>
          <w:color w:val="auto"/>
          <w:sz w:val="21"/>
          <w:szCs w:val="21"/>
          <w:lang w:val="en-US" w:eastAsia="zh-CN"/>
        </w:rPr>
        <w:t>礼品、礼金、回扣、有价证券等财物，以及其他非财产性利益</w:t>
      </w:r>
      <w:r>
        <w:rPr>
          <w:rFonts w:hint="eastAsia" w:ascii="宋体" w:hAnsi="宋体" w:eastAsia="宋体" w:cs="宋体"/>
          <w:color w:val="auto"/>
          <w:sz w:val="21"/>
          <w:szCs w:val="21"/>
          <w:lang w:eastAsia="zh-CN"/>
        </w:rPr>
        <w:t>；不得</w:t>
      </w:r>
      <w:r>
        <w:rPr>
          <w:rFonts w:hint="eastAsia" w:ascii="宋体" w:hAnsi="宋体" w:eastAsia="宋体" w:cs="宋体"/>
          <w:color w:val="auto"/>
          <w:sz w:val="21"/>
          <w:szCs w:val="21"/>
          <w:lang w:val="en-US" w:eastAsia="zh-CN"/>
        </w:rPr>
        <w:t>向甲方借出</w:t>
      </w:r>
      <w:r>
        <w:rPr>
          <w:rFonts w:hint="eastAsia" w:ascii="宋体" w:hAnsi="宋体" w:eastAsia="宋体" w:cs="宋体"/>
          <w:color w:val="auto"/>
          <w:sz w:val="21"/>
          <w:szCs w:val="21"/>
          <w:lang w:eastAsia="zh-CN"/>
        </w:rPr>
        <w:t>钱款、住房、车辆等；不得</w:t>
      </w:r>
      <w:r>
        <w:rPr>
          <w:rFonts w:hint="eastAsia" w:ascii="宋体" w:hAnsi="宋体" w:eastAsia="宋体" w:cs="宋体"/>
          <w:color w:val="auto"/>
          <w:sz w:val="21"/>
          <w:szCs w:val="21"/>
          <w:lang w:val="en-US" w:eastAsia="zh-CN"/>
        </w:rPr>
        <w:t>为甲方提供</w:t>
      </w:r>
      <w:r>
        <w:rPr>
          <w:rFonts w:hint="eastAsia" w:ascii="宋体" w:hAnsi="宋体" w:eastAsia="宋体" w:cs="宋体"/>
          <w:color w:val="auto"/>
          <w:sz w:val="21"/>
          <w:szCs w:val="21"/>
          <w:lang w:eastAsia="zh-CN"/>
        </w:rPr>
        <w:t>宴请、旅游、健身、娱乐等活动</w:t>
      </w:r>
      <w:r>
        <w:rPr>
          <w:rFonts w:hint="eastAsia" w:ascii="宋体" w:hAnsi="宋体" w:eastAsia="宋体" w:cs="宋体"/>
          <w:color w:val="auto"/>
          <w:sz w:val="21"/>
          <w:szCs w:val="21"/>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发现甲方有违反廉洁规定的，应及时向甲方反映或举报。受理部门：</w:t>
      </w:r>
      <w:permStart w:id="64" w:edGrp="everyone"/>
      <w:r>
        <w:rPr>
          <w:rFonts w:hint="eastAsia" w:ascii="宋体" w:hAnsi="宋体" w:eastAsia="宋体" w:cs="宋体"/>
          <w:color w:val="auto"/>
          <w:sz w:val="21"/>
          <w:szCs w:val="21"/>
          <w:u w:val="single"/>
          <w:lang w:val="en-US" w:eastAsia="zh-CN"/>
        </w:rPr>
        <w:t xml:space="preserve">    </w:t>
      </w:r>
      <w:permEnd w:id="64"/>
      <w:r>
        <w:rPr>
          <w:rFonts w:hint="eastAsia" w:ascii="宋体" w:hAnsi="宋体" w:eastAsia="宋体" w:cs="宋体"/>
          <w:color w:val="auto"/>
          <w:sz w:val="21"/>
          <w:szCs w:val="21"/>
        </w:rPr>
        <w:t>；举报地址：</w:t>
      </w:r>
      <w:permStart w:id="65" w:edGrp="everyone"/>
      <w:r>
        <w:rPr>
          <w:rFonts w:hint="eastAsia" w:ascii="宋体" w:hAnsi="宋体" w:eastAsia="宋体" w:cs="宋体"/>
          <w:color w:val="auto"/>
          <w:sz w:val="21"/>
          <w:szCs w:val="21"/>
          <w:u w:val="single"/>
          <w:lang w:val="en-US"/>
        </w:rPr>
        <w:t xml:space="preserve">    </w:t>
      </w:r>
      <w:permEnd w:id="65"/>
      <w:r>
        <w:rPr>
          <w:rFonts w:hint="eastAsia" w:ascii="宋体" w:hAnsi="宋体" w:eastAsia="宋体" w:cs="宋体"/>
          <w:color w:val="auto"/>
          <w:sz w:val="21"/>
          <w:szCs w:val="21"/>
        </w:rPr>
        <w:t>；举报邮箱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网站</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ermStart w:id="66" w:edGrp="everyone"/>
      <w:r>
        <w:rPr>
          <w:rFonts w:hint="eastAsia" w:ascii="宋体" w:hAnsi="宋体" w:eastAsia="宋体" w:cs="宋体"/>
          <w:color w:val="auto"/>
          <w:sz w:val="21"/>
          <w:szCs w:val="21"/>
          <w:u w:val="single"/>
          <w:lang w:val="en-US"/>
        </w:rPr>
        <w:t xml:space="preserve">     </w:t>
      </w:r>
      <w:permEnd w:id="66"/>
      <w:r>
        <w:rPr>
          <w:rFonts w:hint="eastAsia" w:ascii="宋体" w:hAnsi="宋体" w:eastAsia="宋体" w:cs="宋体"/>
          <w:color w:val="auto"/>
          <w:sz w:val="21"/>
          <w:szCs w:val="21"/>
        </w:rPr>
        <w:t>；举报电话：</w:t>
      </w:r>
      <w:permStart w:id="67" w:edGrp="everyone"/>
      <w:r>
        <w:rPr>
          <w:rFonts w:hint="eastAsia" w:ascii="宋体" w:hAnsi="宋体" w:eastAsia="宋体" w:cs="宋体"/>
          <w:b w:val="0"/>
          <w:bCs w:val="0"/>
          <w:color w:val="auto"/>
          <w:sz w:val="21"/>
          <w:szCs w:val="21"/>
          <w:u w:val="single"/>
          <w:lang w:val="en-US"/>
        </w:rPr>
        <w:t xml:space="preserve">    </w:t>
      </w:r>
      <w:permEnd w:id="67"/>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default" w:ascii="宋体" w:hAnsi="宋体" w:eastAsia="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甲方违反国家及本合同有关廉洁规定的，</w:t>
      </w:r>
      <w:r>
        <w:rPr>
          <w:rFonts w:hint="eastAsia" w:ascii="宋体" w:hAnsi="宋体" w:eastAsia="宋体" w:cs="宋体"/>
          <w:color w:val="auto"/>
          <w:sz w:val="21"/>
          <w:szCs w:val="21"/>
          <w:lang w:val="en-US" w:eastAsia="zh-CN"/>
        </w:rPr>
        <w:t>由相关部门（机构）</w:t>
      </w:r>
      <w:r>
        <w:rPr>
          <w:rFonts w:hint="eastAsia" w:ascii="宋体" w:hAnsi="宋体" w:eastAsia="宋体" w:cs="宋体"/>
          <w:color w:val="auto"/>
          <w:sz w:val="21"/>
          <w:szCs w:val="21"/>
        </w:rPr>
        <w:t>依法依规给予纪律处分或处理；涉嫌</w:t>
      </w:r>
      <w:r>
        <w:rPr>
          <w:rFonts w:hint="eastAsia" w:ascii="宋体" w:hAnsi="宋体" w:eastAsia="宋体" w:cs="宋体"/>
          <w:color w:val="auto"/>
          <w:sz w:val="21"/>
          <w:szCs w:val="21"/>
          <w:lang w:val="en-US" w:eastAsia="zh-CN"/>
        </w:rPr>
        <w:t>职务</w:t>
      </w:r>
      <w:r>
        <w:rPr>
          <w:rFonts w:hint="eastAsia" w:ascii="宋体" w:hAnsi="宋体" w:eastAsia="宋体" w:cs="宋体"/>
          <w:color w:val="auto"/>
          <w:sz w:val="21"/>
          <w:szCs w:val="21"/>
        </w:rPr>
        <w:t>犯罪的，移</w:t>
      </w:r>
      <w:r>
        <w:rPr>
          <w:rFonts w:hint="eastAsia" w:ascii="宋体" w:hAnsi="宋体" w:eastAsia="宋体" w:cs="宋体"/>
          <w:color w:val="auto"/>
          <w:sz w:val="21"/>
          <w:szCs w:val="21"/>
          <w:lang w:val="en-US" w:eastAsia="zh-CN"/>
        </w:rPr>
        <w:t>交监察机构办理</w:t>
      </w:r>
      <w:r>
        <w:rPr>
          <w:rFonts w:hint="eastAsia" w:ascii="宋体" w:hAnsi="宋体" w:eastAsia="宋体" w:cs="宋体"/>
          <w:color w:val="auto"/>
          <w:sz w:val="21"/>
          <w:szCs w:val="21"/>
        </w:rPr>
        <w:t>。</w:t>
      </w:r>
    </w:p>
    <w:p>
      <w:pPr>
        <w:spacing w:line="440" w:lineRule="exact"/>
        <w:ind w:firstLine="422" w:firstLineChars="200"/>
        <w:rPr>
          <w:rFonts w:hint="eastAsia"/>
          <w:b/>
          <w:bCs/>
          <w:szCs w:val="21"/>
        </w:rPr>
      </w:pPr>
      <w:r>
        <w:rPr>
          <w:rFonts w:hint="eastAsia" w:ascii="宋体" w:hAnsi="宋体" w:eastAsia="宋体" w:cs="宋体"/>
          <w:b/>
          <w:bCs/>
          <w:color w:val="auto"/>
          <w:sz w:val="21"/>
          <w:szCs w:val="21"/>
          <w:lang w:val="en-US" w:eastAsia="zh-CN"/>
        </w:rPr>
        <w:t>1</w:t>
      </w:r>
      <w:r>
        <w:rPr>
          <w:rFonts w:hint="default" w:ascii="宋体" w:hAnsi="宋体" w:eastAsia="宋体" w:cs="宋体"/>
          <w:b/>
          <w:bCs/>
          <w:color w:val="auto"/>
          <w:sz w:val="21"/>
          <w:szCs w:val="21"/>
          <w:lang w:val="en-US" w:eastAsia="zh-CN"/>
        </w:rPr>
        <w:t>7</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5</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rPr>
        <w:t>乙方违反国家及本合同有关廉洁规定的，</w:t>
      </w:r>
      <w:r>
        <w:rPr>
          <w:rFonts w:hint="eastAsia" w:ascii="宋体" w:hAnsi="宋体" w:eastAsia="宋体" w:cs="宋体"/>
          <w:b/>
          <w:bCs/>
          <w:color w:val="auto"/>
          <w:sz w:val="21"/>
          <w:szCs w:val="21"/>
          <w:lang w:val="en-US" w:eastAsia="zh-CN"/>
        </w:rPr>
        <w:t>甲方有权根据中国南方电网有限责任公司供应商失信处理有关规定，在</w:t>
      </w:r>
      <w:r>
        <w:rPr>
          <w:rFonts w:hint="eastAsia" w:ascii="宋体" w:hAnsi="宋体" w:cs="宋体"/>
          <w:b/>
          <w:bCs/>
          <w:color w:val="auto"/>
          <w:sz w:val="21"/>
          <w:szCs w:val="21"/>
          <w:lang w:val="en-US" w:eastAsia="zh-CN"/>
        </w:rPr>
        <w:t>中国</w:t>
      </w:r>
      <w:r>
        <w:rPr>
          <w:rFonts w:hint="eastAsia" w:ascii="宋体" w:hAnsi="宋体" w:eastAsia="宋体" w:cs="宋体"/>
          <w:b/>
          <w:bCs/>
          <w:color w:val="auto"/>
          <w:sz w:val="21"/>
          <w:szCs w:val="21"/>
          <w:lang w:val="en-US" w:eastAsia="zh-CN"/>
        </w:rPr>
        <w:t>南方电网</w:t>
      </w:r>
      <w:r>
        <w:rPr>
          <w:rFonts w:hint="eastAsia" w:ascii="宋体" w:hAnsi="宋体" w:cs="宋体"/>
          <w:b/>
          <w:bCs/>
          <w:color w:val="auto"/>
          <w:sz w:val="21"/>
          <w:szCs w:val="21"/>
          <w:lang w:val="en-US" w:eastAsia="zh-CN"/>
        </w:rPr>
        <w:t>有限责任</w:t>
      </w:r>
      <w:r>
        <w:rPr>
          <w:rFonts w:hint="eastAsia" w:ascii="宋体" w:hAnsi="宋体" w:eastAsia="宋体" w:cs="宋体"/>
          <w:b/>
          <w:bCs/>
          <w:color w:val="auto"/>
          <w:sz w:val="21"/>
          <w:szCs w:val="21"/>
          <w:lang w:val="en-US" w:eastAsia="zh-CN"/>
        </w:rPr>
        <w:t>公司范围内</w:t>
      </w:r>
      <w:r>
        <w:rPr>
          <w:rFonts w:hint="eastAsia" w:ascii="宋体" w:hAnsi="宋体" w:eastAsia="宋体" w:cs="宋体"/>
          <w:b/>
          <w:bCs/>
          <w:color w:val="auto"/>
          <w:sz w:val="21"/>
          <w:szCs w:val="21"/>
        </w:rPr>
        <w:t>对乙方</w:t>
      </w:r>
      <w:r>
        <w:rPr>
          <w:rFonts w:hint="eastAsia" w:ascii="宋体" w:hAnsi="宋体" w:eastAsia="宋体" w:cs="宋体"/>
          <w:b/>
          <w:bCs/>
          <w:color w:val="auto"/>
          <w:sz w:val="21"/>
          <w:szCs w:val="21"/>
          <w:lang w:val="en-US" w:eastAsia="zh-CN"/>
        </w:rPr>
        <w:t>进行一定期限的</w:t>
      </w:r>
      <w:r>
        <w:rPr>
          <w:rFonts w:hint="eastAsia" w:ascii="宋体" w:hAnsi="宋体" w:eastAsia="宋体" w:cs="宋体"/>
          <w:b/>
          <w:bCs/>
          <w:color w:val="auto"/>
          <w:sz w:val="21"/>
          <w:szCs w:val="21"/>
        </w:rPr>
        <w:t>不接受投标</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1"/>
          <w:szCs w:val="21"/>
        </w:rPr>
        <w:t>；涉嫌犯罪的，移送司法机关依法追究刑事责任。</w:t>
      </w:r>
    </w:p>
    <w:p>
      <w:pPr>
        <w:spacing w:line="440" w:lineRule="exact"/>
        <w:ind w:firstLine="420" w:firstLineChars="200"/>
        <w:rPr>
          <w:szCs w:val="21"/>
        </w:rPr>
      </w:pPr>
      <w:r>
        <w:rPr>
          <w:rFonts w:hint="default"/>
          <w:szCs w:val="21"/>
          <w:lang w:val="en-US"/>
        </w:rPr>
        <w:t>18.</w:t>
      </w:r>
      <w:r>
        <w:rPr>
          <w:rFonts w:hint="eastAsia"/>
          <w:szCs w:val="21"/>
        </w:rPr>
        <w:t>补充协议</w:t>
      </w:r>
    </w:p>
    <w:p>
      <w:pPr>
        <w:spacing w:line="440" w:lineRule="exact"/>
        <w:ind w:firstLine="420" w:firstLineChars="200"/>
        <w:rPr>
          <w:szCs w:val="21"/>
        </w:rPr>
      </w:pPr>
      <w:r>
        <w:rPr>
          <w:rFonts w:hint="eastAsia"/>
          <w:szCs w:val="21"/>
        </w:rPr>
        <w:t>合同未尽事宜，双方另行签订补充协议（含工程洽商记录、会议纪要、工程变更、现场签证、索赔和合同价款调整报告等修正文件），补充协议是合同的组成部分。</w:t>
      </w:r>
    </w:p>
    <w:p>
      <w:pPr>
        <w:spacing w:line="440" w:lineRule="exact"/>
        <w:ind w:firstLine="420" w:firstLineChars="200"/>
        <w:rPr>
          <w:szCs w:val="21"/>
        </w:rPr>
      </w:pPr>
      <w:r>
        <w:rPr>
          <w:rFonts w:hint="eastAsia"/>
          <w:szCs w:val="21"/>
        </w:rPr>
        <w:t>委托人、监理人的法定代表人或委托代理人在上述的日期签字并加盖公章，并将依法执行本合同。</w:t>
      </w:r>
    </w:p>
    <w:p>
      <w:pPr>
        <w:spacing w:line="440" w:lineRule="exact"/>
        <w:ind w:firstLine="420" w:firstLineChars="200"/>
        <w:rPr>
          <w:rFonts w:hAnsi="宋体"/>
          <w:szCs w:val="21"/>
        </w:rPr>
      </w:pPr>
      <w:r>
        <w:rPr>
          <w:rFonts w:hint="eastAsia" w:hAnsi="宋体"/>
          <w:szCs w:val="21"/>
        </w:rPr>
        <w:t>（本</w:t>
      </w:r>
      <w:r>
        <w:rPr>
          <w:rFonts w:hint="eastAsia" w:hAnsi="宋体"/>
          <w:szCs w:val="21"/>
          <w:lang w:val="en-US" w:eastAsia="zh-CN"/>
        </w:rPr>
        <w:t>节</w:t>
      </w:r>
      <w:r>
        <w:rPr>
          <w:rFonts w:hint="eastAsia" w:hAnsi="宋体"/>
          <w:szCs w:val="21"/>
        </w:rPr>
        <w:t>以下无正文）</w:t>
      </w:r>
      <w:r>
        <w:rPr>
          <w:rFonts w:hAnsi="宋体"/>
          <w:szCs w:val="21"/>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bookmarkStart w:id="1" w:name="_Toc144974831"/>
      <w:bookmarkEnd w:id="1"/>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875786068"/>
          <w:placeholder>
            <w:docPart w:val="{243d967b-6a05-4004-a58b-6b9111f55bc2}"/>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68" w:edGrp="everyone"/>
          <w:r>
            <w:rPr>
              <w:rFonts w:hint="eastAsia" w:cstheme="minorBidi"/>
              <w:kern w:val="2"/>
              <w:sz w:val="28"/>
              <w:szCs w:val="36"/>
              <w:u w:val="single"/>
              <w:lang w:val="en-US" w:eastAsia="zh-CN" w:bidi="ar-SA"/>
            </w:rPr>
            <w:t xml:space="preserve">           </w:t>
          </w:r>
          <w:permEnd w:id="68"/>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276506916"/>
          <w:placeholder>
            <w:docPart w:val="{4fa90019-bc31-4c0c-872b-bab25e47d8f6}"/>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aef5c01a-b8d2-43c4-93f5-a32153557b64}"/>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9" w:edGrp="everyone"/>
          <w:r>
            <w:rPr>
              <w:rFonts w:hint="eastAsia" w:asciiTheme="minorEastAsia" w:hAnsiTheme="minorEastAsia" w:eastAsiaTheme="minorEastAsia" w:cstheme="minorEastAsia"/>
              <w:color w:val="auto"/>
              <w:sz w:val="28"/>
              <w:szCs w:val="28"/>
              <w:u w:val="single"/>
              <w:lang w:val="en-US" w:eastAsia="zh-CN"/>
            </w:rPr>
            <w:t xml:space="preserve">      </w:t>
          </w:r>
          <w:permEnd w:id="69"/>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1a3feff-916d-4f72-971b-aaf372f94c42}"/>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70" w:edGrp="everyone"/>
          <w:r>
            <w:rPr>
              <w:rFonts w:hint="eastAsia" w:asciiTheme="minorEastAsia" w:hAnsiTheme="minorEastAsia" w:eastAsiaTheme="minorEastAsia" w:cstheme="minorEastAsia"/>
              <w:color w:val="auto"/>
              <w:sz w:val="28"/>
              <w:szCs w:val="28"/>
              <w:u w:val="single"/>
              <w:lang w:val="en-US" w:eastAsia="zh-CN"/>
            </w:rPr>
            <w:t xml:space="preserve">      </w:t>
          </w:r>
          <w:permEnd w:id="70"/>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adjustRightInd w:val="0"/>
        <w:snapToGrid w:val="0"/>
        <w:ind w:firstLine="420" w:firstLineChars="200"/>
        <w:rPr>
          <w:szCs w:val="21"/>
        </w:rPr>
      </w:pPr>
      <w:r>
        <w:rPr>
          <w:szCs w:val="21"/>
        </w:rPr>
        <w:br w:type="page"/>
      </w:r>
    </w:p>
    <w:p>
      <w:pPr>
        <w:pStyle w:val="4"/>
        <w:jc w:val="center"/>
        <w:rPr>
          <w:rFonts w:ascii="Times New Roman" w:hAnsi="Times New Roman"/>
          <w:sz w:val="36"/>
          <w:szCs w:val="36"/>
        </w:rPr>
      </w:pPr>
      <w:r>
        <w:rPr>
          <w:rFonts w:hint="eastAsia"/>
          <w:sz w:val="36"/>
          <w:szCs w:val="36"/>
          <w:lang w:val="en-US" w:eastAsia="zh-CN"/>
        </w:rPr>
        <w:t xml:space="preserve">第二节 </w:t>
      </w:r>
      <w:r>
        <w:rPr>
          <w:rFonts w:hint="eastAsia" w:ascii="Times New Roman" w:hAnsi="Times New Roman"/>
          <w:sz w:val="36"/>
          <w:szCs w:val="36"/>
        </w:rPr>
        <w:t>通用合同条款</w:t>
      </w:r>
      <w:bookmarkEnd w:id="0"/>
    </w:p>
    <w:p>
      <w:pPr>
        <w:pStyle w:val="5"/>
        <w:ind w:firstLine="105"/>
        <w:rPr>
          <w:rFonts w:ascii="Times New Roman" w:hAnsi="Times New Roman"/>
        </w:rPr>
      </w:pPr>
      <w:bookmarkStart w:id="2" w:name="_Toc482188546"/>
      <w:bookmarkStart w:id="3" w:name="_Toc31198"/>
      <w:r>
        <w:rPr>
          <w:rFonts w:ascii="Times New Roman" w:hAnsi="Times New Roman"/>
        </w:rPr>
        <w:t xml:space="preserve">1. </w:t>
      </w:r>
      <w:r>
        <w:rPr>
          <w:rFonts w:hint="eastAsia" w:ascii="Times New Roman" w:hAnsi="Times New Roman"/>
        </w:rPr>
        <w:t>一般约定</w:t>
      </w:r>
      <w:bookmarkEnd w:id="2"/>
      <w:bookmarkEnd w:id="3"/>
    </w:p>
    <w:p>
      <w:pPr>
        <w:pStyle w:val="6"/>
        <w:spacing w:line="240" w:lineRule="auto"/>
        <w:ind w:firstLine="137"/>
        <w:rPr>
          <w:rFonts w:ascii="Times New Roman"/>
        </w:rPr>
      </w:pPr>
      <w:bookmarkStart w:id="4" w:name="_Toc482188547"/>
      <w:bookmarkStart w:id="5" w:name="_Toc5248"/>
      <w:r>
        <w:rPr>
          <w:rFonts w:ascii="Times New Roman"/>
        </w:rPr>
        <w:t xml:space="preserve">1.1 </w:t>
      </w:r>
      <w:r>
        <w:rPr>
          <w:rFonts w:hint="eastAsia" w:ascii="Times New Roman"/>
        </w:rPr>
        <w:t>词语定义</w:t>
      </w:r>
      <w:bookmarkEnd w:id="4"/>
      <w:bookmarkEnd w:id="5"/>
    </w:p>
    <w:p>
      <w:pPr>
        <w:spacing w:line="360" w:lineRule="auto"/>
        <w:ind w:firstLine="420" w:firstLineChars="200"/>
        <w:rPr>
          <w:szCs w:val="21"/>
        </w:rPr>
      </w:pPr>
      <w:r>
        <w:rPr>
          <w:szCs w:val="21"/>
        </w:rPr>
        <w:t>通用合同条款、专用合同条款中的下列词语应具有本款所赋予的含义。</w:t>
      </w:r>
    </w:p>
    <w:p>
      <w:pPr>
        <w:spacing w:line="360" w:lineRule="auto"/>
        <w:ind w:firstLine="413" w:firstLineChars="196"/>
        <w:rPr>
          <w:b/>
        </w:rPr>
      </w:pPr>
      <w:r>
        <w:rPr>
          <w:b/>
        </w:rPr>
        <w:t>1.1.1 合同</w:t>
      </w:r>
    </w:p>
    <w:p>
      <w:pPr>
        <w:spacing w:line="360" w:lineRule="auto"/>
        <w:ind w:firstLine="420" w:firstLineChars="200"/>
        <w:rPr>
          <w:szCs w:val="21"/>
        </w:rPr>
      </w:pPr>
      <w:r>
        <w:rPr>
          <w:rFonts w:hint="eastAsia"/>
          <w:szCs w:val="21"/>
        </w:rPr>
        <w:t xml:space="preserve">1.1.1.1 合同文件（或称合同）：指合同协议书、中标通知书、投标函和投标函附录、专用合同条款、通用合同条款、委托人要求、监理报酬清单、监理大纲，以及其他构成合同组成部分的文件。 </w:t>
      </w:r>
    </w:p>
    <w:p>
      <w:pPr>
        <w:spacing w:line="360" w:lineRule="auto"/>
        <w:ind w:firstLine="420" w:firstLineChars="200"/>
        <w:rPr>
          <w:szCs w:val="21"/>
        </w:rPr>
      </w:pPr>
      <w:r>
        <w:rPr>
          <w:rFonts w:hint="eastAsia"/>
          <w:szCs w:val="21"/>
        </w:rPr>
        <w:t xml:space="preserve">1.1.1.2 合同协议书：指委托人和监理人共同签署的合同协议书。 </w:t>
      </w:r>
    </w:p>
    <w:p>
      <w:pPr>
        <w:spacing w:line="360" w:lineRule="auto"/>
        <w:ind w:firstLine="420" w:firstLineChars="200"/>
        <w:rPr>
          <w:szCs w:val="21"/>
        </w:rPr>
      </w:pPr>
      <w:r>
        <w:rPr>
          <w:rFonts w:hint="eastAsia"/>
          <w:szCs w:val="21"/>
        </w:rPr>
        <w:t xml:space="preserve">1.1.1.3 中标通知书：指委托人通知监理人中标的函件。 </w:t>
      </w:r>
    </w:p>
    <w:p>
      <w:pPr>
        <w:spacing w:line="360" w:lineRule="auto"/>
        <w:ind w:firstLine="420" w:firstLineChars="200"/>
        <w:rPr>
          <w:szCs w:val="21"/>
        </w:rPr>
      </w:pPr>
      <w:r>
        <w:rPr>
          <w:rFonts w:hint="eastAsia"/>
          <w:szCs w:val="21"/>
        </w:rPr>
        <w:t xml:space="preserve">1.1.1.4 投标函：指由监理人填写并签署的，名为“投标函”的函件。 </w:t>
      </w:r>
    </w:p>
    <w:p>
      <w:pPr>
        <w:spacing w:line="360" w:lineRule="auto"/>
        <w:ind w:firstLine="420" w:firstLineChars="200"/>
        <w:rPr>
          <w:szCs w:val="21"/>
        </w:rPr>
      </w:pPr>
      <w:r>
        <w:rPr>
          <w:rFonts w:hint="eastAsia"/>
          <w:szCs w:val="21"/>
        </w:rPr>
        <w:t xml:space="preserve">1.1.1.5 投标函附录：指由监理人填写并签署的、附在投标函后，名为“投标函附录”的函件。 </w:t>
      </w:r>
    </w:p>
    <w:p>
      <w:pPr>
        <w:spacing w:line="360" w:lineRule="auto"/>
        <w:ind w:firstLine="420" w:firstLineChars="200"/>
        <w:rPr>
          <w:szCs w:val="21"/>
        </w:rPr>
      </w:pPr>
      <w:r>
        <w:rPr>
          <w:rFonts w:hint="eastAsia"/>
          <w:szCs w:val="21"/>
        </w:rPr>
        <w:t xml:space="preserve">1.1.1.6 委托人要求：指合同文件中名为“委托人要求”的文件。 </w:t>
      </w:r>
    </w:p>
    <w:p>
      <w:pPr>
        <w:spacing w:line="360" w:lineRule="auto"/>
        <w:ind w:firstLine="420" w:firstLineChars="200"/>
        <w:rPr>
          <w:szCs w:val="21"/>
        </w:rPr>
      </w:pPr>
      <w:r>
        <w:rPr>
          <w:rFonts w:hint="eastAsia"/>
          <w:szCs w:val="21"/>
        </w:rPr>
        <w:t xml:space="preserve">1.1.1.7 监理大纲：指监理人在投标文件中的监理大纲。 </w:t>
      </w:r>
    </w:p>
    <w:p>
      <w:pPr>
        <w:spacing w:line="360" w:lineRule="auto"/>
        <w:ind w:firstLine="420" w:firstLineChars="200"/>
        <w:rPr>
          <w:szCs w:val="21"/>
        </w:rPr>
      </w:pPr>
      <w:r>
        <w:rPr>
          <w:rFonts w:hint="eastAsia"/>
          <w:szCs w:val="21"/>
        </w:rPr>
        <w:t xml:space="preserve">1.1.1.8 监理报酬清单：指监理人投标文件中的监理报酬清单。 </w:t>
      </w:r>
    </w:p>
    <w:p>
      <w:pPr>
        <w:spacing w:line="360" w:lineRule="auto"/>
        <w:ind w:firstLine="420" w:firstLineChars="200"/>
        <w:rPr>
          <w:szCs w:val="21"/>
        </w:rPr>
      </w:pPr>
      <w:r>
        <w:rPr>
          <w:rFonts w:hint="eastAsia"/>
          <w:szCs w:val="21"/>
        </w:rPr>
        <w:t>1.1.1.9 其他合同文件：指经合同双方当事人确认构成合同文件的其他文件。</w:t>
      </w:r>
    </w:p>
    <w:p>
      <w:pPr>
        <w:spacing w:line="360" w:lineRule="auto"/>
        <w:ind w:firstLine="413" w:firstLineChars="196"/>
        <w:rPr>
          <w:b/>
        </w:rPr>
      </w:pPr>
      <w:r>
        <w:rPr>
          <w:b/>
        </w:rPr>
        <w:t>1.1.2 合同当事人和人员</w:t>
      </w:r>
    </w:p>
    <w:p>
      <w:pPr>
        <w:spacing w:line="360" w:lineRule="auto"/>
        <w:ind w:firstLine="420" w:firstLineChars="200"/>
        <w:rPr>
          <w:szCs w:val="21"/>
        </w:rPr>
      </w:pPr>
      <w:r>
        <w:rPr>
          <w:szCs w:val="21"/>
        </w:rPr>
        <w:t>1.1.2.1 合同当事人：指委托人和（或）</w:t>
      </w:r>
      <w:r>
        <w:rPr>
          <w:rFonts w:hint="eastAsia"/>
          <w:szCs w:val="21"/>
        </w:rPr>
        <w:t>监理</w:t>
      </w:r>
      <w:r>
        <w:rPr>
          <w:szCs w:val="21"/>
        </w:rPr>
        <w:t>人。</w:t>
      </w:r>
    </w:p>
    <w:p>
      <w:pPr>
        <w:spacing w:line="360" w:lineRule="auto"/>
        <w:ind w:firstLine="420" w:firstLineChars="200"/>
        <w:rPr>
          <w:szCs w:val="21"/>
        </w:rPr>
      </w:pPr>
      <w:r>
        <w:rPr>
          <w:szCs w:val="21"/>
        </w:rPr>
        <w:t>1.1.2.2 委托人：指与</w:t>
      </w:r>
      <w:r>
        <w:rPr>
          <w:rFonts w:hint="eastAsia"/>
          <w:szCs w:val="21"/>
        </w:rPr>
        <w:t>监理</w:t>
      </w:r>
      <w:r>
        <w:rPr>
          <w:szCs w:val="21"/>
        </w:rPr>
        <w:t>人签订合同协议书的当事人</w:t>
      </w:r>
      <w:r>
        <w:rPr>
          <w:kern w:val="0"/>
          <w:szCs w:val="21"/>
        </w:rPr>
        <w:t>，及其</w:t>
      </w:r>
      <w:r>
        <w:rPr>
          <w:kern w:val="0"/>
          <w:szCs w:val="24"/>
        </w:rPr>
        <w:t>合法继承人</w:t>
      </w:r>
      <w:r>
        <w:rPr>
          <w:szCs w:val="21"/>
        </w:rPr>
        <w:t>。</w:t>
      </w:r>
    </w:p>
    <w:p>
      <w:pPr>
        <w:spacing w:line="360" w:lineRule="auto"/>
        <w:ind w:firstLine="420" w:firstLineChars="200"/>
        <w:rPr>
          <w:szCs w:val="21"/>
        </w:rPr>
      </w:pPr>
      <w:r>
        <w:rPr>
          <w:szCs w:val="21"/>
        </w:rPr>
        <w:t xml:space="preserve">1.1.2.3 </w:t>
      </w:r>
      <w:r>
        <w:rPr>
          <w:rFonts w:hint="eastAsia"/>
          <w:szCs w:val="21"/>
        </w:rPr>
        <w:t>监理</w:t>
      </w:r>
      <w:r>
        <w:rPr>
          <w:szCs w:val="21"/>
        </w:rPr>
        <w:t>人：指与委托人签订合同协议书的当事人</w:t>
      </w:r>
      <w:r>
        <w:rPr>
          <w:kern w:val="0"/>
          <w:szCs w:val="21"/>
        </w:rPr>
        <w:t>，及其</w:t>
      </w:r>
      <w:r>
        <w:rPr>
          <w:kern w:val="0"/>
          <w:szCs w:val="24"/>
        </w:rPr>
        <w:t>合法继承人</w:t>
      </w:r>
      <w:r>
        <w:rPr>
          <w:szCs w:val="21"/>
        </w:rPr>
        <w:t>。</w:t>
      </w:r>
    </w:p>
    <w:p>
      <w:pPr>
        <w:spacing w:line="360" w:lineRule="auto"/>
        <w:ind w:firstLine="420" w:firstLineChars="200"/>
        <w:rPr>
          <w:szCs w:val="21"/>
        </w:rPr>
      </w:pPr>
      <w:r>
        <w:rPr>
          <w:szCs w:val="21"/>
        </w:rPr>
        <w:t>1.1.2.4 委托人代表：指由委托人任命，并在授权范围和期限内代表委托人行使权利和履行义务的全权负责人。</w:t>
      </w:r>
    </w:p>
    <w:p>
      <w:pPr>
        <w:spacing w:line="360" w:lineRule="auto"/>
        <w:ind w:firstLine="420" w:firstLineChars="200"/>
        <w:rPr>
          <w:szCs w:val="21"/>
        </w:rPr>
      </w:pPr>
      <w:r>
        <w:rPr>
          <w:szCs w:val="21"/>
        </w:rPr>
        <w:t>1.1.2.5 总监理工程师：指由</w:t>
      </w:r>
      <w:r>
        <w:rPr>
          <w:rFonts w:hint="eastAsia"/>
          <w:szCs w:val="21"/>
        </w:rPr>
        <w:t>监理</w:t>
      </w:r>
      <w:r>
        <w:rPr>
          <w:szCs w:val="21"/>
        </w:rPr>
        <w:t>人任命，代表</w:t>
      </w:r>
      <w:r>
        <w:rPr>
          <w:rFonts w:hint="eastAsia"/>
          <w:szCs w:val="21"/>
        </w:rPr>
        <w:t>监理</w:t>
      </w:r>
      <w:r>
        <w:rPr>
          <w:szCs w:val="21"/>
        </w:rPr>
        <w:t>人行使权利和履行义务的全权负责人。</w:t>
      </w:r>
    </w:p>
    <w:p>
      <w:pPr>
        <w:spacing w:line="360" w:lineRule="auto"/>
        <w:ind w:firstLine="411" w:firstLineChars="196"/>
        <w:rPr>
          <w:szCs w:val="21"/>
        </w:rPr>
      </w:pPr>
      <w:r>
        <w:rPr>
          <w:rFonts w:hint="eastAsia"/>
          <w:szCs w:val="21"/>
        </w:rPr>
        <w:t>1.1.2.6 承包人：指在本工程监理范围内，与委托人签订勘察、设计、施工承包合同的当事人。</w:t>
      </w:r>
    </w:p>
    <w:p>
      <w:pPr>
        <w:spacing w:line="360" w:lineRule="auto"/>
        <w:ind w:firstLine="413" w:firstLineChars="196"/>
        <w:rPr>
          <w:b/>
        </w:rPr>
      </w:pPr>
      <w:r>
        <w:rPr>
          <w:b/>
        </w:rPr>
        <w:t>1.1.3 工程和</w:t>
      </w:r>
      <w:r>
        <w:rPr>
          <w:rFonts w:hint="eastAsia"/>
          <w:b/>
          <w:bCs/>
          <w:szCs w:val="21"/>
        </w:rPr>
        <w:t>监理</w:t>
      </w:r>
    </w:p>
    <w:p>
      <w:pPr>
        <w:spacing w:line="360" w:lineRule="auto"/>
        <w:ind w:firstLine="420" w:firstLineChars="200"/>
        <w:rPr>
          <w:szCs w:val="21"/>
        </w:rPr>
      </w:pPr>
      <w:r>
        <w:rPr>
          <w:szCs w:val="21"/>
        </w:rPr>
        <w:t xml:space="preserve">1.1.3.1 工程：指永久工程和（或）临时工程。 </w:t>
      </w:r>
    </w:p>
    <w:p>
      <w:pPr>
        <w:spacing w:line="360" w:lineRule="auto"/>
        <w:ind w:firstLine="420" w:firstLineChars="200"/>
        <w:rPr>
          <w:szCs w:val="21"/>
        </w:rPr>
      </w:pPr>
      <w:r>
        <w:rPr>
          <w:szCs w:val="21"/>
        </w:rPr>
        <w:t xml:space="preserve">1.1.3.2 监理服务：指监理人接受委托人的委托，依照法律、规范标准和监理合同等，对建设工程勘察、设计或施工等阶段进行质量控制、进度控制、投资控制、合同管理、信息管理、组织协调和安全监理、环保监理的服务活动。 </w:t>
      </w:r>
    </w:p>
    <w:p>
      <w:pPr>
        <w:spacing w:line="360" w:lineRule="auto"/>
        <w:ind w:firstLine="420" w:firstLineChars="200"/>
        <w:rPr>
          <w:szCs w:val="21"/>
        </w:rPr>
      </w:pPr>
      <w:r>
        <w:rPr>
          <w:szCs w:val="21"/>
        </w:rPr>
        <w:t xml:space="preserve">1.1.3.3 监理资料：是委托人按合同约定向监理人提供的，用于完成监理范围与内容所需要的资料。 </w:t>
      </w:r>
    </w:p>
    <w:p>
      <w:pPr>
        <w:spacing w:line="360" w:lineRule="auto"/>
        <w:ind w:firstLine="420" w:firstLineChars="200"/>
      </w:pPr>
      <w:r>
        <w:rPr>
          <w:szCs w:val="21"/>
        </w:rPr>
        <w:t>1.1.3.4 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pPr>
        <w:spacing w:line="360" w:lineRule="auto"/>
        <w:ind w:firstLine="413" w:firstLineChars="196"/>
        <w:rPr>
          <w:b/>
        </w:rPr>
      </w:pPr>
      <w:r>
        <w:rPr>
          <w:b/>
        </w:rPr>
        <w:t>1.1.4 日期</w:t>
      </w:r>
    </w:p>
    <w:p>
      <w:pPr>
        <w:spacing w:line="360" w:lineRule="auto"/>
        <w:ind w:firstLine="420" w:firstLineChars="200"/>
        <w:rPr>
          <w:szCs w:val="21"/>
        </w:rPr>
      </w:pPr>
      <w:r>
        <w:rPr>
          <w:szCs w:val="21"/>
        </w:rPr>
        <w:t xml:space="preserve">1.1.4.1 开始监理通知：指委托人按第 6.1 款通知监理人开始监理的函件。 </w:t>
      </w:r>
    </w:p>
    <w:p>
      <w:pPr>
        <w:spacing w:line="360" w:lineRule="auto"/>
        <w:ind w:firstLine="420" w:firstLineChars="200"/>
        <w:rPr>
          <w:szCs w:val="21"/>
        </w:rPr>
      </w:pPr>
      <w:r>
        <w:rPr>
          <w:szCs w:val="21"/>
        </w:rPr>
        <w:t xml:space="preserve">1.1.4.2 开始监理日期：指委托人按第 6.1 款发出的开始监理通知中写明的开始监理日期。 </w:t>
      </w:r>
    </w:p>
    <w:p>
      <w:pPr>
        <w:spacing w:line="360" w:lineRule="auto"/>
        <w:ind w:firstLine="420" w:firstLineChars="200"/>
        <w:rPr>
          <w:szCs w:val="21"/>
        </w:rPr>
      </w:pPr>
      <w:r>
        <w:rPr>
          <w:szCs w:val="21"/>
        </w:rPr>
        <w:t xml:space="preserve">1.1.4.3 监理服务期限：指监理人在投标函中承诺的完成合同监理服务所需的期限，包括按第 6.2 款和第 6.3.2 项约定所作的调整。 </w:t>
      </w:r>
    </w:p>
    <w:p>
      <w:pPr>
        <w:spacing w:line="360" w:lineRule="auto"/>
        <w:ind w:firstLine="420" w:firstLineChars="200"/>
        <w:rPr>
          <w:szCs w:val="21"/>
        </w:rPr>
      </w:pPr>
      <w:r>
        <w:rPr>
          <w:szCs w:val="21"/>
        </w:rPr>
        <w:t xml:space="preserve">1.1.4.4 完成监理日期：指第 1.1.4.3 目约定监理服务期限届满时的日期。 </w:t>
      </w:r>
    </w:p>
    <w:p>
      <w:pPr>
        <w:spacing w:line="360" w:lineRule="auto"/>
        <w:ind w:firstLine="420" w:firstLineChars="200"/>
        <w:rPr>
          <w:szCs w:val="21"/>
        </w:rPr>
      </w:pPr>
      <w:r>
        <w:rPr>
          <w:szCs w:val="21"/>
        </w:rPr>
        <w:t xml:space="preserve">1.1.4.5 基准日：指投标截止时间前 28 天的日期。 </w:t>
      </w:r>
    </w:p>
    <w:p>
      <w:pPr>
        <w:spacing w:line="360" w:lineRule="auto"/>
        <w:ind w:firstLine="420" w:firstLineChars="200"/>
        <w:rPr>
          <w:szCs w:val="21"/>
        </w:rPr>
      </w:pPr>
      <w:r>
        <w:rPr>
          <w:szCs w:val="21"/>
        </w:rPr>
        <w:t>1.1.4.6 天：除特别指明外，指日历天。合同中按天计算时间的，开始当天不计入，从次日开始计算。期限最后一天的截止时间为当天 24:00。</w:t>
      </w:r>
    </w:p>
    <w:p>
      <w:pPr>
        <w:spacing w:line="360" w:lineRule="auto"/>
        <w:ind w:firstLine="413" w:firstLineChars="196"/>
        <w:rPr>
          <w:b/>
        </w:rPr>
      </w:pPr>
      <w:r>
        <w:rPr>
          <w:b/>
        </w:rPr>
        <w:t>1.1.5 合同价格和费用</w:t>
      </w:r>
    </w:p>
    <w:p>
      <w:pPr>
        <w:spacing w:line="360" w:lineRule="auto"/>
        <w:ind w:firstLine="420" w:firstLineChars="200"/>
        <w:rPr>
          <w:szCs w:val="21"/>
        </w:rPr>
      </w:pPr>
      <w:r>
        <w:rPr>
          <w:szCs w:val="21"/>
        </w:rPr>
        <w:t xml:space="preserve">1.1.5.1 签约合同价：指签订合同时合同协议书中写明的监理报酬总金额。 </w:t>
      </w:r>
    </w:p>
    <w:p>
      <w:pPr>
        <w:spacing w:line="360" w:lineRule="auto"/>
        <w:ind w:firstLine="420" w:firstLineChars="200"/>
        <w:rPr>
          <w:szCs w:val="21"/>
        </w:rPr>
      </w:pPr>
      <w:r>
        <w:rPr>
          <w:szCs w:val="21"/>
        </w:rPr>
        <w:t xml:space="preserve">1.1.5.2 合同价格：指监理人按合同约定完成了全部监理工作后，委托人应付给监理人的金额，包括在履行合同过程中按合同约定进行的变更和调整。 </w:t>
      </w:r>
    </w:p>
    <w:p>
      <w:pPr>
        <w:spacing w:line="360" w:lineRule="auto"/>
        <w:ind w:firstLine="420" w:firstLineChars="200"/>
        <w:rPr>
          <w:szCs w:val="21"/>
        </w:rPr>
      </w:pPr>
      <w:r>
        <w:rPr>
          <w:szCs w:val="21"/>
        </w:rPr>
        <w:t>1.1.5.3 费用：指为履行合同所发生的或将要发生的所有合理开支，包括管理费和应分摊的其他费用，但不包括利润。</w:t>
      </w:r>
    </w:p>
    <w:p>
      <w:pPr>
        <w:spacing w:line="360" w:lineRule="auto"/>
        <w:ind w:firstLine="413" w:firstLineChars="196"/>
        <w:rPr>
          <w:b/>
        </w:rPr>
      </w:pPr>
      <w:r>
        <w:rPr>
          <w:b/>
        </w:rPr>
        <w:t>1.1.6 其他</w:t>
      </w:r>
    </w:p>
    <w:p>
      <w:pPr>
        <w:spacing w:line="360" w:lineRule="auto"/>
        <w:ind w:firstLine="420" w:firstLineChars="200"/>
        <w:rPr>
          <w:szCs w:val="21"/>
        </w:rPr>
      </w:pPr>
      <w:r>
        <w:rPr>
          <w:szCs w:val="21"/>
        </w:rPr>
        <w:t>1.1.6.1 书面形式：指合同文件、信件和数据电文（包括电报、电传、传真、电子数据交换和电子邮件）等可以有形地表现所载内容的形式。</w:t>
      </w:r>
    </w:p>
    <w:p>
      <w:pPr>
        <w:pStyle w:val="6"/>
        <w:spacing w:line="240" w:lineRule="auto"/>
        <w:ind w:firstLine="137"/>
        <w:rPr>
          <w:rFonts w:ascii="Times New Roman"/>
        </w:rPr>
      </w:pPr>
      <w:bookmarkStart w:id="6" w:name="_Toc482188548"/>
      <w:bookmarkStart w:id="7" w:name="_Toc31818"/>
      <w:r>
        <w:rPr>
          <w:rFonts w:ascii="Times New Roman"/>
        </w:rPr>
        <w:t xml:space="preserve">1.2 </w:t>
      </w:r>
      <w:r>
        <w:rPr>
          <w:rFonts w:hint="eastAsia" w:ascii="Times New Roman"/>
        </w:rPr>
        <w:t>语言文字</w:t>
      </w:r>
      <w:bookmarkEnd w:id="6"/>
      <w:bookmarkEnd w:id="7"/>
    </w:p>
    <w:p>
      <w:pPr>
        <w:spacing w:line="360" w:lineRule="auto"/>
        <w:ind w:firstLine="420" w:firstLineChars="200"/>
        <w:rPr>
          <w:szCs w:val="21"/>
        </w:rPr>
      </w:pPr>
      <w:r>
        <w:rPr>
          <w:szCs w:val="21"/>
        </w:rPr>
        <w:t>合同使用的语言文字为中文。专用术语使用外文的，应附有中文注释。</w:t>
      </w:r>
    </w:p>
    <w:p>
      <w:pPr>
        <w:pStyle w:val="6"/>
        <w:spacing w:line="240" w:lineRule="auto"/>
        <w:ind w:firstLine="137"/>
        <w:rPr>
          <w:rFonts w:ascii="Times New Roman"/>
        </w:rPr>
      </w:pPr>
      <w:bookmarkStart w:id="8" w:name="_Toc17355"/>
      <w:bookmarkStart w:id="9" w:name="_Toc482188549"/>
      <w:r>
        <w:rPr>
          <w:rFonts w:ascii="Times New Roman"/>
        </w:rPr>
        <w:t xml:space="preserve">1.3 </w:t>
      </w:r>
      <w:r>
        <w:rPr>
          <w:rFonts w:hint="eastAsia" w:ascii="Times New Roman"/>
        </w:rPr>
        <w:t>适用法律</w:t>
      </w:r>
      <w:bookmarkEnd w:id="8"/>
      <w:bookmarkEnd w:id="9"/>
    </w:p>
    <w:p>
      <w:pPr>
        <w:spacing w:line="360" w:lineRule="auto"/>
        <w:ind w:firstLine="420" w:firstLineChars="200"/>
        <w:rPr>
          <w:szCs w:val="21"/>
        </w:rPr>
      </w:pPr>
      <w:r>
        <w:rPr>
          <w:szCs w:val="21"/>
        </w:rPr>
        <w:t>适用于合同的法律包括中华人民共和国法律、行政法规、部门规章，以及工程所在地的地方法规、自治条例、单行条例和地方政府规章。</w:t>
      </w:r>
    </w:p>
    <w:p>
      <w:pPr>
        <w:spacing w:line="360" w:lineRule="auto"/>
        <w:ind w:firstLine="420" w:firstLineChars="200"/>
      </w:pPr>
      <w:r>
        <w:t>本合同适用的其他规范性文件，可在专用合同条款中约定。</w:t>
      </w:r>
    </w:p>
    <w:p>
      <w:pPr>
        <w:pStyle w:val="6"/>
        <w:spacing w:line="240" w:lineRule="auto"/>
        <w:ind w:firstLine="137"/>
        <w:rPr>
          <w:rFonts w:ascii="Times New Roman"/>
        </w:rPr>
      </w:pPr>
      <w:bookmarkStart w:id="10" w:name="_Toc16095"/>
      <w:bookmarkStart w:id="11" w:name="_Toc482188550"/>
      <w:r>
        <w:rPr>
          <w:rFonts w:ascii="Times New Roman"/>
        </w:rPr>
        <w:t xml:space="preserve">1.4 </w:t>
      </w:r>
      <w:r>
        <w:rPr>
          <w:rFonts w:hint="eastAsia" w:ascii="Times New Roman"/>
        </w:rPr>
        <w:t>合同文件的优先顺序</w:t>
      </w:r>
      <w:bookmarkEnd w:id="10"/>
      <w:bookmarkEnd w:id="11"/>
    </w:p>
    <w:p>
      <w:pPr>
        <w:spacing w:line="360" w:lineRule="auto"/>
        <w:ind w:firstLine="420" w:firstLineChars="200"/>
        <w:rPr>
          <w:szCs w:val="21"/>
        </w:rPr>
      </w:pPr>
      <w:r>
        <w:rPr>
          <w:szCs w:val="21"/>
        </w:rPr>
        <w:t>组成合同的各项文件应互相解释，互为说明。除专用合同条款另有约定外，解释合同文件的优先顺序如下：</w:t>
      </w:r>
    </w:p>
    <w:p>
      <w:pPr>
        <w:spacing w:line="360" w:lineRule="auto"/>
        <w:ind w:firstLine="420"/>
      </w:pPr>
      <w:r>
        <w:t>（1）合同协议书；</w:t>
      </w:r>
    </w:p>
    <w:p>
      <w:pPr>
        <w:spacing w:line="360" w:lineRule="auto"/>
        <w:ind w:firstLine="420"/>
      </w:pPr>
      <w:r>
        <w:t>（2）中标通知书；</w:t>
      </w:r>
    </w:p>
    <w:p>
      <w:pPr>
        <w:spacing w:line="360" w:lineRule="auto"/>
        <w:ind w:firstLine="420"/>
      </w:pPr>
      <w:r>
        <w:t>（3）投标函及投标函附录；</w:t>
      </w:r>
    </w:p>
    <w:p>
      <w:pPr>
        <w:spacing w:line="360" w:lineRule="auto"/>
        <w:ind w:firstLine="420"/>
      </w:pPr>
      <w:r>
        <w:t>（4）专用合同条款；</w:t>
      </w:r>
    </w:p>
    <w:p>
      <w:pPr>
        <w:spacing w:line="360" w:lineRule="auto"/>
        <w:ind w:firstLine="420"/>
      </w:pPr>
      <w:r>
        <w:t>（5）通用合同条款；</w:t>
      </w:r>
    </w:p>
    <w:p>
      <w:pPr>
        <w:spacing w:line="360" w:lineRule="auto"/>
        <w:ind w:firstLine="420"/>
      </w:pPr>
      <w:r>
        <w:t>（6）委托人要求；</w:t>
      </w:r>
    </w:p>
    <w:p>
      <w:pPr>
        <w:spacing w:line="360" w:lineRule="auto"/>
        <w:ind w:firstLine="420"/>
      </w:pPr>
      <w:r>
        <w:t>（</w:t>
      </w:r>
      <w:r>
        <w:rPr>
          <w:rFonts w:hint="eastAsia"/>
        </w:rPr>
        <w:t>7</w:t>
      </w:r>
      <w:r>
        <w:t>）</w:t>
      </w:r>
      <w:r>
        <w:rPr>
          <w:rFonts w:hint="eastAsia"/>
        </w:rPr>
        <w:t>监理报酬清单</w:t>
      </w:r>
      <w:r>
        <w:t>；</w:t>
      </w:r>
    </w:p>
    <w:p>
      <w:pPr>
        <w:spacing w:line="360" w:lineRule="auto"/>
        <w:ind w:firstLine="420"/>
      </w:pPr>
      <w:r>
        <w:t>（</w:t>
      </w:r>
      <w:r>
        <w:rPr>
          <w:rFonts w:hint="eastAsia"/>
        </w:rPr>
        <w:t>8</w:t>
      </w:r>
      <w:r>
        <w:t>）</w:t>
      </w:r>
      <w:r>
        <w:rPr>
          <w:rFonts w:hint="eastAsia"/>
        </w:rPr>
        <w:t>监理大纲</w:t>
      </w:r>
      <w:r>
        <w:t>；</w:t>
      </w:r>
    </w:p>
    <w:p>
      <w:pPr>
        <w:spacing w:line="360" w:lineRule="auto"/>
        <w:ind w:firstLine="420"/>
        <w:rPr>
          <w:szCs w:val="21"/>
        </w:rPr>
      </w:pPr>
      <w:r>
        <w:t>（9）其他合同</w:t>
      </w:r>
      <w:r>
        <w:rPr>
          <w:szCs w:val="21"/>
        </w:rPr>
        <w:t>文件。</w:t>
      </w:r>
    </w:p>
    <w:p>
      <w:pPr>
        <w:pStyle w:val="6"/>
        <w:spacing w:line="240" w:lineRule="auto"/>
        <w:ind w:firstLine="137"/>
        <w:rPr>
          <w:rFonts w:ascii="Times New Roman"/>
        </w:rPr>
      </w:pPr>
      <w:bookmarkStart w:id="12" w:name="_Toc11855"/>
      <w:bookmarkStart w:id="13" w:name="_Toc482188551"/>
      <w:r>
        <w:rPr>
          <w:rFonts w:ascii="Times New Roman"/>
        </w:rPr>
        <w:t xml:space="preserve">1.5 </w:t>
      </w:r>
      <w:r>
        <w:rPr>
          <w:rFonts w:hint="eastAsia" w:ascii="Times New Roman"/>
        </w:rPr>
        <w:t>合同协议书</w:t>
      </w:r>
      <w:bookmarkEnd w:id="12"/>
      <w:bookmarkEnd w:id="13"/>
    </w:p>
    <w:p>
      <w:pPr>
        <w:spacing w:line="360" w:lineRule="auto"/>
        <w:ind w:firstLine="420" w:firstLineChars="200"/>
        <w:rPr>
          <w:szCs w:val="21"/>
        </w:rPr>
      </w:pPr>
      <w:r>
        <w:rPr>
          <w:rFonts w:hint="eastAsia"/>
        </w:rPr>
        <w:t>监理</w:t>
      </w:r>
      <w:r>
        <w:rPr>
          <w:szCs w:val="21"/>
        </w:rPr>
        <w:t>人按中标通知书规定的时间与委托人签订合同协议书。除法律另有规定或合同另有约定外，委托人和</w:t>
      </w:r>
      <w:r>
        <w:rPr>
          <w:rFonts w:hint="eastAsia"/>
        </w:rPr>
        <w:t>监理</w:t>
      </w:r>
      <w:r>
        <w:rPr>
          <w:szCs w:val="21"/>
        </w:rPr>
        <w:t>人的法定代表人或其委托代理人在合同协议书上签字并盖单位章后，合同生效。</w:t>
      </w:r>
    </w:p>
    <w:p>
      <w:pPr>
        <w:pStyle w:val="6"/>
        <w:spacing w:line="240" w:lineRule="auto"/>
        <w:ind w:firstLine="137"/>
        <w:rPr>
          <w:rFonts w:ascii="Times New Roman"/>
        </w:rPr>
      </w:pPr>
      <w:bookmarkStart w:id="14" w:name="_Toc32170"/>
      <w:bookmarkStart w:id="15" w:name="_Toc482188552"/>
      <w:r>
        <w:rPr>
          <w:rFonts w:ascii="Times New Roman"/>
        </w:rPr>
        <w:t xml:space="preserve">1.6 </w:t>
      </w:r>
      <w:r>
        <w:rPr>
          <w:rFonts w:hint="eastAsia" w:ascii="Times New Roman"/>
        </w:rPr>
        <w:t>文件的提供和照管</w:t>
      </w:r>
      <w:bookmarkEnd w:id="14"/>
      <w:bookmarkEnd w:id="15"/>
    </w:p>
    <w:p>
      <w:pPr>
        <w:spacing w:line="360" w:lineRule="auto"/>
        <w:ind w:firstLine="422" w:firstLineChars="200"/>
        <w:rPr>
          <w:b/>
        </w:rPr>
      </w:pPr>
      <w:r>
        <w:rPr>
          <w:b/>
        </w:rPr>
        <w:t xml:space="preserve">1.6.1 </w:t>
      </w:r>
      <w:r>
        <w:rPr>
          <w:rFonts w:hint="eastAsia"/>
          <w:b/>
          <w:bCs/>
        </w:rPr>
        <w:t>监理文件</w:t>
      </w:r>
      <w:r>
        <w:rPr>
          <w:b/>
        </w:rPr>
        <w:t>的提供</w:t>
      </w:r>
    </w:p>
    <w:p>
      <w:pPr>
        <w:spacing w:line="360" w:lineRule="auto"/>
        <w:ind w:firstLine="420" w:firstLineChars="200"/>
        <w:rPr>
          <w:szCs w:val="21"/>
        </w:rPr>
      </w:pPr>
      <w:r>
        <w:rPr>
          <w:szCs w:val="21"/>
        </w:rPr>
        <w:t>除专用合同条款另有约定外，</w:t>
      </w:r>
      <w:r>
        <w:rPr>
          <w:rFonts w:hint="eastAsia"/>
        </w:rPr>
        <w:t>监理</w:t>
      </w:r>
      <w:r>
        <w:rPr>
          <w:szCs w:val="21"/>
        </w:rPr>
        <w:t>人应在合理的期限内按照合同约定的数量向委托人提供</w:t>
      </w:r>
      <w:r>
        <w:rPr>
          <w:rFonts w:hint="eastAsia"/>
        </w:rPr>
        <w:t>监理文件</w:t>
      </w:r>
      <w:r>
        <w:rPr>
          <w:szCs w:val="21"/>
        </w:rPr>
        <w:t>。合同约定</w:t>
      </w:r>
      <w:r>
        <w:rPr>
          <w:rFonts w:hint="eastAsia"/>
        </w:rPr>
        <w:t>监理文件</w:t>
      </w:r>
      <w:r>
        <w:rPr>
          <w:szCs w:val="21"/>
        </w:rPr>
        <w:t>应经委托人批复的，委托人应当在合同约定的期限内批复或提出修改意见。</w:t>
      </w:r>
    </w:p>
    <w:p>
      <w:pPr>
        <w:spacing w:line="360" w:lineRule="auto"/>
        <w:ind w:firstLine="422" w:firstLineChars="200"/>
        <w:rPr>
          <w:b/>
          <w:szCs w:val="21"/>
        </w:rPr>
      </w:pPr>
      <w:r>
        <w:rPr>
          <w:b/>
        </w:rPr>
        <w:t xml:space="preserve">1.6.2 </w:t>
      </w:r>
      <w:r>
        <w:rPr>
          <w:b/>
          <w:szCs w:val="21"/>
        </w:rPr>
        <w:t>委托人提供的文件</w:t>
      </w:r>
    </w:p>
    <w:p>
      <w:pPr>
        <w:spacing w:line="360" w:lineRule="auto"/>
        <w:ind w:firstLine="420" w:firstLineChars="200"/>
        <w:rPr>
          <w:szCs w:val="21"/>
        </w:rPr>
      </w:pPr>
      <w:r>
        <w:rPr>
          <w:rFonts w:ascii="宋体" w:hAnsi="宋体" w:cs="宋体"/>
        </w:rPr>
        <w:t xml:space="preserve">按专用合同条款约定由委托人提供的文件，包括规范标准、承包合同、勘察文件、设计文件等，委托人应按约定的数量和期限交给监理人。由于委托人未按时提供文件造成监理服务期限延误的，按第 </w:t>
      </w:r>
      <w:r>
        <w:rPr>
          <w:rFonts w:eastAsia="Times New Roman"/>
        </w:rPr>
        <w:t xml:space="preserve">6.2 </w:t>
      </w:r>
      <w:r>
        <w:rPr>
          <w:rFonts w:ascii="宋体" w:hAnsi="宋体" w:cs="宋体"/>
        </w:rPr>
        <w:t>款约定执行。</w:t>
      </w:r>
    </w:p>
    <w:p>
      <w:pPr>
        <w:spacing w:line="360" w:lineRule="auto"/>
        <w:ind w:firstLine="422" w:firstLineChars="200"/>
        <w:rPr>
          <w:b/>
          <w:szCs w:val="21"/>
        </w:rPr>
      </w:pPr>
      <w:r>
        <w:rPr>
          <w:b/>
        </w:rPr>
        <w:t xml:space="preserve">1.6.3 </w:t>
      </w:r>
      <w:r>
        <w:rPr>
          <w:b/>
          <w:szCs w:val="21"/>
        </w:rPr>
        <w:t>文件错误的通知</w:t>
      </w:r>
    </w:p>
    <w:p>
      <w:pPr>
        <w:spacing w:line="360" w:lineRule="auto"/>
        <w:ind w:firstLine="420" w:firstLineChars="200"/>
        <w:rPr>
          <w:szCs w:val="21"/>
        </w:rPr>
      </w:pPr>
      <w:r>
        <w:rPr>
          <w:szCs w:val="21"/>
        </w:rPr>
        <w:t>任何一方当事人发现文件中存在的明显错误或疏忽，均应及时通知对方当事人，并应立即采取适当的措施防止损失扩大。</w:t>
      </w:r>
    </w:p>
    <w:p>
      <w:pPr>
        <w:spacing w:line="360" w:lineRule="auto"/>
        <w:ind w:firstLine="422" w:firstLineChars="200"/>
        <w:rPr>
          <w:b/>
          <w:szCs w:val="21"/>
        </w:rPr>
      </w:pPr>
      <w:r>
        <w:rPr>
          <w:b/>
        </w:rPr>
        <w:t>1.6.</w:t>
      </w:r>
      <w:r>
        <w:rPr>
          <w:rFonts w:hint="eastAsia"/>
          <w:b/>
        </w:rPr>
        <w:t>4</w:t>
      </w:r>
      <w:r>
        <w:rPr>
          <w:b/>
        </w:rPr>
        <w:t xml:space="preserve"> </w:t>
      </w:r>
      <w:r>
        <w:rPr>
          <w:b/>
          <w:szCs w:val="21"/>
        </w:rPr>
        <w:t>文件的</w:t>
      </w:r>
      <w:r>
        <w:rPr>
          <w:rFonts w:hint="eastAsia"/>
          <w:b/>
          <w:szCs w:val="21"/>
        </w:rPr>
        <w:t>照管</w:t>
      </w:r>
    </w:p>
    <w:p>
      <w:pPr>
        <w:spacing w:line="360" w:lineRule="auto"/>
        <w:ind w:firstLine="420" w:firstLineChars="200"/>
        <w:rPr>
          <w:szCs w:val="21"/>
        </w:rPr>
      </w:pPr>
      <w:r>
        <w:rPr>
          <w:szCs w:val="21"/>
        </w:rPr>
        <w:t>监理人应在现场保留一份合同文件、监理文件、委托人要求中的所列文件、以及其他根据合同收发的往来信函，以备委托人和行政管理部门查阅使用。</w:t>
      </w:r>
    </w:p>
    <w:p>
      <w:pPr>
        <w:pStyle w:val="6"/>
        <w:spacing w:line="240" w:lineRule="auto"/>
        <w:ind w:firstLine="137"/>
        <w:rPr>
          <w:rFonts w:ascii="Times New Roman"/>
        </w:rPr>
      </w:pPr>
      <w:bookmarkStart w:id="16" w:name="_Toc482188553"/>
      <w:bookmarkStart w:id="17" w:name="_Toc14214"/>
      <w:r>
        <w:rPr>
          <w:rFonts w:ascii="Times New Roman"/>
        </w:rPr>
        <w:t xml:space="preserve">1.7 </w:t>
      </w:r>
      <w:r>
        <w:rPr>
          <w:rFonts w:hint="eastAsia" w:ascii="Times New Roman"/>
        </w:rPr>
        <w:t>联络</w:t>
      </w:r>
      <w:bookmarkEnd w:id="16"/>
      <w:bookmarkEnd w:id="17"/>
    </w:p>
    <w:p>
      <w:pPr>
        <w:spacing w:line="360" w:lineRule="auto"/>
        <w:ind w:firstLine="420" w:firstLineChars="200"/>
        <w:rPr>
          <w:szCs w:val="21"/>
        </w:rPr>
      </w:pPr>
      <w:r>
        <w:t>1.7.1</w:t>
      </w:r>
      <w:r>
        <w:rPr>
          <w:szCs w:val="21"/>
        </w:rPr>
        <w:t xml:space="preserve"> 与合同有关的通知、批准、证明、证书、指示、要求、请求、同意、意见、确定和决定等，均应采用书面形式。</w:t>
      </w:r>
    </w:p>
    <w:p>
      <w:pPr>
        <w:spacing w:line="360" w:lineRule="auto"/>
        <w:ind w:firstLine="420" w:firstLineChars="200"/>
        <w:rPr>
          <w:szCs w:val="21"/>
        </w:rPr>
      </w:pPr>
      <w:r>
        <w:t>1.7.2</w:t>
      </w:r>
      <w:r>
        <w:rPr>
          <w:szCs w:val="21"/>
        </w:rPr>
        <w:t xml:space="preserve"> 上述通知、批准、证明、证书、指示、要求、请求、同意、意见、确定和决定等来往函件，均应在合同约定的期限内送达指定的地点和指定的接收人，并办理签收手续。</w:t>
      </w:r>
    </w:p>
    <w:p>
      <w:pPr>
        <w:pStyle w:val="6"/>
        <w:spacing w:line="240" w:lineRule="auto"/>
        <w:ind w:firstLine="137"/>
        <w:rPr>
          <w:rFonts w:ascii="Times New Roman"/>
        </w:rPr>
      </w:pPr>
      <w:bookmarkStart w:id="18" w:name="_Toc20313"/>
      <w:bookmarkStart w:id="19" w:name="_Toc482188554"/>
      <w:r>
        <w:rPr>
          <w:rFonts w:ascii="Times New Roman"/>
        </w:rPr>
        <w:t xml:space="preserve">1.8 </w:t>
      </w:r>
      <w:r>
        <w:rPr>
          <w:rFonts w:hint="eastAsia" w:ascii="Times New Roman"/>
        </w:rPr>
        <w:t>转让</w:t>
      </w:r>
      <w:bookmarkEnd w:id="18"/>
      <w:bookmarkEnd w:id="19"/>
    </w:p>
    <w:p>
      <w:pPr>
        <w:spacing w:line="360" w:lineRule="auto"/>
        <w:ind w:firstLine="420" w:firstLineChars="200"/>
        <w:rPr>
          <w:szCs w:val="21"/>
        </w:rPr>
      </w:pPr>
      <w:r>
        <w:rPr>
          <w:szCs w:val="21"/>
        </w:rPr>
        <w:t>除专用合同条款另有约定外，未经对方当事人同意，一方当事人不得将合同权利全部或部分转让给第三人，也不得全部或部分转移合同义务。</w:t>
      </w:r>
    </w:p>
    <w:p>
      <w:pPr>
        <w:pStyle w:val="6"/>
        <w:spacing w:line="240" w:lineRule="auto"/>
        <w:ind w:firstLine="137"/>
        <w:rPr>
          <w:rFonts w:ascii="Times New Roman"/>
        </w:rPr>
      </w:pPr>
      <w:bookmarkStart w:id="20" w:name="_Toc482188555"/>
      <w:bookmarkStart w:id="21" w:name="_Toc16410"/>
      <w:r>
        <w:rPr>
          <w:rFonts w:ascii="Times New Roman"/>
        </w:rPr>
        <w:t xml:space="preserve">1.9 </w:t>
      </w:r>
      <w:r>
        <w:rPr>
          <w:rFonts w:hint="eastAsia" w:ascii="Times New Roman"/>
        </w:rPr>
        <w:t>严禁贿赂</w:t>
      </w:r>
      <w:bookmarkEnd w:id="20"/>
      <w:bookmarkEnd w:id="21"/>
    </w:p>
    <w:p>
      <w:pPr>
        <w:spacing w:line="360" w:lineRule="auto"/>
        <w:ind w:firstLine="420" w:firstLineChars="200"/>
        <w:rPr>
          <w:szCs w:val="21"/>
        </w:rPr>
      </w:pPr>
      <w:r>
        <w:rPr>
          <w:szCs w:val="21"/>
        </w:rPr>
        <w:t>合同双方当事人不得以贿赂或变相贿赂的方式，谋取不当利益或损害对方权益。因贿赂造成对方当事人损失的，行为人应当赔偿损失，并承担相应的法律责任。</w:t>
      </w:r>
    </w:p>
    <w:p>
      <w:pPr>
        <w:pStyle w:val="6"/>
        <w:spacing w:line="240" w:lineRule="auto"/>
        <w:ind w:firstLine="137"/>
        <w:rPr>
          <w:rFonts w:ascii="Times New Roman"/>
        </w:rPr>
      </w:pPr>
      <w:bookmarkStart w:id="22" w:name="_Toc482188556"/>
      <w:bookmarkStart w:id="23" w:name="_Toc27610"/>
      <w:r>
        <w:rPr>
          <w:rFonts w:ascii="Times New Roman"/>
        </w:rPr>
        <w:t xml:space="preserve">1.10 </w:t>
      </w:r>
      <w:r>
        <w:rPr>
          <w:rFonts w:hint="eastAsia" w:ascii="Times New Roman"/>
        </w:rPr>
        <w:t>知识产权</w:t>
      </w:r>
      <w:bookmarkEnd w:id="22"/>
      <w:bookmarkEnd w:id="23"/>
    </w:p>
    <w:p>
      <w:pPr>
        <w:spacing w:line="360" w:lineRule="auto"/>
        <w:ind w:firstLine="420" w:firstLineChars="200"/>
        <w:rPr>
          <w:szCs w:val="21"/>
        </w:rPr>
      </w:pPr>
      <w:r>
        <w:t>1.10.1除专用合同条款另有约定外，</w:t>
      </w:r>
      <w:r>
        <w:rPr>
          <w:rFonts w:hint="eastAsia"/>
          <w:szCs w:val="21"/>
        </w:rPr>
        <w:t>监理</w:t>
      </w:r>
      <w:r>
        <w:rPr>
          <w:szCs w:val="21"/>
        </w:rPr>
        <w:t>人完成的</w:t>
      </w:r>
      <w:r>
        <w:rPr>
          <w:rFonts w:hint="eastAsia"/>
          <w:szCs w:val="21"/>
        </w:rPr>
        <w:t>监理</w:t>
      </w:r>
      <w:r>
        <w:rPr>
          <w:szCs w:val="21"/>
        </w:rPr>
        <w:t>工作成果，除署名权以外的著作权和其他知识产权均归委托人享有。</w:t>
      </w:r>
    </w:p>
    <w:p>
      <w:pPr>
        <w:spacing w:line="360" w:lineRule="auto"/>
        <w:ind w:firstLine="420" w:firstLineChars="200"/>
        <w:rPr>
          <w:szCs w:val="21"/>
        </w:rPr>
      </w:pPr>
      <w:r>
        <w:t xml:space="preserve">1.10.2 </w:t>
      </w:r>
      <w:r>
        <w:rPr>
          <w:rFonts w:hint="eastAsia"/>
          <w:szCs w:val="21"/>
        </w:rPr>
        <w:t>监理</w:t>
      </w:r>
      <w:r>
        <w:rPr>
          <w:szCs w:val="21"/>
        </w:rPr>
        <w:t>人在从事</w:t>
      </w:r>
      <w:r>
        <w:rPr>
          <w:rFonts w:hint="eastAsia"/>
          <w:szCs w:val="21"/>
        </w:rPr>
        <w:t>监理</w:t>
      </w:r>
      <w:r>
        <w:rPr>
          <w:szCs w:val="21"/>
        </w:rPr>
        <w:t>活动时，不得侵犯他人的知识产权。因侵犯专利权或其他知识产权所引起的责任，由</w:t>
      </w:r>
      <w:r>
        <w:rPr>
          <w:rFonts w:hint="eastAsia"/>
          <w:szCs w:val="21"/>
        </w:rPr>
        <w:t>监理</w:t>
      </w:r>
      <w:r>
        <w:rPr>
          <w:szCs w:val="21"/>
        </w:rPr>
        <w:t>人自行承担。因委托人提供的</w:t>
      </w:r>
      <w:r>
        <w:rPr>
          <w:rFonts w:hint="eastAsia"/>
          <w:szCs w:val="21"/>
        </w:rPr>
        <w:t>监理</w:t>
      </w:r>
      <w:r>
        <w:rPr>
          <w:szCs w:val="21"/>
        </w:rPr>
        <w:t>资料导致侵权的，由委托人承担责任。</w:t>
      </w:r>
    </w:p>
    <w:p>
      <w:pPr>
        <w:spacing w:line="360" w:lineRule="auto"/>
        <w:ind w:firstLine="420" w:firstLineChars="200"/>
      </w:pPr>
      <w:r>
        <w:t xml:space="preserve">1.10.3 </w:t>
      </w:r>
      <w:r>
        <w:rPr>
          <w:rFonts w:hint="eastAsia"/>
          <w:szCs w:val="21"/>
        </w:rPr>
        <w:t>监理</w:t>
      </w:r>
      <w:r>
        <w:rPr>
          <w:szCs w:val="21"/>
        </w:rPr>
        <w:t>人在投标文件中采用专利技术、专有技术的，相应的使用费视为已包含在</w:t>
      </w:r>
      <w:r>
        <w:rPr>
          <w:rFonts w:hint="eastAsia"/>
          <w:szCs w:val="21"/>
        </w:rPr>
        <w:t>投标报价</w:t>
      </w:r>
      <w:r>
        <w:rPr>
          <w:szCs w:val="21"/>
        </w:rPr>
        <w:t>之中。</w:t>
      </w:r>
    </w:p>
    <w:p>
      <w:pPr>
        <w:pStyle w:val="6"/>
        <w:spacing w:line="240" w:lineRule="auto"/>
        <w:ind w:firstLine="137"/>
        <w:rPr>
          <w:rFonts w:ascii="Times New Roman"/>
        </w:rPr>
      </w:pPr>
      <w:bookmarkStart w:id="24" w:name="_Toc482188557"/>
      <w:bookmarkStart w:id="25" w:name="_Toc14979"/>
      <w:r>
        <w:rPr>
          <w:rFonts w:ascii="Times New Roman"/>
        </w:rPr>
        <w:t xml:space="preserve">1.11 </w:t>
      </w:r>
      <w:r>
        <w:rPr>
          <w:rFonts w:hint="eastAsia" w:ascii="Times New Roman"/>
        </w:rPr>
        <w:t>文件及信息的保密</w:t>
      </w:r>
      <w:bookmarkEnd w:id="24"/>
      <w:bookmarkEnd w:id="25"/>
    </w:p>
    <w:p>
      <w:pPr>
        <w:spacing w:line="360" w:lineRule="auto"/>
        <w:ind w:firstLine="420" w:firstLineChars="200"/>
        <w:rPr>
          <w:szCs w:val="21"/>
        </w:rPr>
      </w:pPr>
      <w:r>
        <w:rPr>
          <w:szCs w:val="21"/>
        </w:rPr>
        <w:t>未经对方同意，任何一方当事人不得将有关文件、技术秘密、需要保密的资料和信息泄露给他人或公开发表与引用。</w:t>
      </w:r>
    </w:p>
    <w:p>
      <w:pPr>
        <w:pStyle w:val="6"/>
        <w:spacing w:line="240" w:lineRule="auto"/>
        <w:ind w:firstLine="137"/>
        <w:rPr>
          <w:rFonts w:ascii="Times New Roman"/>
        </w:rPr>
      </w:pPr>
      <w:bookmarkStart w:id="26" w:name="_Toc482188558"/>
      <w:bookmarkStart w:id="27" w:name="_Toc13563"/>
      <w:r>
        <w:rPr>
          <w:rFonts w:ascii="Times New Roman"/>
        </w:rPr>
        <w:t xml:space="preserve">1.12 </w:t>
      </w:r>
      <w:r>
        <w:rPr>
          <w:rFonts w:hint="eastAsia" w:ascii="Times New Roman"/>
        </w:rPr>
        <w:t>委托人要求</w:t>
      </w:r>
      <w:bookmarkEnd w:id="26"/>
      <w:bookmarkEnd w:id="27"/>
    </w:p>
    <w:p>
      <w:pPr>
        <w:spacing w:line="360" w:lineRule="auto"/>
        <w:ind w:firstLine="420"/>
        <w:rPr>
          <w:szCs w:val="21"/>
        </w:rPr>
      </w:pPr>
      <w:r>
        <w:rPr>
          <w:szCs w:val="21"/>
        </w:rPr>
        <w:t xml:space="preserve">1.12.1 监理人应认真阅读、复核委托人要求，发现错误的，应及时书面通知委托人。无论是否存在错误，委托人均有权修改委托人要求，并在修改后 3 日内通知监理人。除专用合同条款另有约定外，由此导致监理人费用增加和(或)周期延误的，委托人应当相应地增加费用和(或) 延长周期。 </w:t>
      </w:r>
    </w:p>
    <w:p>
      <w:pPr>
        <w:spacing w:line="360" w:lineRule="auto"/>
        <w:ind w:firstLine="420"/>
        <w:rPr>
          <w:szCs w:val="21"/>
        </w:rPr>
      </w:pPr>
      <w:r>
        <w:rPr>
          <w:szCs w:val="21"/>
        </w:rPr>
        <w:t xml:space="preserve">1.12.2 如果委托人要求违反法律规定，监理人应在发现后及时书面通知委托人，要求其改正。委托人收到通知书后不予改正或不予答复的，监理人有权拒绝履行合同义务，直至解除合同；由此引起的监理人的全部损失由委托人承担。 </w:t>
      </w:r>
    </w:p>
    <w:p>
      <w:pPr>
        <w:spacing w:line="360" w:lineRule="auto"/>
        <w:ind w:firstLine="420"/>
        <w:rPr>
          <w:szCs w:val="21"/>
        </w:rPr>
      </w:pPr>
      <w:r>
        <w:rPr>
          <w:szCs w:val="21"/>
        </w:rPr>
        <w:t>1.12.3 委托人要求采用国外规范和标准进行监理时，应由委托人负责提供该规范和标准的外国文本和中文译本，提供的时间、份数和其他要求在专用合同条款中约定。</w:t>
      </w:r>
    </w:p>
    <w:p>
      <w:pPr>
        <w:pStyle w:val="5"/>
        <w:rPr>
          <w:rFonts w:ascii="Times New Roman" w:hAnsi="Times New Roman"/>
        </w:rPr>
      </w:pPr>
      <w:bookmarkStart w:id="28" w:name="_Toc482188559"/>
      <w:bookmarkStart w:id="29" w:name="_Toc15784"/>
      <w:r>
        <w:rPr>
          <w:rFonts w:ascii="Times New Roman" w:hAnsi="Times New Roman"/>
        </w:rPr>
        <w:t>2. 委托人义务</w:t>
      </w:r>
      <w:bookmarkEnd w:id="28"/>
      <w:bookmarkEnd w:id="29"/>
    </w:p>
    <w:p>
      <w:pPr>
        <w:pStyle w:val="6"/>
        <w:spacing w:line="240" w:lineRule="auto"/>
        <w:ind w:firstLine="137"/>
        <w:rPr>
          <w:rFonts w:ascii="Times New Roman"/>
        </w:rPr>
      </w:pPr>
      <w:bookmarkStart w:id="30" w:name="_Toc30999"/>
      <w:bookmarkStart w:id="31" w:name="_Toc482188560"/>
      <w:r>
        <w:rPr>
          <w:rFonts w:ascii="Times New Roman"/>
        </w:rPr>
        <w:t xml:space="preserve">2.1 </w:t>
      </w:r>
      <w:r>
        <w:rPr>
          <w:rFonts w:hint="eastAsia" w:ascii="Times New Roman"/>
        </w:rPr>
        <w:t>遵守法律</w:t>
      </w:r>
      <w:bookmarkEnd w:id="30"/>
      <w:bookmarkEnd w:id="31"/>
    </w:p>
    <w:p>
      <w:pPr>
        <w:spacing w:line="360" w:lineRule="auto"/>
        <w:ind w:firstLine="420" w:firstLineChars="200"/>
      </w:pPr>
      <w:r>
        <w:rPr>
          <w:szCs w:val="21"/>
        </w:rPr>
        <w:t>委托人在履行合同过程中应遵守法律，并保证</w:t>
      </w:r>
      <w:r>
        <w:rPr>
          <w:rFonts w:hint="eastAsia"/>
          <w:szCs w:val="21"/>
        </w:rPr>
        <w:t>监理</w:t>
      </w:r>
      <w:r>
        <w:rPr>
          <w:szCs w:val="21"/>
        </w:rPr>
        <w:t>人免于承担因委托人违反法律而引起的</w:t>
      </w:r>
      <w:bookmarkStart w:id="32" w:name="_Toc385592087"/>
      <w:bookmarkStart w:id="33" w:name="_Toc247527650"/>
      <w:bookmarkStart w:id="34" w:name="_Toc370281722"/>
      <w:bookmarkStart w:id="35" w:name="_Toc247514049"/>
      <w:bookmarkStart w:id="36" w:name="_Toc184635099"/>
      <w:bookmarkStart w:id="37" w:name="_Toc385942918"/>
      <w:bookmarkStart w:id="38" w:name="_Toc300835048"/>
      <w:r>
        <w:rPr>
          <w:szCs w:val="21"/>
        </w:rPr>
        <w:t>任何责任。</w:t>
      </w:r>
    </w:p>
    <w:p>
      <w:pPr>
        <w:pStyle w:val="6"/>
        <w:spacing w:line="240" w:lineRule="auto"/>
        <w:ind w:firstLine="137"/>
        <w:rPr>
          <w:rFonts w:ascii="Times New Roman"/>
        </w:rPr>
      </w:pPr>
      <w:bookmarkStart w:id="39" w:name="_Toc482188561"/>
      <w:bookmarkStart w:id="40" w:name="_Toc19802"/>
      <w:r>
        <w:rPr>
          <w:rFonts w:ascii="Times New Roman"/>
        </w:rPr>
        <w:t>2</w:t>
      </w:r>
      <w:bookmarkEnd w:id="32"/>
      <w:bookmarkEnd w:id="33"/>
      <w:bookmarkEnd w:id="34"/>
      <w:bookmarkEnd w:id="35"/>
      <w:bookmarkEnd w:id="36"/>
      <w:bookmarkEnd w:id="37"/>
      <w:bookmarkEnd w:id="38"/>
      <w:r>
        <w:rPr>
          <w:rFonts w:ascii="Times New Roman"/>
        </w:rPr>
        <w:t>.2</w:t>
      </w:r>
      <w:bookmarkStart w:id="41" w:name="_Toc247527651"/>
      <w:bookmarkStart w:id="42" w:name="_Toc247514050"/>
      <w:bookmarkStart w:id="43" w:name="_Toc300835049"/>
      <w:bookmarkStart w:id="44" w:name="_Toc247527654"/>
      <w:bookmarkStart w:id="45" w:name="_Toc385942919"/>
      <w:bookmarkStart w:id="46" w:name="_Toc247514053"/>
      <w:bookmarkStart w:id="47" w:name="_Toc300835052"/>
      <w:bookmarkStart w:id="48" w:name="_Toc370281723"/>
      <w:r>
        <w:rPr>
          <w:rFonts w:ascii="Times New Roman"/>
        </w:rPr>
        <w:t xml:space="preserve"> </w:t>
      </w:r>
      <w:r>
        <w:rPr>
          <w:rFonts w:hint="eastAsia" w:ascii="Times New Roman"/>
        </w:rPr>
        <w:t>发出开始</w:t>
      </w:r>
      <w:r>
        <w:rPr>
          <w:rFonts w:hint="eastAsia" w:ascii="Times New Roman"/>
          <w:szCs w:val="21"/>
        </w:rPr>
        <w:t>监理</w:t>
      </w:r>
      <w:r>
        <w:rPr>
          <w:rFonts w:hint="eastAsia" w:ascii="Times New Roman"/>
        </w:rPr>
        <w:t>通</w:t>
      </w:r>
      <w:bookmarkEnd w:id="41"/>
      <w:bookmarkEnd w:id="42"/>
      <w:bookmarkEnd w:id="43"/>
      <w:r>
        <w:rPr>
          <w:rFonts w:hint="eastAsia" w:ascii="Times New Roman"/>
        </w:rPr>
        <w:t>知</w:t>
      </w:r>
      <w:bookmarkEnd w:id="39"/>
      <w:bookmarkEnd w:id="40"/>
    </w:p>
    <w:p>
      <w:pPr>
        <w:spacing w:line="360" w:lineRule="auto"/>
        <w:ind w:firstLine="420" w:firstLineChars="200"/>
        <w:rPr>
          <w:szCs w:val="21"/>
        </w:rPr>
      </w:pPr>
      <w:r>
        <w:rPr>
          <w:szCs w:val="21"/>
        </w:rPr>
        <w:t>委托人应按第</w:t>
      </w:r>
      <w:r>
        <w:rPr>
          <w:rFonts w:hint="eastAsia"/>
          <w:szCs w:val="21"/>
        </w:rPr>
        <w:t>6</w:t>
      </w:r>
      <w:r>
        <w:rPr>
          <w:szCs w:val="21"/>
        </w:rPr>
        <w:t>.1款的约定向</w:t>
      </w:r>
      <w:r>
        <w:rPr>
          <w:rFonts w:hint="eastAsia"/>
          <w:szCs w:val="21"/>
        </w:rPr>
        <w:t>监理</w:t>
      </w:r>
      <w:r>
        <w:rPr>
          <w:szCs w:val="21"/>
        </w:rPr>
        <w:t>人发出开始</w:t>
      </w:r>
      <w:r>
        <w:rPr>
          <w:rFonts w:hint="eastAsia"/>
          <w:szCs w:val="21"/>
        </w:rPr>
        <w:t>监理</w:t>
      </w:r>
      <w:r>
        <w:rPr>
          <w:szCs w:val="21"/>
        </w:rPr>
        <w:t>通知。</w:t>
      </w:r>
    </w:p>
    <w:p>
      <w:pPr>
        <w:spacing w:line="360" w:lineRule="auto"/>
        <w:ind w:firstLine="420" w:firstLineChars="200"/>
        <w:rPr>
          <w:szCs w:val="21"/>
        </w:rPr>
      </w:pPr>
      <w:r>
        <w:rPr>
          <w:rFonts w:ascii="宋体" w:hAnsi="宋体" w:cs="宋体"/>
        </w:rPr>
        <w:t>除专用合同条款另有约定外，委托人应为监理人的现场人员，在施工期间提供办公房间、办公桌椅、互联网接口、冷暖设施、生活设施、进出现场交通服务和其他便利条件。</w:t>
      </w:r>
    </w:p>
    <w:p>
      <w:pPr>
        <w:pStyle w:val="6"/>
        <w:spacing w:line="240" w:lineRule="auto"/>
        <w:ind w:firstLine="137"/>
        <w:rPr>
          <w:rFonts w:ascii="Times New Roman"/>
        </w:rPr>
      </w:pPr>
      <w:bookmarkStart w:id="49" w:name="_Toc26639"/>
      <w:bookmarkStart w:id="50" w:name="_Toc482188562"/>
      <w:r>
        <w:rPr>
          <w:rFonts w:ascii="Times New Roman"/>
        </w:rPr>
        <w:t>2.</w:t>
      </w:r>
      <w:bookmarkStart w:id="51" w:name="_Toc247514052"/>
      <w:bookmarkStart w:id="52" w:name="_Toc247527653"/>
      <w:bookmarkStart w:id="53" w:name="_Toc300835051"/>
      <w:r>
        <w:rPr>
          <w:rFonts w:ascii="Times New Roman"/>
        </w:rPr>
        <w:t xml:space="preserve">3 </w:t>
      </w:r>
      <w:r>
        <w:rPr>
          <w:rFonts w:hint="eastAsia" w:ascii="Times New Roman"/>
        </w:rPr>
        <w:t>办理证件</w:t>
      </w:r>
      <w:bookmarkEnd w:id="51"/>
      <w:bookmarkEnd w:id="52"/>
      <w:bookmarkEnd w:id="53"/>
      <w:r>
        <w:rPr>
          <w:rFonts w:hint="eastAsia" w:ascii="Times New Roman"/>
        </w:rPr>
        <w:t>和批件</w:t>
      </w:r>
      <w:bookmarkEnd w:id="49"/>
      <w:bookmarkEnd w:id="50"/>
    </w:p>
    <w:p>
      <w:pPr>
        <w:spacing w:line="360" w:lineRule="auto"/>
        <w:ind w:firstLine="420" w:firstLineChars="200"/>
        <w:rPr>
          <w:szCs w:val="21"/>
        </w:rPr>
      </w:pPr>
      <w:r>
        <w:rPr>
          <w:szCs w:val="21"/>
        </w:rPr>
        <w:t>法律规定和（或）合同约定由委托人负责办理的工程建设项目必须履行的各类审批、核准或备案手续，委托人应当按时办理，</w:t>
      </w:r>
      <w:r>
        <w:rPr>
          <w:rFonts w:hint="eastAsia"/>
          <w:szCs w:val="21"/>
        </w:rPr>
        <w:t>监理</w:t>
      </w:r>
      <w:r>
        <w:rPr>
          <w:szCs w:val="21"/>
        </w:rPr>
        <w:t>人应给予必要的协助。</w:t>
      </w:r>
    </w:p>
    <w:p>
      <w:pPr>
        <w:spacing w:line="360" w:lineRule="auto"/>
        <w:ind w:firstLine="420" w:firstLineChars="200"/>
        <w:rPr>
          <w:szCs w:val="21"/>
        </w:rPr>
      </w:pPr>
      <w:r>
        <w:rPr>
          <w:szCs w:val="21"/>
        </w:rPr>
        <w:t>法律规定和（或）合同约定由</w:t>
      </w:r>
      <w:r>
        <w:rPr>
          <w:rFonts w:hint="eastAsia"/>
          <w:szCs w:val="21"/>
        </w:rPr>
        <w:t>监理</w:t>
      </w:r>
      <w:r>
        <w:rPr>
          <w:szCs w:val="21"/>
        </w:rPr>
        <w:t>人负责办理的</w:t>
      </w:r>
      <w:r>
        <w:rPr>
          <w:rFonts w:hint="eastAsia"/>
          <w:szCs w:val="21"/>
        </w:rPr>
        <w:t>监理</w:t>
      </w:r>
      <w:r>
        <w:rPr>
          <w:szCs w:val="21"/>
        </w:rPr>
        <w:t>所需的证件和批件，委托人应给予必要的协助。</w:t>
      </w:r>
    </w:p>
    <w:p>
      <w:pPr>
        <w:pStyle w:val="6"/>
        <w:spacing w:line="240" w:lineRule="auto"/>
        <w:ind w:firstLine="137"/>
        <w:rPr>
          <w:rFonts w:ascii="Times New Roman"/>
        </w:rPr>
      </w:pPr>
      <w:bookmarkStart w:id="54" w:name="_Toc4073"/>
      <w:bookmarkStart w:id="55" w:name="_Toc482188563"/>
      <w:r>
        <w:rPr>
          <w:rFonts w:ascii="Times New Roman"/>
        </w:rPr>
        <w:t xml:space="preserve">2.4 </w:t>
      </w:r>
      <w:r>
        <w:rPr>
          <w:rFonts w:hint="eastAsia" w:ascii="Times New Roman"/>
        </w:rPr>
        <w:t>支付合同价款</w:t>
      </w:r>
      <w:bookmarkEnd w:id="54"/>
      <w:bookmarkEnd w:id="55"/>
    </w:p>
    <w:p>
      <w:pPr>
        <w:spacing w:line="360" w:lineRule="auto"/>
        <w:ind w:firstLine="420" w:firstLineChars="200"/>
        <w:rPr>
          <w:szCs w:val="21"/>
        </w:rPr>
      </w:pPr>
      <w:r>
        <w:rPr>
          <w:szCs w:val="21"/>
        </w:rPr>
        <w:t>委托人应按合同约定向</w:t>
      </w:r>
      <w:r>
        <w:rPr>
          <w:rFonts w:hint="eastAsia"/>
          <w:szCs w:val="21"/>
        </w:rPr>
        <w:t>监理</w:t>
      </w:r>
      <w:r>
        <w:rPr>
          <w:szCs w:val="21"/>
        </w:rPr>
        <w:t>人及时支付合同价款。</w:t>
      </w:r>
    </w:p>
    <w:p>
      <w:pPr>
        <w:pStyle w:val="6"/>
        <w:spacing w:line="240" w:lineRule="auto"/>
        <w:ind w:firstLine="137"/>
        <w:rPr>
          <w:rFonts w:ascii="Times New Roman"/>
        </w:rPr>
      </w:pPr>
      <w:bookmarkStart w:id="56" w:name="_Toc482188564"/>
      <w:bookmarkStart w:id="57" w:name="_Toc13597"/>
      <w:bookmarkStart w:id="58" w:name="_Toc474833987"/>
      <w:r>
        <w:rPr>
          <w:rFonts w:ascii="Times New Roman"/>
        </w:rPr>
        <w:t xml:space="preserve">2.5 </w:t>
      </w:r>
      <w:r>
        <w:rPr>
          <w:rFonts w:hint="eastAsia" w:ascii="Times New Roman"/>
        </w:rPr>
        <w:t>提供</w:t>
      </w:r>
      <w:r>
        <w:rPr>
          <w:rFonts w:hint="eastAsia" w:ascii="Times New Roman"/>
          <w:szCs w:val="21"/>
        </w:rPr>
        <w:t>监理</w:t>
      </w:r>
      <w:r>
        <w:rPr>
          <w:rFonts w:hint="eastAsia" w:ascii="Times New Roman"/>
        </w:rPr>
        <w:t>资料</w:t>
      </w:r>
      <w:bookmarkEnd w:id="56"/>
      <w:bookmarkEnd w:id="57"/>
      <w:bookmarkEnd w:id="58"/>
    </w:p>
    <w:p>
      <w:pPr>
        <w:spacing w:line="360" w:lineRule="auto"/>
        <w:ind w:firstLine="420" w:firstLineChars="200"/>
        <w:rPr>
          <w:szCs w:val="21"/>
        </w:rPr>
      </w:pPr>
      <w:r>
        <w:rPr>
          <w:szCs w:val="21"/>
        </w:rPr>
        <w:t>委托人应按第1.6.2项的约定向</w:t>
      </w:r>
      <w:r>
        <w:rPr>
          <w:rFonts w:hint="eastAsia"/>
          <w:szCs w:val="21"/>
        </w:rPr>
        <w:t>监理</w:t>
      </w:r>
      <w:r>
        <w:rPr>
          <w:szCs w:val="21"/>
        </w:rPr>
        <w:t>人提供</w:t>
      </w:r>
      <w:r>
        <w:rPr>
          <w:rFonts w:hint="eastAsia"/>
          <w:szCs w:val="21"/>
        </w:rPr>
        <w:t>监理</w:t>
      </w:r>
      <w:r>
        <w:rPr>
          <w:szCs w:val="21"/>
        </w:rPr>
        <w:t>资料。</w:t>
      </w:r>
    </w:p>
    <w:bookmarkEnd w:id="44"/>
    <w:bookmarkEnd w:id="45"/>
    <w:bookmarkEnd w:id="46"/>
    <w:bookmarkEnd w:id="47"/>
    <w:bookmarkEnd w:id="48"/>
    <w:p>
      <w:pPr>
        <w:pStyle w:val="6"/>
        <w:spacing w:line="240" w:lineRule="auto"/>
        <w:ind w:firstLine="137"/>
        <w:rPr>
          <w:rFonts w:ascii="Times New Roman"/>
        </w:rPr>
      </w:pPr>
      <w:bookmarkStart w:id="59" w:name="_Toc482188565"/>
      <w:bookmarkStart w:id="60" w:name="_Toc8486"/>
      <w:r>
        <w:rPr>
          <w:rFonts w:ascii="Times New Roman"/>
        </w:rPr>
        <w:t xml:space="preserve">2.6 </w:t>
      </w:r>
      <w:r>
        <w:rPr>
          <w:rFonts w:hint="eastAsia" w:ascii="Times New Roman"/>
        </w:rPr>
        <w:t>其他义务</w:t>
      </w:r>
      <w:bookmarkEnd w:id="59"/>
      <w:bookmarkEnd w:id="60"/>
    </w:p>
    <w:p>
      <w:pPr>
        <w:spacing w:line="360" w:lineRule="auto"/>
        <w:ind w:firstLine="420" w:firstLineChars="200"/>
        <w:rPr>
          <w:szCs w:val="21"/>
        </w:rPr>
      </w:pPr>
      <w:r>
        <w:rPr>
          <w:szCs w:val="21"/>
        </w:rPr>
        <w:t>委托人应履行合同约定的其他义务</w:t>
      </w:r>
      <w:bookmarkStart w:id="61" w:name="_Toc370281728"/>
      <w:bookmarkStart w:id="62" w:name="_Toc385942924"/>
      <w:r>
        <w:rPr>
          <w:szCs w:val="21"/>
        </w:rPr>
        <w:t>。</w:t>
      </w:r>
    </w:p>
    <w:p>
      <w:pPr>
        <w:pStyle w:val="5"/>
        <w:rPr>
          <w:rFonts w:ascii="Times New Roman" w:hAnsi="Times New Roman"/>
        </w:rPr>
      </w:pPr>
      <w:bookmarkStart w:id="63" w:name="_Toc482188566"/>
      <w:bookmarkStart w:id="64" w:name="_Toc29774"/>
      <w:r>
        <w:rPr>
          <w:rFonts w:ascii="Times New Roman" w:hAnsi="Times New Roman"/>
        </w:rPr>
        <w:t>3. 委托人管</w:t>
      </w:r>
      <w:bookmarkEnd w:id="61"/>
      <w:bookmarkEnd w:id="62"/>
      <w:r>
        <w:rPr>
          <w:rFonts w:ascii="Times New Roman" w:hAnsi="Times New Roman"/>
        </w:rPr>
        <w:t>理</w:t>
      </w:r>
      <w:bookmarkEnd w:id="63"/>
      <w:bookmarkEnd w:id="64"/>
    </w:p>
    <w:p>
      <w:pPr>
        <w:pStyle w:val="6"/>
        <w:spacing w:line="240" w:lineRule="auto"/>
        <w:ind w:firstLine="137"/>
        <w:rPr>
          <w:rFonts w:ascii="Times New Roman"/>
        </w:rPr>
      </w:pPr>
      <w:bookmarkStart w:id="65" w:name="_Toc30335"/>
      <w:bookmarkStart w:id="66" w:name="_Toc482188567"/>
      <w:r>
        <w:rPr>
          <w:rFonts w:ascii="Times New Roman"/>
        </w:rPr>
        <w:t xml:space="preserve">3.1 </w:t>
      </w:r>
      <w:r>
        <w:rPr>
          <w:rFonts w:hint="eastAsia" w:ascii="Times New Roman"/>
        </w:rPr>
        <w:t>委托人代表</w:t>
      </w:r>
      <w:bookmarkEnd w:id="65"/>
      <w:bookmarkEnd w:id="66"/>
    </w:p>
    <w:p>
      <w:pPr>
        <w:spacing w:line="360" w:lineRule="auto"/>
        <w:ind w:firstLine="420" w:firstLineChars="200"/>
      </w:pPr>
      <w:r>
        <w:t>3.1.1除专用合同条款</w:t>
      </w:r>
      <w:bookmarkStart w:id="67" w:name="_Toc247527658"/>
      <w:bookmarkStart w:id="68" w:name="_Toc247514057"/>
      <w:bookmarkStart w:id="69" w:name="_Toc385942925"/>
      <w:bookmarkStart w:id="70" w:name="_Toc370281729"/>
      <w:bookmarkStart w:id="71" w:name="_Toc300835055"/>
      <w:r>
        <w:t>另有约定外，</w:t>
      </w:r>
      <w:bookmarkEnd w:id="67"/>
      <w:bookmarkEnd w:id="68"/>
      <w:bookmarkEnd w:id="69"/>
      <w:bookmarkEnd w:id="70"/>
      <w:bookmarkEnd w:id="71"/>
      <w:r>
        <w:t>委托人应在合同签订后14天内，将委托人代</w:t>
      </w:r>
      <w:bookmarkStart w:id="72" w:name="_Toc184635100"/>
      <w:bookmarkStart w:id="73" w:name="_Toc247514058"/>
      <w:bookmarkStart w:id="74" w:name="_Toc300835056"/>
      <w:bookmarkStart w:id="75" w:name="_Toc247527659"/>
      <w:r>
        <w:t>表的姓名、职</w:t>
      </w:r>
      <w:bookmarkEnd w:id="72"/>
      <w:bookmarkEnd w:id="73"/>
      <w:bookmarkEnd w:id="74"/>
      <w:bookmarkEnd w:id="75"/>
      <w:r>
        <w:t>务、联</w:t>
      </w:r>
      <w:bookmarkStart w:id="76" w:name="_Toc351203511"/>
      <w:r>
        <w:t>系方式、授权范围和</w:t>
      </w:r>
      <w:bookmarkEnd w:id="76"/>
      <w:r>
        <w:t>授权期限书面通知</w:t>
      </w:r>
      <w:r>
        <w:rPr>
          <w:rFonts w:hint="eastAsia"/>
          <w:szCs w:val="21"/>
        </w:rPr>
        <w:t>监理</w:t>
      </w:r>
      <w:r>
        <w:t>人，由委托人代表在其授权范围和授权期限内，代表委托人行使权利、履行义务和处理合同履行中的具体事宜。委托人代表在授权范围内的行为由委托人承担法律责任。</w:t>
      </w:r>
    </w:p>
    <w:p>
      <w:pPr>
        <w:spacing w:line="360" w:lineRule="auto"/>
        <w:ind w:firstLine="420" w:firstLineChars="200"/>
      </w:pPr>
      <w:r>
        <w:t>3.1.2委托人代表违反法律法规、违背职业道德守则或者不按合同约定履行职责及义务，导致合同无法继续正常履行的，</w:t>
      </w:r>
      <w:r>
        <w:rPr>
          <w:rFonts w:hint="eastAsia"/>
          <w:szCs w:val="21"/>
        </w:rPr>
        <w:t>监理</w:t>
      </w:r>
      <w:r>
        <w:t>人有权通知委托人更换委托人代表。委托人收到通知后7天内，应当核实完毕并将处理结果通知</w:t>
      </w:r>
      <w:r>
        <w:rPr>
          <w:rFonts w:hint="eastAsia"/>
          <w:szCs w:val="21"/>
        </w:rPr>
        <w:t>监理</w:t>
      </w:r>
      <w:r>
        <w:t>人。</w:t>
      </w:r>
    </w:p>
    <w:p>
      <w:pPr>
        <w:spacing w:line="360" w:lineRule="auto"/>
        <w:ind w:firstLine="420" w:firstLineChars="200"/>
      </w:pPr>
      <w:r>
        <w:t>3.1.3 委托人更换委托人代表的，应提前14天将更换人员的姓名、职务、联系方式、授权范围和授权期限书面通知</w:t>
      </w:r>
      <w:r>
        <w:rPr>
          <w:rFonts w:hint="eastAsia"/>
          <w:szCs w:val="21"/>
        </w:rPr>
        <w:t>监理</w:t>
      </w:r>
      <w:r>
        <w:t>人。</w:t>
      </w:r>
      <w:r>
        <w:rPr>
          <w:rFonts w:ascii="宋体" w:hAnsi="宋体" w:cs="宋体"/>
        </w:rPr>
        <w:t xml:space="preserve">委托人代表超过 </w:t>
      </w:r>
      <w:r>
        <w:rPr>
          <w:rFonts w:eastAsia="Times New Roman"/>
        </w:rPr>
        <w:t xml:space="preserve">2 </w:t>
      </w:r>
      <w:r>
        <w:rPr>
          <w:rFonts w:ascii="宋体" w:hAnsi="宋体" w:cs="宋体"/>
        </w:rPr>
        <w:t>天不能履行职责的，应委派代表代行其职责，并通知监理人。</w:t>
      </w:r>
    </w:p>
    <w:p>
      <w:pPr>
        <w:pStyle w:val="6"/>
        <w:spacing w:line="240" w:lineRule="auto"/>
        <w:ind w:firstLine="137"/>
        <w:rPr>
          <w:rFonts w:ascii="Times New Roman"/>
        </w:rPr>
      </w:pPr>
      <w:bookmarkStart w:id="77" w:name="_Toc482188569"/>
      <w:bookmarkStart w:id="78" w:name="_Toc30875"/>
      <w:r>
        <w:rPr>
          <w:rFonts w:ascii="Times New Roman"/>
        </w:rPr>
        <w:t>3.</w:t>
      </w:r>
      <w:r>
        <w:rPr>
          <w:rFonts w:hint="eastAsia" w:ascii="Times New Roman"/>
        </w:rPr>
        <w:t>2</w:t>
      </w:r>
      <w:r>
        <w:rPr>
          <w:rFonts w:ascii="Times New Roman"/>
        </w:rPr>
        <w:t xml:space="preserve"> </w:t>
      </w:r>
      <w:r>
        <w:rPr>
          <w:rFonts w:hint="eastAsia" w:ascii="Times New Roman"/>
        </w:rPr>
        <w:t>委托人的指示</w:t>
      </w:r>
      <w:bookmarkEnd w:id="77"/>
      <w:bookmarkEnd w:id="78"/>
    </w:p>
    <w:p>
      <w:pPr>
        <w:spacing w:line="360" w:lineRule="auto"/>
        <w:ind w:firstLine="420"/>
      </w:pPr>
      <w:r>
        <w:t xml:space="preserve">3.2.1 委托人应按合同约定向监理人发出指示，委托人的指示应盖有委托人单位章，并由委托人代表签字确认。 </w:t>
      </w:r>
    </w:p>
    <w:p>
      <w:pPr>
        <w:spacing w:line="360" w:lineRule="auto"/>
        <w:ind w:firstLine="420"/>
      </w:pPr>
      <w:r>
        <w:t xml:space="preserve">3.2.2 监理人收到委托人作出的指示后应遵照执行。指示构成变更的，应按第 8 条执行。 </w:t>
      </w:r>
    </w:p>
    <w:p>
      <w:pPr>
        <w:spacing w:line="360" w:lineRule="auto"/>
        <w:ind w:firstLine="420"/>
      </w:pPr>
      <w:r>
        <w:t xml:space="preserve">3.2.3 在紧急情况下，委托人代表或其授权人员可以当场签发临时书面指示，监理人应遵照执行。委托人代表应在临时书面指示发出后 24 小时内发出书面确认函，逾期未发出书面确认函的，该临时书面指示应被视为委托人的正式指示。 </w:t>
      </w:r>
    </w:p>
    <w:p>
      <w:pPr>
        <w:spacing w:line="360" w:lineRule="auto"/>
        <w:ind w:firstLine="420"/>
        <w:rPr>
          <w:szCs w:val="21"/>
        </w:rPr>
      </w:pPr>
      <w:r>
        <w:t>3.2.4 由于委托人未能按合同约定发出指示、指示延误或指示错误而导致监理人费用增加和（或）周期延误的，委托人应承担由此增加的费用和（或）周期延误。</w:t>
      </w:r>
    </w:p>
    <w:p>
      <w:pPr>
        <w:pStyle w:val="6"/>
        <w:spacing w:line="240" w:lineRule="auto"/>
        <w:ind w:firstLine="137"/>
        <w:rPr>
          <w:rFonts w:ascii="Times New Roman"/>
        </w:rPr>
      </w:pPr>
      <w:bookmarkStart w:id="79" w:name="_Toc482188570"/>
      <w:bookmarkStart w:id="80" w:name="_Toc9517"/>
      <w:r>
        <w:rPr>
          <w:rFonts w:ascii="Times New Roman"/>
        </w:rPr>
        <w:t>3.</w:t>
      </w:r>
      <w:r>
        <w:rPr>
          <w:rFonts w:hint="eastAsia" w:ascii="Times New Roman"/>
        </w:rPr>
        <w:t>3</w:t>
      </w:r>
      <w:r>
        <w:rPr>
          <w:rFonts w:ascii="Times New Roman"/>
        </w:rPr>
        <w:t xml:space="preserve"> </w:t>
      </w:r>
      <w:r>
        <w:rPr>
          <w:rFonts w:hint="eastAsia" w:ascii="Times New Roman"/>
        </w:rPr>
        <w:t>决定或答复</w:t>
      </w:r>
      <w:bookmarkEnd w:id="79"/>
      <w:bookmarkEnd w:id="80"/>
    </w:p>
    <w:p>
      <w:pPr>
        <w:spacing w:line="360" w:lineRule="auto"/>
        <w:ind w:firstLine="420" w:firstLineChars="200"/>
        <w:rPr>
          <w:szCs w:val="21"/>
        </w:rPr>
      </w:pPr>
      <w:bookmarkStart w:id="81" w:name="_Toc184635101"/>
      <w:bookmarkStart w:id="82" w:name="_Toc385942926"/>
      <w:bookmarkStart w:id="83" w:name="_Toc300835062"/>
      <w:bookmarkStart w:id="84" w:name="_Toc247514064"/>
      <w:bookmarkStart w:id="85" w:name="_Toc385592088"/>
      <w:bookmarkStart w:id="86" w:name="_Toc247527665"/>
      <w:bookmarkStart w:id="87" w:name="_Toc370281730"/>
      <w:r>
        <w:rPr>
          <w:szCs w:val="21"/>
        </w:rPr>
        <w:t xml:space="preserve">3.3.1 委托人在法律允许的范围内有权对监理人的监理工作和/或监理文件作出处理决定，监理人应按照委托人的决定执行，涉及监理服务期限或监理报酬等问题按第 8 条的约定处理。 </w:t>
      </w:r>
    </w:p>
    <w:p>
      <w:pPr>
        <w:spacing w:line="360" w:lineRule="auto"/>
        <w:ind w:firstLine="420" w:firstLineChars="200"/>
        <w:rPr>
          <w:szCs w:val="21"/>
        </w:rPr>
      </w:pPr>
      <w:r>
        <w:rPr>
          <w:szCs w:val="21"/>
        </w:rPr>
        <w:t>3.3.2 委托人应在专用合同条款约定的时间之内，对监理人书面提出的事项作出书面答复；逾期没有做出答复的，视为已获得委托人的批准。</w:t>
      </w:r>
    </w:p>
    <w:p>
      <w:pPr>
        <w:pStyle w:val="5"/>
        <w:rPr>
          <w:rFonts w:ascii="Times New Roman" w:hAnsi="Times New Roman"/>
        </w:rPr>
      </w:pPr>
      <w:bookmarkStart w:id="88" w:name="_Toc482188571"/>
      <w:bookmarkStart w:id="89" w:name="_Toc24569"/>
      <w:r>
        <w:rPr>
          <w:rFonts w:ascii="Times New Roman" w:hAnsi="Times New Roman"/>
        </w:rPr>
        <w:t xml:space="preserve">4. </w:t>
      </w:r>
      <w:r>
        <w:rPr>
          <w:rFonts w:hint="eastAsia" w:ascii="Times New Roman" w:hAnsi="Times New Roman"/>
          <w:szCs w:val="21"/>
        </w:rPr>
        <w:t>监理</w:t>
      </w:r>
      <w:r>
        <w:rPr>
          <w:rFonts w:ascii="Times New Roman" w:hAnsi="Times New Roman"/>
        </w:rPr>
        <w:t>人义务</w:t>
      </w:r>
      <w:bookmarkEnd w:id="88"/>
      <w:bookmarkEnd w:id="89"/>
    </w:p>
    <w:p>
      <w:pPr>
        <w:pStyle w:val="6"/>
        <w:spacing w:line="240" w:lineRule="auto"/>
        <w:ind w:firstLine="137"/>
        <w:rPr>
          <w:rFonts w:ascii="Times New Roman"/>
        </w:rPr>
      </w:pPr>
      <w:bookmarkStart w:id="90" w:name="_Toc482188572"/>
      <w:bookmarkStart w:id="91" w:name="_Toc8830"/>
      <w:r>
        <w:rPr>
          <w:rFonts w:ascii="Times New Roman"/>
        </w:rPr>
        <w:t xml:space="preserve">4.1 </w:t>
      </w:r>
      <w:r>
        <w:rPr>
          <w:rFonts w:hint="eastAsia" w:ascii="Times New Roman"/>
          <w:szCs w:val="21"/>
        </w:rPr>
        <w:t>监理</w:t>
      </w:r>
      <w:r>
        <w:rPr>
          <w:rFonts w:hint="eastAsia" w:ascii="Times New Roman"/>
        </w:rPr>
        <w:t>人的一般义务</w:t>
      </w:r>
      <w:bookmarkEnd w:id="90"/>
      <w:bookmarkEnd w:id="91"/>
    </w:p>
    <w:p>
      <w:pPr>
        <w:spacing w:line="360" w:lineRule="auto"/>
        <w:ind w:firstLine="422" w:firstLineChars="200"/>
        <w:rPr>
          <w:b/>
          <w:szCs w:val="21"/>
        </w:rPr>
      </w:pPr>
      <w:r>
        <w:rPr>
          <w:b/>
        </w:rPr>
        <w:t xml:space="preserve">4.1.1 </w:t>
      </w:r>
      <w:r>
        <w:rPr>
          <w:b/>
          <w:szCs w:val="21"/>
        </w:rPr>
        <w:t>遵守法律</w:t>
      </w:r>
    </w:p>
    <w:p>
      <w:pPr>
        <w:spacing w:line="360" w:lineRule="auto"/>
        <w:ind w:firstLine="420" w:firstLineChars="200"/>
        <w:rPr>
          <w:szCs w:val="21"/>
        </w:rPr>
      </w:pPr>
      <w:r>
        <w:rPr>
          <w:rFonts w:hint="eastAsia"/>
          <w:szCs w:val="21"/>
        </w:rPr>
        <w:t>监理</w:t>
      </w:r>
      <w:r>
        <w:rPr>
          <w:szCs w:val="21"/>
        </w:rPr>
        <w:t>人在履行合同过程中应遵守法律，并保证委托人免于承担因</w:t>
      </w:r>
      <w:bookmarkEnd w:id="81"/>
      <w:bookmarkEnd w:id="82"/>
      <w:bookmarkEnd w:id="83"/>
      <w:bookmarkEnd w:id="84"/>
      <w:bookmarkEnd w:id="85"/>
      <w:bookmarkEnd w:id="86"/>
      <w:bookmarkEnd w:id="87"/>
      <w:r>
        <w:rPr>
          <w:rFonts w:hint="eastAsia"/>
          <w:szCs w:val="21"/>
        </w:rPr>
        <w:t>监理</w:t>
      </w:r>
      <w:r>
        <w:rPr>
          <w:szCs w:val="21"/>
        </w:rPr>
        <w:t>人</w:t>
      </w:r>
      <w:bookmarkStart w:id="92" w:name="_Toc370281731"/>
      <w:bookmarkStart w:id="93" w:name="_Toc300835063"/>
      <w:bookmarkStart w:id="94" w:name="_Toc247527666"/>
      <w:bookmarkStart w:id="95" w:name="_Toc385942927"/>
      <w:bookmarkStart w:id="96" w:name="_Toc247514065"/>
      <w:r>
        <w:rPr>
          <w:szCs w:val="21"/>
        </w:rPr>
        <w:t>违反法律而引起的任何责任。</w:t>
      </w:r>
    </w:p>
    <w:bookmarkEnd w:id="92"/>
    <w:bookmarkEnd w:id="93"/>
    <w:bookmarkEnd w:id="94"/>
    <w:bookmarkEnd w:id="95"/>
    <w:bookmarkEnd w:id="96"/>
    <w:p>
      <w:pPr>
        <w:spacing w:line="360" w:lineRule="auto"/>
        <w:ind w:firstLine="422" w:firstLineChars="200"/>
        <w:rPr>
          <w:b/>
          <w:szCs w:val="21"/>
        </w:rPr>
      </w:pPr>
      <w:r>
        <w:rPr>
          <w:b/>
        </w:rPr>
        <w:t xml:space="preserve">4.1.2 </w:t>
      </w:r>
      <w:r>
        <w:rPr>
          <w:b/>
          <w:szCs w:val="21"/>
        </w:rPr>
        <w:t>依法纳税</w:t>
      </w:r>
    </w:p>
    <w:p>
      <w:pPr>
        <w:spacing w:line="360" w:lineRule="auto"/>
        <w:ind w:firstLine="420" w:firstLineChars="200"/>
        <w:rPr>
          <w:szCs w:val="21"/>
        </w:rPr>
      </w:pPr>
      <w:r>
        <w:rPr>
          <w:rFonts w:hint="eastAsia"/>
          <w:szCs w:val="21"/>
        </w:rPr>
        <w:t>监理</w:t>
      </w:r>
      <w:r>
        <w:rPr>
          <w:szCs w:val="21"/>
        </w:rPr>
        <w:t>人应按有关法律规定纳税，应缴纳的税金（含增值税）包括在合同价格之中。</w:t>
      </w:r>
    </w:p>
    <w:p>
      <w:pPr>
        <w:spacing w:line="360" w:lineRule="auto"/>
        <w:ind w:firstLine="422" w:firstLineChars="200"/>
        <w:rPr>
          <w:b/>
          <w:szCs w:val="21"/>
        </w:rPr>
      </w:pPr>
      <w:r>
        <w:rPr>
          <w:b/>
        </w:rPr>
        <w:t xml:space="preserve">4.1.3 </w:t>
      </w:r>
      <w:r>
        <w:rPr>
          <w:b/>
          <w:szCs w:val="21"/>
        </w:rPr>
        <w:t>完成全部</w:t>
      </w:r>
      <w:r>
        <w:rPr>
          <w:rFonts w:hint="eastAsia"/>
          <w:b/>
          <w:szCs w:val="21"/>
        </w:rPr>
        <w:t>监理</w:t>
      </w:r>
      <w:r>
        <w:rPr>
          <w:b/>
          <w:szCs w:val="21"/>
        </w:rPr>
        <w:t>工作</w:t>
      </w:r>
    </w:p>
    <w:p>
      <w:pPr>
        <w:spacing w:line="360" w:lineRule="auto"/>
        <w:ind w:firstLine="420" w:firstLineChars="200"/>
        <w:rPr>
          <w:szCs w:val="21"/>
        </w:rPr>
      </w:pPr>
      <w:r>
        <w:rPr>
          <w:szCs w:val="21"/>
        </w:rPr>
        <w:t>监理人应按合同约定以及委托人要求，完成合同约定的全部工作，并对工作中的任何缺陷进行整改，使其满足合同约定的目的。</w:t>
      </w:r>
    </w:p>
    <w:p>
      <w:pPr>
        <w:spacing w:line="360" w:lineRule="auto"/>
        <w:ind w:firstLine="422" w:firstLineChars="200"/>
        <w:rPr>
          <w:b/>
          <w:szCs w:val="21"/>
        </w:rPr>
      </w:pPr>
      <w:r>
        <w:rPr>
          <w:b/>
        </w:rPr>
        <w:t>4.1.</w:t>
      </w:r>
      <w:r>
        <w:rPr>
          <w:rFonts w:hint="eastAsia"/>
          <w:b/>
        </w:rPr>
        <w:t>4</w:t>
      </w:r>
      <w:r>
        <w:rPr>
          <w:b/>
        </w:rPr>
        <w:t xml:space="preserve"> </w:t>
      </w:r>
      <w:r>
        <w:rPr>
          <w:b/>
          <w:szCs w:val="21"/>
        </w:rPr>
        <w:t>其他义务</w:t>
      </w:r>
    </w:p>
    <w:p>
      <w:pPr>
        <w:spacing w:line="360" w:lineRule="auto"/>
        <w:ind w:firstLine="420" w:firstLineChars="200"/>
      </w:pPr>
      <w:r>
        <w:rPr>
          <w:rFonts w:hint="eastAsia"/>
          <w:szCs w:val="21"/>
        </w:rPr>
        <w:t>监理</w:t>
      </w:r>
      <w:r>
        <w:rPr>
          <w:szCs w:val="21"/>
        </w:rPr>
        <w:t>人应履行合同约定的其他义务。</w:t>
      </w:r>
    </w:p>
    <w:p>
      <w:pPr>
        <w:pStyle w:val="6"/>
        <w:spacing w:line="240" w:lineRule="auto"/>
        <w:ind w:firstLine="137"/>
        <w:rPr>
          <w:rFonts w:ascii="Times New Roman"/>
        </w:rPr>
      </w:pPr>
      <w:bookmarkStart w:id="97" w:name="_Toc382920065"/>
      <w:bookmarkStart w:id="98" w:name="_Toc13239"/>
      <w:bookmarkStart w:id="99" w:name="_Toc485303383"/>
      <w:bookmarkStart w:id="100" w:name="_Toc9444"/>
      <w:bookmarkStart w:id="101" w:name="_Toc482188573"/>
      <w:bookmarkStart w:id="102" w:name="_Toc300835075"/>
      <w:bookmarkStart w:id="103" w:name="_Toc247527677"/>
      <w:bookmarkStart w:id="104" w:name="_Toc247514076"/>
      <w:bookmarkStart w:id="105" w:name="_Toc300835076"/>
      <w:r>
        <w:rPr>
          <w:rFonts w:ascii="Times New Roman"/>
        </w:rPr>
        <w:t xml:space="preserve">4.2 </w:t>
      </w:r>
      <w:r>
        <w:rPr>
          <w:rFonts w:hint="eastAsia" w:ascii="Times New Roman"/>
        </w:rPr>
        <w:t>履约保证金</w:t>
      </w:r>
      <w:bookmarkEnd w:id="97"/>
      <w:bookmarkEnd w:id="98"/>
      <w:bookmarkEnd w:id="99"/>
      <w:bookmarkEnd w:id="100"/>
    </w:p>
    <w:p>
      <w:pPr>
        <w:spacing w:line="360" w:lineRule="auto"/>
        <w:ind w:firstLine="420" w:firstLineChars="200"/>
        <w:rPr>
          <w:szCs w:val="21"/>
        </w:rPr>
      </w:pPr>
      <w:r>
        <w:rPr>
          <w:rFonts w:hint="eastAsia" w:ascii="宋体" w:hAnsi="宋体" w:cs="宋体"/>
        </w:rPr>
        <w:t>监理人在合同签订后28日内按照合同价的</w:t>
      </w:r>
      <w:r>
        <w:rPr>
          <w:rFonts w:hint="eastAsia" w:ascii="宋体" w:hAnsi="宋体" w:cs="宋体"/>
          <w:u w:val="single"/>
        </w:rPr>
        <w:t>10%</w:t>
      </w:r>
      <w:r>
        <w:rPr>
          <w:rFonts w:hint="eastAsia" w:ascii="宋体" w:hAnsi="宋体" w:cs="宋体"/>
        </w:rPr>
        <w:t>向发包人提交履约担保。履约担保形式：</w:t>
      </w:r>
      <w:r>
        <w:rPr>
          <w:rFonts w:hint="eastAsia" w:ascii="宋体" w:hAnsi="宋体" w:cs="宋体"/>
          <w:u w:val="single"/>
        </w:rPr>
        <w:t>保函、保险。</w:t>
      </w:r>
      <w:r>
        <w:rPr>
          <w:rFonts w:hint="eastAsia" w:ascii="宋体" w:hAnsi="宋体" w:cs="宋体"/>
        </w:rPr>
        <w:t>如果监理人不履行合同约定的义务或其履行不符合合同的约定，委托人有权扣划相应金额的履约保证金。</w:t>
      </w:r>
    </w:p>
    <w:bookmarkEnd w:id="101"/>
    <w:p>
      <w:pPr>
        <w:pStyle w:val="6"/>
        <w:spacing w:line="240" w:lineRule="auto"/>
        <w:ind w:firstLine="137"/>
        <w:rPr>
          <w:rFonts w:ascii="Times New Roman"/>
        </w:rPr>
      </w:pPr>
      <w:bookmarkStart w:id="106" w:name="_Toc6083"/>
      <w:bookmarkStart w:id="107" w:name="_Toc482188574"/>
      <w:r>
        <w:rPr>
          <w:rFonts w:ascii="Times New Roman"/>
        </w:rPr>
        <w:t>4.</w:t>
      </w:r>
      <w:r>
        <w:rPr>
          <w:rFonts w:hint="eastAsia" w:ascii="Times New Roman"/>
        </w:rPr>
        <w:t>3</w:t>
      </w:r>
      <w:r>
        <w:rPr>
          <w:rFonts w:ascii="Times New Roman"/>
        </w:rPr>
        <w:t xml:space="preserve"> </w:t>
      </w:r>
      <w:r>
        <w:rPr>
          <w:rFonts w:hint="eastAsia" w:ascii="Times New Roman"/>
        </w:rPr>
        <w:t>联合体</w:t>
      </w:r>
      <w:bookmarkEnd w:id="106"/>
      <w:bookmarkEnd w:id="107"/>
    </w:p>
    <w:p>
      <w:pPr>
        <w:spacing w:line="360" w:lineRule="auto"/>
        <w:ind w:firstLine="420" w:firstLineChars="200"/>
      </w:pPr>
      <w:r>
        <w:t xml:space="preserve">4.3.1 联合体各方应共同与委托人签订合同。联合体各方应为履行合同承担连带责任。 </w:t>
      </w:r>
    </w:p>
    <w:p>
      <w:pPr>
        <w:spacing w:line="360" w:lineRule="auto"/>
        <w:ind w:firstLine="420" w:firstLineChars="200"/>
      </w:pPr>
      <w:r>
        <w:t xml:space="preserve">4.3.2 联合体协议经委托人确认后作为合同附件。在履行合同过程中，未经委托人同意，不得修改联合体协议。 </w:t>
      </w:r>
    </w:p>
    <w:p>
      <w:pPr>
        <w:spacing w:line="360" w:lineRule="auto"/>
        <w:ind w:firstLine="420" w:firstLineChars="200"/>
        <w:rPr>
          <w:szCs w:val="21"/>
        </w:rPr>
      </w:pPr>
      <w:r>
        <w:t>4.3.3 联合体牵头人或联合体授权的代表负责与委托人联系，并接受指示，负责组织联合体各成员全面履行合同。</w:t>
      </w:r>
    </w:p>
    <w:p>
      <w:pPr>
        <w:pStyle w:val="6"/>
        <w:spacing w:line="240" w:lineRule="auto"/>
        <w:ind w:firstLine="137"/>
        <w:rPr>
          <w:rFonts w:ascii="Times New Roman"/>
        </w:rPr>
      </w:pPr>
      <w:bookmarkStart w:id="108" w:name="_Toc482188575"/>
      <w:bookmarkStart w:id="109" w:name="_Toc2341"/>
      <w:r>
        <w:rPr>
          <w:rFonts w:ascii="Times New Roman"/>
        </w:rPr>
        <w:t>4.</w:t>
      </w:r>
      <w:r>
        <w:rPr>
          <w:rFonts w:hint="eastAsia" w:ascii="Times New Roman"/>
        </w:rPr>
        <w:t>4</w:t>
      </w:r>
      <w:r>
        <w:rPr>
          <w:rFonts w:ascii="Times New Roman"/>
        </w:rPr>
        <w:t xml:space="preserve"> </w:t>
      </w:r>
      <w:r>
        <w:rPr>
          <w:rFonts w:hint="eastAsia" w:ascii="Times New Roman"/>
        </w:rPr>
        <w:t>总监理工程师</w:t>
      </w:r>
      <w:bookmarkEnd w:id="108"/>
      <w:bookmarkEnd w:id="109"/>
    </w:p>
    <w:p>
      <w:pPr>
        <w:spacing w:line="360" w:lineRule="auto"/>
        <w:ind w:firstLine="420" w:firstLineChars="200"/>
      </w:pPr>
      <w:bookmarkStart w:id="110" w:name="_Toc482188576"/>
      <w:r>
        <w:t>4.4.1 监理人应按合同协议书的约定指派总监理工程师，并在约定的期限内到职。监理人更换总监理工程师应事先征得委托人同意，并应在更换 14 天前将拟更换的总监理工程师的姓名和详细资料提交委托人。总监理工程师</w:t>
      </w:r>
      <w:r>
        <w:rPr>
          <w:rFonts w:hint="eastAsia"/>
          <w:lang w:val="en-US" w:eastAsia="zh-CN"/>
        </w:rPr>
        <w:t>超过</w:t>
      </w:r>
      <w:r>
        <w:t xml:space="preserve">2 天不能履行职责的，应事先征得委托人同意，并委派代表代行其职责。 </w:t>
      </w:r>
    </w:p>
    <w:p>
      <w:pPr>
        <w:spacing w:line="360" w:lineRule="auto"/>
        <w:ind w:firstLine="420" w:firstLineChars="200"/>
      </w:pPr>
      <w:r>
        <w:t xml:space="preserve">4.4.2 总监理工程师应按合同约定以及委托人要求，负责组织合同工作的实施。在情况紧急且无法与委托人取得联系时，可采取保证工程和人员生命财产安全的紧急措施，并在采取措施后 24 小时内向委托人提交书面报告。 </w:t>
      </w:r>
    </w:p>
    <w:p>
      <w:pPr>
        <w:spacing w:line="360" w:lineRule="auto"/>
        <w:ind w:firstLine="420" w:firstLineChars="200"/>
      </w:pPr>
      <w:r>
        <w:t xml:space="preserve">4.4.3 监理人为履行合同发出的一切函件均应盖有监理人单位章或由监理人授权的项目机构章，并由监理人的总监理工程师签字确认。 </w:t>
      </w:r>
    </w:p>
    <w:p>
      <w:pPr>
        <w:spacing w:line="360" w:lineRule="auto"/>
        <w:ind w:firstLine="420" w:firstLineChars="200"/>
        <w:rPr>
          <w:szCs w:val="21"/>
        </w:rPr>
      </w:pPr>
      <w:r>
        <w:t>4.4.4 按照专用合同条款约定，总监理工程师可以授权其下属人员履行其某项职责，但事先应将这些人员的姓名和授权范围书面通知委托人和承包人。</w:t>
      </w:r>
    </w:p>
    <w:p>
      <w:pPr>
        <w:pStyle w:val="6"/>
        <w:spacing w:line="240" w:lineRule="auto"/>
        <w:ind w:firstLine="137"/>
        <w:rPr>
          <w:rFonts w:ascii="Times New Roman"/>
        </w:rPr>
      </w:pPr>
      <w:bookmarkStart w:id="111" w:name="_Toc28272"/>
      <w:r>
        <w:rPr>
          <w:rFonts w:ascii="Times New Roman"/>
        </w:rPr>
        <w:t>4.</w:t>
      </w:r>
      <w:r>
        <w:rPr>
          <w:rFonts w:hint="eastAsia" w:ascii="Times New Roman"/>
        </w:rPr>
        <w:t>5</w:t>
      </w:r>
      <w:r>
        <w:rPr>
          <w:rFonts w:ascii="Times New Roman"/>
        </w:rPr>
        <w:t xml:space="preserve"> </w:t>
      </w:r>
      <w:r>
        <w:rPr>
          <w:rFonts w:hint="eastAsia" w:ascii="Times New Roman"/>
          <w:szCs w:val="21"/>
        </w:rPr>
        <w:t>监理</w:t>
      </w:r>
      <w:r>
        <w:rPr>
          <w:rFonts w:hint="eastAsia" w:ascii="Times New Roman"/>
        </w:rPr>
        <w:t>人员的管理</w:t>
      </w:r>
      <w:bookmarkEnd w:id="110"/>
      <w:bookmarkEnd w:id="111"/>
    </w:p>
    <w:p>
      <w:pPr>
        <w:spacing w:line="360" w:lineRule="auto"/>
        <w:ind w:firstLine="420" w:firstLineChars="200"/>
      </w:pPr>
      <w:r>
        <w:t xml:space="preserve">4.5.1 </w:t>
      </w:r>
      <w:r>
        <w:rPr>
          <w:rFonts w:hint="eastAsia"/>
        </w:rPr>
        <w:t>监理人应在接到开始监理通知之日起 7 天内，向委托人提交监理项目机构以及人员安排的报告，其内容应包括项目机构设置、主要监理人员的名单及资格条件</w:t>
      </w:r>
      <w:r>
        <w:t xml:space="preserve">。主要监理人员应相对稳定，更换主要监理人员的，应取得委托人的同意,并向委托人提交继任人员的资格、管理经验等资料。总监理工程师的更换，应按照本章第 4.4.1 项规定执行。 </w:t>
      </w:r>
    </w:p>
    <w:p>
      <w:pPr>
        <w:spacing w:line="360" w:lineRule="auto"/>
        <w:ind w:firstLine="420" w:firstLineChars="200"/>
      </w:pPr>
      <w:r>
        <w:t xml:space="preserve">4.5.2 除专用合同条款另有约定外，主要监理人员包括总监理工程师、专业监理工程师等；其他人员包括各专业的监理员、资料员等。 </w:t>
      </w:r>
    </w:p>
    <w:p>
      <w:pPr>
        <w:spacing w:line="360" w:lineRule="auto"/>
        <w:ind w:firstLine="420" w:firstLineChars="200"/>
      </w:pPr>
      <w:r>
        <w:t xml:space="preserve">4.5.3 监理人应保证其主要监理人员在合同期限内的任何时候，都能按时参加委托人组织的工作会议。 </w:t>
      </w:r>
    </w:p>
    <w:p>
      <w:pPr>
        <w:spacing w:line="360" w:lineRule="auto"/>
        <w:ind w:firstLine="420" w:firstLineChars="200"/>
        <w:rPr>
          <w:szCs w:val="21"/>
        </w:rPr>
      </w:pPr>
      <w:r>
        <w:t>4.5.4 国家规定应当持证上岗的工作人员均应持有相应的资格证明，委托人有权随时检查。委托人认为有必要时，可以进行现场考核。</w:t>
      </w:r>
    </w:p>
    <w:p>
      <w:pPr>
        <w:pStyle w:val="6"/>
        <w:spacing w:line="240" w:lineRule="auto"/>
        <w:ind w:firstLine="137"/>
        <w:rPr>
          <w:rFonts w:ascii="Times New Roman"/>
        </w:rPr>
      </w:pPr>
      <w:bookmarkStart w:id="112" w:name="_Toc3047"/>
      <w:bookmarkStart w:id="113" w:name="_Toc482188577"/>
      <w:r>
        <w:rPr>
          <w:rFonts w:ascii="Times New Roman"/>
        </w:rPr>
        <w:t>4.</w:t>
      </w:r>
      <w:r>
        <w:rPr>
          <w:rFonts w:hint="eastAsia" w:ascii="Times New Roman"/>
        </w:rPr>
        <w:t>6</w:t>
      </w:r>
      <w:r>
        <w:rPr>
          <w:rFonts w:ascii="Times New Roman"/>
        </w:rPr>
        <w:t xml:space="preserve"> </w:t>
      </w:r>
      <w:r>
        <w:rPr>
          <w:rFonts w:hint="eastAsia" w:ascii="Times New Roman"/>
        </w:rPr>
        <w:t>撤换总监理工程师和其他人员</w:t>
      </w:r>
      <w:bookmarkEnd w:id="112"/>
      <w:bookmarkEnd w:id="113"/>
    </w:p>
    <w:p>
      <w:pPr>
        <w:spacing w:line="360" w:lineRule="auto"/>
        <w:ind w:firstLine="420" w:firstLineChars="200"/>
        <w:rPr>
          <w:szCs w:val="21"/>
        </w:rPr>
      </w:pPr>
      <w:r>
        <w:rPr>
          <w:rFonts w:hint="eastAsia"/>
          <w:szCs w:val="21"/>
        </w:rPr>
        <w:t>监理人应对其总监理工程师和其他人员进行有效管理。委托人要求撤换不能胜任本职工作、行为不端或玩忽职守的总监理工程师和其他人员的，监理人应予以撤换。</w:t>
      </w:r>
    </w:p>
    <w:p>
      <w:pPr>
        <w:pStyle w:val="6"/>
        <w:spacing w:line="240" w:lineRule="auto"/>
        <w:ind w:firstLine="137"/>
        <w:rPr>
          <w:rFonts w:ascii="Times New Roman"/>
        </w:rPr>
      </w:pPr>
      <w:bookmarkStart w:id="114" w:name="_Toc7787"/>
      <w:bookmarkStart w:id="115" w:name="_Toc482188578"/>
      <w:r>
        <w:rPr>
          <w:rFonts w:ascii="Times New Roman"/>
        </w:rPr>
        <w:t>4.</w:t>
      </w:r>
      <w:r>
        <w:rPr>
          <w:rFonts w:hint="eastAsia" w:ascii="Times New Roman"/>
        </w:rPr>
        <w:t>7</w:t>
      </w:r>
      <w:r>
        <w:rPr>
          <w:rFonts w:ascii="Times New Roman"/>
        </w:rPr>
        <w:t xml:space="preserve"> </w:t>
      </w:r>
      <w:r>
        <w:rPr>
          <w:rFonts w:hint="eastAsia" w:ascii="Times New Roman"/>
        </w:rPr>
        <w:t>保障人员的合法权益</w:t>
      </w:r>
      <w:bookmarkEnd w:id="114"/>
      <w:bookmarkEnd w:id="115"/>
    </w:p>
    <w:p>
      <w:pPr>
        <w:spacing w:line="360" w:lineRule="auto"/>
        <w:ind w:firstLine="420" w:firstLineChars="200"/>
      </w:pPr>
      <w:r>
        <w:t xml:space="preserve">4.7.1 监理人应与其雇佣的人员签订劳动合同，并按时发放工资。 </w:t>
      </w:r>
    </w:p>
    <w:p>
      <w:pPr>
        <w:spacing w:line="360" w:lineRule="auto"/>
        <w:ind w:firstLine="420" w:firstLineChars="200"/>
      </w:pPr>
      <w:r>
        <w:t xml:space="preserve">4.7.2 监理人应按劳动法的规定安排工作时间，保证其雇佣人员享有休息和休假的权利。因监理需要占用休假日或延长工作时间的，应不超过法律规定的限度，并按法律规定给予补休或付酬。 </w:t>
      </w:r>
    </w:p>
    <w:p>
      <w:pPr>
        <w:spacing w:line="360" w:lineRule="auto"/>
        <w:ind w:firstLine="420" w:firstLineChars="200"/>
        <w:rPr>
          <w:szCs w:val="21"/>
        </w:rPr>
      </w:pPr>
      <w:r>
        <w:t>4.7.3 监理人应按有关法律规定和合同约定，为其雇佣人员办理保险。</w:t>
      </w:r>
    </w:p>
    <w:p>
      <w:pPr>
        <w:pStyle w:val="6"/>
        <w:spacing w:line="240" w:lineRule="auto"/>
        <w:ind w:firstLine="137"/>
        <w:rPr>
          <w:rFonts w:ascii="Times New Roman"/>
        </w:rPr>
      </w:pPr>
      <w:bookmarkStart w:id="116" w:name="_Toc482188579"/>
      <w:bookmarkStart w:id="117" w:name="_Toc27991"/>
      <w:r>
        <w:rPr>
          <w:rFonts w:ascii="Times New Roman"/>
        </w:rPr>
        <w:t>4.</w:t>
      </w:r>
      <w:r>
        <w:rPr>
          <w:rFonts w:hint="eastAsia" w:ascii="Times New Roman"/>
        </w:rPr>
        <w:t>8</w:t>
      </w:r>
      <w:r>
        <w:rPr>
          <w:rFonts w:ascii="Times New Roman"/>
        </w:rPr>
        <w:t xml:space="preserve"> </w:t>
      </w:r>
      <w:r>
        <w:rPr>
          <w:rFonts w:hint="eastAsia" w:ascii="Times New Roman"/>
        </w:rPr>
        <w:t>合同价款应专款专用</w:t>
      </w:r>
      <w:bookmarkEnd w:id="116"/>
      <w:bookmarkEnd w:id="117"/>
    </w:p>
    <w:p>
      <w:pPr>
        <w:spacing w:line="360" w:lineRule="auto"/>
        <w:ind w:firstLine="420" w:firstLineChars="200"/>
        <w:rPr>
          <w:szCs w:val="21"/>
        </w:rPr>
      </w:pPr>
      <w:r>
        <w:rPr>
          <w:szCs w:val="21"/>
        </w:rPr>
        <w:t>委托人按合同约定支付给</w:t>
      </w:r>
      <w:r>
        <w:rPr>
          <w:rFonts w:hint="eastAsia"/>
          <w:szCs w:val="21"/>
        </w:rPr>
        <w:t>监理</w:t>
      </w:r>
      <w:r>
        <w:rPr>
          <w:szCs w:val="21"/>
        </w:rPr>
        <w:t>人的各项价款，应专用于合同</w:t>
      </w:r>
      <w:r>
        <w:rPr>
          <w:rFonts w:hint="eastAsia"/>
          <w:szCs w:val="21"/>
        </w:rPr>
        <w:t>监理</w:t>
      </w:r>
      <w:r>
        <w:rPr>
          <w:szCs w:val="21"/>
        </w:rPr>
        <w:t>工作。</w:t>
      </w:r>
    </w:p>
    <w:bookmarkEnd w:id="102"/>
    <w:bookmarkEnd w:id="103"/>
    <w:bookmarkEnd w:id="104"/>
    <w:p>
      <w:pPr>
        <w:pStyle w:val="5"/>
        <w:rPr>
          <w:rFonts w:ascii="Times New Roman" w:hAnsi="Times New Roman"/>
        </w:rPr>
      </w:pPr>
      <w:bookmarkStart w:id="118" w:name="_Toc482188580"/>
      <w:bookmarkStart w:id="119" w:name="_Toc22429"/>
      <w:r>
        <w:rPr>
          <w:rFonts w:ascii="Times New Roman" w:hAnsi="Times New Roman"/>
        </w:rPr>
        <w:t xml:space="preserve">5. </w:t>
      </w:r>
      <w:r>
        <w:rPr>
          <w:rFonts w:hint="eastAsia" w:ascii="Times New Roman" w:hAnsi="Times New Roman"/>
          <w:szCs w:val="21"/>
        </w:rPr>
        <w:t>监理</w:t>
      </w:r>
      <w:r>
        <w:rPr>
          <w:rFonts w:ascii="Times New Roman" w:hAnsi="Times New Roman"/>
        </w:rPr>
        <w:t>要求</w:t>
      </w:r>
      <w:bookmarkEnd w:id="118"/>
      <w:bookmarkEnd w:id="119"/>
    </w:p>
    <w:p>
      <w:pPr>
        <w:pStyle w:val="6"/>
        <w:spacing w:line="240" w:lineRule="auto"/>
        <w:ind w:firstLine="137"/>
        <w:rPr>
          <w:rFonts w:ascii="Times New Roman"/>
        </w:rPr>
      </w:pPr>
      <w:bookmarkStart w:id="120" w:name="_Toc5217"/>
      <w:bookmarkStart w:id="121" w:name="_Toc482188581"/>
      <w:r>
        <w:rPr>
          <w:rFonts w:ascii="Times New Roman"/>
        </w:rPr>
        <w:t>5.1监理范围</w:t>
      </w:r>
      <w:bookmarkEnd w:id="120"/>
      <w:bookmarkEnd w:id="121"/>
    </w:p>
    <w:p>
      <w:pPr>
        <w:spacing w:line="360" w:lineRule="auto"/>
        <w:ind w:firstLine="420" w:firstLineChars="200"/>
        <w:rPr>
          <w:szCs w:val="21"/>
        </w:rPr>
      </w:pPr>
      <w:r>
        <w:rPr>
          <w:szCs w:val="21"/>
        </w:rPr>
        <w:t xml:space="preserve">5.1.1 本合同的监理范围包括工程范围、阶段范围和工作范围，具体监理范围应当根据三者之间的关联内容进行确定。 </w:t>
      </w:r>
    </w:p>
    <w:p>
      <w:pPr>
        <w:spacing w:line="360" w:lineRule="auto"/>
        <w:ind w:firstLine="420" w:firstLineChars="200"/>
        <w:rPr>
          <w:szCs w:val="21"/>
        </w:rPr>
      </w:pPr>
      <w:r>
        <w:rPr>
          <w:szCs w:val="21"/>
        </w:rPr>
        <w:t xml:space="preserve">5.1.2 工程范围指所监理工程的建设内容，具体范围在专用合同条款中约定。 </w:t>
      </w:r>
    </w:p>
    <w:p>
      <w:pPr>
        <w:spacing w:line="360" w:lineRule="auto"/>
        <w:ind w:firstLine="420" w:firstLineChars="200"/>
        <w:rPr>
          <w:szCs w:val="21"/>
        </w:rPr>
      </w:pPr>
      <w:r>
        <w:rPr>
          <w:szCs w:val="21"/>
        </w:rPr>
        <w:t xml:space="preserve">5.1.3 阶段范围指工程建设程序中的勘察阶段、设计阶段、施工阶段、缺陷责任期及保修阶段中的一个或者多个阶段，具体范围在专用合同条款中约定。 </w:t>
      </w:r>
    </w:p>
    <w:p>
      <w:pPr>
        <w:spacing w:line="360" w:lineRule="auto"/>
        <w:ind w:firstLine="420" w:firstLineChars="200"/>
        <w:rPr>
          <w:szCs w:val="21"/>
        </w:rPr>
      </w:pPr>
      <w:r>
        <w:rPr>
          <w:szCs w:val="21"/>
        </w:rPr>
        <w:t>5.1.4 工作范围指监理工作中的质量控制、进度控制、投资控制、合同管理、信息管理、组织协调和安全监理、环保监理中的一项或者多项工作，具体范围在专用合同条款中约定。</w:t>
      </w:r>
    </w:p>
    <w:p>
      <w:pPr>
        <w:pStyle w:val="6"/>
        <w:spacing w:line="240" w:lineRule="auto"/>
        <w:ind w:firstLine="137"/>
        <w:rPr>
          <w:rFonts w:ascii="Times New Roman"/>
        </w:rPr>
      </w:pPr>
      <w:bookmarkStart w:id="122" w:name="_Toc482188582"/>
      <w:bookmarkStart w:id="123" w:name="_Toc10560"/>
      <w:r>
        <w:rPr>
          <w:rFonts w:ascii="Times New Roman"/>
        </w:rPr>
        <w:t xml:space="preserve">5.2 </w:t>
      </w:r>
      <w:r>
        <w:rPr>
          <w:rFonts w:hint="eastAsia" w:ascii="Times New Roman"/>
          <w:szCs w:val="21"/>
        </w:rPr>
        <w:t>监理</w:t>
      </w:r>
      <w:r>
        <w:rPr>
          <w:rFonts w:hint="eastAsia" w:ascii="Times New Roman"/>
        </w:rPr>
        <w:t>依据</w:t>
      </w:r>
      <w:bookmarkEnd w:id="122"/>
      <w:bookmarkEnd w:id="123"/>
    </w:p>
    <w:p>
      <w:pPr>
        <w:spacing w:line="360" w:lineRule="auto"/>
        <w:ind w:firstLine="420" w:firstLineChars="200"/>
        <w:rPr>
          <w:szCs w:val="21"/>
        </w:rPr>
      </w:pPr>
      <w:r>
        <w:rPr>
          <w:szCs w:val="21"/>
        </w:rPr>
        <w:t>除专用合同条款另有约定外，本工程的</w:t>
      </w:r>
      <w:r>
        <w:rPr>
          <w:rFonts w:hint="eastAsia"/>
          <w:szCs w:val="21"/>
        </w:rPr>
        <w:t>监理</w:t>
      </w:r>
      <w:r>
        <w:rPr>
          <w:szCs w:val="21"/>
        </w:rPr>
        <w:t>依据如下：</w:t>
      </w:r>
    </w:p>
    <w:p>
      <w:pPr>
        <w:spacing w:line="360" w:lineRule="auto"/>
        <w:ind w:firstLine="420" w:firstLineChars="200"/>
        <w:rPr>
          <w:szCs w:val="21"/>
        </w:rPr>
      </w:pPr>
      <w:r>
        <w:rPr>
          <w:szCs w:val="21"/>
        </w:rPr>
        <w:t>（1）适用的法律、行政法规及部门规章；</w:t>
      </w:r>
    </w:p>
    <w:p>
      <w:pPr>
        <w:spacing w:line="360" w:lineRule="auto"/>
        <w:ind w:firstLine="420" w:firstLineChars="200"/>
        <w:rPr>
          <w:szCs w:val="21"/>
        </w:rPr>
      </w:pPr>
      <w:r>
        <w:rPr>
          <w:szCs w:val="21"/>
        </w:rPr>
        <w:t>（2）与工程有关的规范、标准、规程；</w:t>
      </w:r>
    </w:p>
    <w:p>
      <w:pPr>
        <w:spacing w:line="360" w:lineRule="auto"/>
        <w:ind w:firstLine="420" w:firstLineChars="200"/>
        <w:rPr>
          <w:szCs w:val="21"/>
        </w:rPr>
      </w:pPr>
      <w:r>
        <w:rPr>
          <w:szCs w:val="21"/>
        </w:rPr>
        <w:t>（3）</w:t>
      </w:r>
      <w:r>
        <w:rPr>
          <w:rFonts w:ascii="宋体" w:hAnsi="宋体" w:cs="宋体"/>
        </w:rPr>
        <w:t>工程勘察文件、设计文件及其他文件</w:t>
      </w:r>
      <w:r>
        <w:rPr>
          <w:szCs w:val="21"/>
        </w:rPr>
        <w:t>；</w:t>
      </w:r>
    </w:p>
    <w:p>
      <w:pPr>
        <w:spacing w:line="360" w:lineRule="auto"/>
        <w:ind w:firstLine="420" w:firstLineChars="200"/>
        <w:rPr>
          <w:szCs w:val="21"/>
        </w:rPr>
      </w:pPr>
      <w:r>
        <w:rPr>
          <w:szCs w:val="21"/>
        </w:rPr>
        <w:t>（4）</w:t>
      </w:r>
      <w:r>
        <w:rPr>
          <w:rFonts w:ascii="宋体" w:hAnsi="宋体" w:cs="宋体"/>
        </w:rPr>
        <w:t>本工程监理的委托合同及补充合同</w:t>
      </w:r>
      <w:r>
        <w:rPr>
          <w:szCs w:val="21"/>
        </w:rPr>
        <w:t>；</w:t>
      </w:r>
    </w:p>
    <w:p>
      <w:pPr>
        <w:spacing w:line="360" w:lineRule="auto"/>
        <w:ind w:firstLine="420" w:firstLineChars="200"/>
        <w:rPr>
          <w:szCs w:val="21"/>
        </w:rPr>
      </w:pPr>
      <w:r>
        <w:rPr>
          <w:szCs w:val="21"/>
        </w:rPr>
        <w:t>（5）</w:t>
      </w:r>
      <w:r>
        <w:rPr>
          <w:rFonts w:ascii="宋体" w:hAnsi="宋体" w:cs="宋体"/>
        </w:rPr>
        <w:t>委托人签订的勘察、设计和施工承包合同</w:t>
      </w:r>
      <w:r>
        <w:rPr>
          <w:szCs w:val="21"/>
        </w:rPr>
        <w:t>；</w:t>
      </w:r>
    </w:p>
    <w:p>
      <w:pPr>
        <w:spacing w:line="360" w:lineRule="auto"/>
        <w:ind w:firstLine="420" w:firstLineChars="200"/>
        <w:rPr>
          <w:szCs w:val="21"/>
        </w:rPr>
      </w:pPr>
      <w:r>
        <w:rPr>
          <w:szCs w:val="21"/>
        </w:rPr>
        <w:t>（6）合同履行中与</w:t>
      </w:r>
      <w:r>
        <w:rPr>
          <w:rFonts w:hint="eastAsia"/>
          <w:szCs w:val="21"/>
        </w:rPr>
        <w:t>监理</w:t>
      </w:r>
      <w:r>
        <w:rPr>
          <w:szCs w:val="21"/>
        </w:rPr>
        <w:t>服务有关的来往函件；</w:t>
      </w:r>
    </w:p>
    <w:p>
      <w:pPr>
        <w:spacing w:line="360" w:lineRule="auto"/>
        <w:ind w:firstLine="420" w:firstLineChars="200"/>
        <w:rPr>
          <w:szCs w:val="21"/>
        </w:rPr>
      </w:pPr>
      <w:r>
        <w:rPr>
          <w:szCs w:val="21"/>
        </w:rPr>
        <w:t>（7）其他</w:t>
      </w:r>
      <w:r>
        <w:rPr>
          <w:rFonts w:hint="eastAsia"/>
          <w:szCs w:val="21"/>
        </w:rPr>
        <w:t>监理</w:t>
      </w:r>
      <w:r>
        <w:rPr>
          <w:szCs w:val="21"/>
        </w:rPr>
        <w:t>依据。</w:t>
      </w:r>
    </w:p>
    <w:p>
      <w:pPr>
        <w:pStyle w:val="6"/>
        <w:spacing w:line="240" w:lineRule="auto"/>
        <w:ind w:firstLine="137"/>
        <w:rPr>
          <w:rFonts w:ascii="Times New Roman"/>
        </w:rPr>
      </w:pPr>
      <w:bookmarkStart w:id="124" w:name="_Toc482188583"/>
      <w:bookmarkStart w:id="125" w:name="_Toc3920"/>
      <w:r>
        <w:rPr>
          <w:rFonts w:ascii="Times New Roman"/>
        </w:rPr>
        <w:t xml:space="preserve">5.3 </w:t>
      </w:r>
      <w:r>
        <w:rPr>
          <w:rFonts w:hint="eastAsia" w:ascii="Times New Roman"/>
          <w:szCs w:val="21"/>
        </w:rPr>
        <w:t>监理</w:t>
      </w:r>
      <w:bookmarkEnd w:id="124"/>
      <w:r>
        <w:rPr>
          <w:rFonts w:hint="eastAsia" w:ascii="Times New Roman"/>
        </w:rPr>
        <w:t>内容</w:t>
      </w:r>
      <w:bookmarkEnd w:id="125"/>
    </w:p>
    <w:p>
      <w:pPr>
        <w:spacing w:line="360" w:lineRule="auto"/>
        <w:ind w:firstLine="420" w:firstLineChars="200"/>
        <w:rPr>
          <w:szCs w:val="21"/>
        </w:rPr>
      </w:pPr>
      <w:bookmarkStart w:id="126" w:name="_Toc482188584"/>
      <w:r>
        <w:rPr>
          <w:rFonts w:hint="eastAsia"/>
          <w:szCs w:val="21"/>
        </w:rPr>
        <w:t xml:space="preserve">除专用条件另有约定外，监理工作内容包括： </w:t>
      </w:r>
    </w:p>
    <w:p>
      <w:pPr>
        <w:spacing w:line="360" w:lineRule="auto"/>
        <w:ind w:firstLine="420" w:firstLineChars="200"/>
        <w:rPr>
          <w:szCs w:val="21"/>
        </w:rPr>
      </w:pPr>
      <w:r>
        <w:rPr>
          <w:rFonts w:hint="eastAsia"/>
          <w:szCs w:val="21"/>
        </w:rPr>
        <w:t xml:space="preserve">（1）收到工程设计文件后编制监理规划，并在第一次工地会议 7 天前报委托人。根据有关规定和监理工作需要，编制监理实施细则； </w:t>
      </w:r>
    </w:p>
    <w:p>
      <w:pPr>
        <w:spacing w:line="360" w:lineRule="auto"/>
        <w:ind w:firstLine="420" w:firstLineChars="200"/>
        <w:rPr>
          <w:szCs w:val="21"/>
        </w:rPr>
      </w:pPr>
      <w:r>
        <w:rPr>
          <w:rFonts w:hint="eastAsia"/>
          <w:szCs w:val="21"/>
        </w:rPr>
        <w:t xml:space="preserve">（2）熟悉工程设计文件，并参加由委托人主持的图纸会审和设计交底会议； </w:t>
      </w:r>
    </w:p>
    <w:p>
      <w:pPr>
        <w:spacing w:line="360" w:lineRule="auto"/>
        <w:ind w:firstLine="420" w:firstLineChars="200"/>
        <w:rPr>
          <w:szCs w:val="21"/>
        </w:rPr>
      </w:pPr>
      <w:r>
        <w:rPr>
          <w:rFonts w:hint="eastAsia"/>
          <w:szCs w:val="21"/>
        </w:rPr>
        <w:t xml:space="preserve">（3）参加由委托人主持的第一次工地会议；主持监理例会并根据工程需要主持或参加专题会议； </w:t>
      </w:r>
    </w:p>
    <w:p>
      <w:pPr>
        <w:spacing w:line="360" w:lineRule="auto"/>
        <w:ind w:firstLine="420" w:firstLineChars="200"/>
        <w:rPr>
          <w:szCs w:val="21"/>
        </w:rPr>
      </w:pPr>
      <w:r>
        <w:rPr>
          <w:rFonts w:hint="eastAsia"/>
          <w:szCs w:val="21"/>
        </w:rPr>
        <w:t xml:space="preserve">（4）审查施工承包人提交的施工组织设计，重点审查其中的质量安全技术措施、专项施工方案与工程建设强制性标准的符合性； </w:t>
      </w:r>
    </w:p>
    <w:p>
      <w:pPr>
        <w:spacing w:line="360" w:lineRule="auto"/>
        <w:ind w:firstLine="420" w:firstLineChars="200"/>
        <w:rPr>
          <w:szCs w:val="21"/>
        </w:rPr>
      </w:pPr>
      <w:r>
        <w:rPr>
          <w:rFonts w:hint="eastAsia"/>
          <w:szCs w:val="21"/>
        </w:rPr>
        <w:t xml:space="preserve">（5）检查施工承包人工程质量、安全生产管理制度及组织机构和人员资格； </w:t>
      </w:r>
    </w:p>
    <w:p>
      <w:pPr>
        <w:spacing w:line="360" w:lineRule="auto"/>
        <w:ind w:firstLine="420" w:firstLineChars="200"/>
        <w:rPr>
          <w:szCs w:val="21"/>
        </w:rPr>
      </w:pPr>
      <w:r>
        <w:rPr>
          <w:rFonts w:hint="eastAsia"/>
          <w:szCs w:val="21"/>
        </w:rPr>
        <w:t xml:space="preserve">（6）检查施工承包人专职安全生产管理人员的配备情况； </w:t>
      </w:r>
    </w:p>
    <w:p>
      <w:pPr>
        <w:spacing w:line="360" w:lineRule="auto"/>
        <w:ind w:firstLine="420" w:firstLineChars="200"/>
        <w:rPr>
          <w:szCs w:val="21"/>
        </w:rPr>
      </w:pPr>
      <w:r>
        <w:rPr>
          <w:rFonts w:hint="eastAsia"/>
          <w:szCs w:val="21"/>
        </w:rPr>
        <w:t xml:space="preserve">（7）审查施工承包人提交的施工进度计划，核查承包人对施工进度计划的调整； </w:t>
      </w:r>
    </w:p>
    <w:p>
      <w:pPr>
        <w:spacing w:line="360" w:lineRule="auto"/>
        <w:ind w:firstLine="420" w:firstLineChars="200"/>
        <w:rPr>
          <w:szCs w:val="21"/>
        </w:rPr>
      </w:pPr>
      <w:r>
        <w:rPr>
          <w:rFonts w:hint="eastAsia"/>
          <w:szCs w:val="21"/>
        </w:rPr>
        <w:t xml:space="preserve">（8）检查施工承包人的试验室； </w:t>
      </w:r>
    </w:p>
    <w:p>
      <w:pPr>
        <w:spacing w:line="360" w:lineRule="auto"/>
        <w:ind w:firstLine="420" w:firstLineChars="200"/>
        <w:rPr>
          <w:szCs w:val="21"/>
        </w:rPr>
      </w:pPr>
      <w:r>
        <w:rPr>
          <w:rFonts w:hint="eastAsia"/>
          <w:szCs w:val="21"/>
        </w:rPr>
        <w:t xml:space="preserve">（9）审核施工分包人资质条件； </w:t>
      </w:r>
    </w:p>
    <w:p>
      <w:pPr>
        <w:spacing w:line="360" w:lineRule="auto"/>
        <w:ind w:firstLine="420" w:firstLineChars="200"/>
        <w:rPr>
          <w:szCs w:val="21"/>
        </w:rPr>
      </w:pPr>
      <w:r>
        <w:rPr>
          <w:rFonts w:hint="eastAsia"/>
          <w:szCs w:val="21"/>
        </w:rPr>
        <w:t xml:space="preserve">（10）查验施工承包人的施工测量放线成果； </w:t>
      </w:r>
    </w:p>
    <w:p>
      <w:pPr>
        <w:spacing w:line="360" w:lineRule="auto"/>
        <w:ind w:firstLine="420" w:firstLineChars="200"/>
        <w:rPr>
          <w:szCs w:val="21"/>
        </w:rPr>
      </w:pPr>
      <w:r>
        <w:rPr>
          <w:rFonts w:hint="eastAsia"/>
          <w:szCs w:val="21"/>
        </w:rPr>
        <w:t xml:space="preserve">（11）审查工程开工条件，对条件具备的签发开工令； </w:t>
      </w:r>
    </w:p>
    <w:p>
      <w:pPr>
        <w:spacing w:line="360" w:lineRule="auto"/>
        <w:ind w:firstLine="420" w:firstLineChars="200"/>
        <w:rPr>
          <w:szCs w:val="21"/>
        </w:rPr>
      </w:pPr>
      <w:r>
        <w:rPr>
          <w:rFonts w:hint="eastAsia"/>
          <w:szCs w:val="21"/>
        </w:rPr>
        <w:t xml:space="preserve">（12）审查施工承包人报送的工程材料、构配件、设备质量证明文件的有效性和符合性，并按规定对用于工程的材料采取平行检验或见证取样方式进行抽检； </w:t>
      </w:r>
    </w:p>
    <w:p>
      <w:pPr>
        <w:spacing w:line="360" w:lineRule="auto"/>
        <w:ind w:firstLine="420" w:firstLineChars="200"/>
        <w:rPr>
          <w:szCs w:val="21"/>
        </w:rPr>
      </w:pPr>
      <w:r>
        <w:rPr>
          <w:rFonts w:hint="eastAsia"/>
          <w:szCs w:val="21"/>
        </w:rPr>
        <w:t xml:space="preserve">（13）审核施工承包人提交的工程款支付申请，签发或出具工程款支付证书，并报委托人审核、批准； </w:t>
      </w:r>
    </w:p>
    <w:p>
      <w:pPr>
        <w:spacing w:line="360" w:lineRule="auto"/>
        <w:ind w:firstLine="420" w:firstLineChars="200"/>
        <w:rPr>
          <w:szCs w:val="21"/>
        </w:rPr>
      </w:pPr>
      <w:r>
        <w:rPr>
          <w:rFonts w:hint="eastAsia"/>
          <w:szCs w:val="21"/>
        </w:rPr>
        <w:t xml:space="preserve">（14）在巡视、旁站和检验过程中，发现工程质量、施工安全存在事故隐患的，要求施工承包人整改并报委托人； </w:t>
      </w:r>
    </w:p>
    <w:p>
      <w:pPr>
        <w:spacing w:line="360" w:lineRule="auto"/>
        <w:ind w:firstLine="420" w:firstLineChars="200"/>
        <w:rPr>
          <w:szCs w:val="21"/>
        </w:rPr>
      </w:pPr>
      <w:r>
        <w:rPr>
          <w:rFonts w:hint="eastAsia"/>
          <w:szCs w:val="21"/>
        </w:rPr>
        <w:t xml:space="preserve">（15）经委托人同意，签发工程暂停令和复工令； </w:t>
      </w:r>
    </w:p>
    <w:p>
      <w:pPr>
        <w:spacing w:line="360" w:lineRule="auto"/>
        <w:ind w:firstLine="420" w:firstLineChars="200"/>
        <w:rPr>
          <w:szCs w:val="21"/>
        </w:rPr>
      </w:pPr>
      <w:r>
        <w:rPr>
          <w:rFonts w:hint="eastAsia"/>
          <w:szCs w:val="21"/>
        </w:rPr>
        <w:t xml:space="preserve">（16）审查施工承包人提交的采用新材料、新工艺、新技术、新设备的论证材料及相关验收标准； </w:t>
      </w:r>
    </w:p>
    <w:p>
      <w:pPr>
        <w:spacing w:line="360" w:lineRule="auto"/>
        <w:ind w:firstLine="420" w:firstLineChars="200"/>
        <w:rPr>
          <w:szCs w:val="21"/>
        </w:rPr>
      </w:pPr>
      <w:r>
        <w:rPr>
          <w:rFonts w:hint="eastAsia"/>
          <w:szCs w:val="21"/>
        </w:rPr>
        <w:t xml:space="preserve">（17）验收隐蔽工程、分部分项工程； </w:t>
      </w:r>
    </w:p>
    <w:p>
      <w:pPr>
        <w:spacing w:line="360" w:lineRule="auto"/>
        <w:ind w:firstLine="420" w:firstLineChars="200"/>
        <w:rPr>
          <w:szCs w:val="21"/>
        </w:rPr>
      </w:pPr>
      <w:r>
        <w:rPr>
          <w:rFonts w:hint="eastAsia"/>
          <w:szCs w:val="21"/>
        </w:rPr>
        <w:t xml:space="preserve">（18）审查施工承包人提交的工程变更申请，协调处理施工进度调整、费用索赔、合同争议等事项； </w:t>
      </w:r>
    </w:p>
    <w:p>
      <w:pPr>
        <w:spacing w:line="360" w:lineRule="auto"/>
        <w:ind w:firstLine="420" w:firstLineChars="200"/>
        <w:rPr>
          <w:szCs w:val="21"/>
        </w:rPr>
      </w:pPr>
      <w:r>
        <w:rPr>
          <w:rFonts w:hint="eastAsia"/>
          <w:szCs w:val="21"/>
        </w:rPr>
        <w:t xml:space="preserve">（19）审查施工承包人提交的竣工验收申请，编写工程质量评估报告； </w:t>
      </w:r>
    </w:p>
    <w:p>
      <w:pPr>
        <w:spacing w:line="360" w:lineRule="auto"/>
        <w:ind w:firstLine="420" w:firstLineChars="200"/>
        <w:rPr>
          <w:szCs w:val="21"/>
        </w:rPr>
      </w:pPr>
      <w:r>
        <w:rPr>
          <w:rFonts w:hint="eastAsia"/>
          <w:szCs w:val="21"/>
        </w:rPr>
        <w:t xml:space="preserve">（20）参加工程竣工验收，签署竣工验收意见； </w:t>
      </w:r>
    </w:p>
    <w:p>
      <w:pPr>
        <w:spacing w:line="360" w:lineRule="auto"/>
        <w:ind w:firstLine="420" w:firstLineChars="200"/>
        <w:rPr>
          <w:szCs w:val="21"/>
        </w:rPr>
      </w:pPr>
      <w:r>
        <w:rPr>
          <w:rFonts w:hint="eastAsia"/>
          <w:szCs w:val="21"/>
        </w:rPr>
        <w:t>（21）审查施工承包人提交的竣工结算申请并报委托人；</w:t>
      </w:r>
    </w:p>
    <w:p>
      <w:pPr>
        <w:spacing w:line="360" w:lineRule="auto"/>
        <w:ind w:firstLine="420" w:firstLineChars="200"/>
        <w:rPr>
          <w:szCs w:val="21"/>
        </w:rPr>
      </w:pPr>
      <w:r>
        <w:rPr>
          <w:rFonts w:hint="eastAsia"/>
          <w:szCs w:val="21"/>
        </w:rPr>
        <w:t>（22）编制、整理工程监理归档文件并报委托人。</w:t>
      </w:r>
    </w:p>
    <w:p>
      <w:pPr>
        <w:pStyle w:val="6"/>
        <w:spacing w:line="240" w:lineRule="auto"/>
        <w:ind w:firstLine="137"/>
        <w:rPr>
          <w:rFonts w:ascii="Times New Roman"/>
        </w:rPr>
      </w:pPr>
      <w:bookmarkStart w:id="127" w:name="_Toc7305"/>
      <w:bookmarkStart w:id="128" w:name="_Toc493082662"/>
      <w:r>
        <w:rPr>
          <w:rFonts w:ascii="Times New Roman"/>
        </w:rPr>
        <w:t xml:space="preserve">5.4 </w:t>
      </w:r>
      <w:r>
        <w:rPr>
          <w:rFonts w:hint="eastAsia" w:ascii="Times New Roman"/>
        </w:rPr>
        <w:t>监理</w:t>
      </w:r>
      <w:r>
        <w:rPr>
          <w:rFonts w:ascii="Times New Roman"/>
        </w:rPr>
        <w:t>要求</w:t>
      </w:r>
      <w:bookmarkEnd w:id="127"/>
      <w:bookmarkEnd w:id="128"/>
    </w:p>
    <w:p>
      <w:pPr>
        <w:spacing w:line="360" w:lineRule="auto"/>
        <w:ind w:firstLine="420" w:firstLineChars="200"/>
        <w:rPr>
          <w:szCs w:val="21"/>
        </w:rPr>
      </w:pPr>
      <w:r>
        <w:rPr>
          <w:szCs w:val="21"/>
        </w:rPr>
        <w:t xml:space="preserve">5.4.1 监理文件的编制应符合法律、规范标准的强制性规定和委托人要求，相关的监理依据应当完整准确，文件内容和相应数据应当真实可靠。 </w:t>
      </w:r>
    </w:p>
    <w:p>
      <w:pPr>
        <w:spacing w:line="360" w:lineRule="auto"/>
        <w:ind w:firstLine="420" w:firstLineChars="200"/>
        <w:rPr>
          <w:szCs w:val="21"/>
        </w:rPr>
      </w:pPr>
      <w:r>
        <w:rPr>
          <w:szCs w:val="21"/>
        </w:rPr>
        <w:t xml:space="preserve">5.4.2 监理文件的深度应满足本阶段相应监理工作的规定要求，满足委托人的下步工作需要，并应符合国家和行业现行规定。 </w:t>
      </w:r>
    </w:p>
    <w:p>
      <w:pPr>
        <w:spacing w:line="360" w:lineRule="auto"/>
        <w:ind w:firstLine="420" w:firstLineChars="200"/>
      </w:pPr>
      <w:r>
        <w:rPr>
          <w:szCs w:val="21"/>
        </w:rPr>
        <w:t>5.4.3 本工程监理文件的具体类别、编制要求、编制内容、提交时间和份数等，在专用合同条款中约定。</w:t>
      </w:r>
    </w:p>
    <w:bookmarkEnd w:id="105"/>
    <w:bookmarkEnd w:id="126"/>
    <w:p>
      <w:pPr>
        <w:pStyle w:val="5"/>
        <w:rPr>
          <w:rFonts w:ascii="Times New Roman" w:hAnsi="Times New Roman"/>
        </w:rPr>
      </w:pPr>
      <w:bookmarkStart w:id="129" w:name="_Toc482188591"/>
      <w:bookmarkStart w:id="130" w:name="_Toc28241"/>
      <w:r>
        <w:rPr>
          <w:rFonts w:ascii="Times New Roman" w:hAnsi="Times New Roman"/>
        </w:rPr>
        <w:t>6. 开始</w:t>
      </w:r>
      <w:r>
        <w:rPr>
          <w:rFonts w:hint="eastAsia" w:ascii="Times New Roman" w:hAnsi="Times New Roman"/>
        </w:rPr>
        <w:t>监理</w:t>
      </w:r>
      <w:r>
        <w:rPr>
          <w:rFonts w:ascii="Times New Roman" w:hAnsi="Times New Roman"/>
        </w:rPr>
        <w:t>和完成</w:t>
      </w:r>
      <w:bookmarkEnd w:id="129"/>
      <w:r>
        <w:rPr>
          <w:rFonts w:hint="eastAsia" w:ascii="Times New Roman" w:hAnsi="Times New Roman"/>
        </w:rPr>
        <w:t>监理</w:t>
      </w:r>
      <w:bookmarkEnd w:id="130"/>
    </w:p>
    <w:p>
      <w:pPr>
        <w:pStyle w:val="6"/>
        <w:spacing w:line="240" w:lineRule="auto"/>
        <w:ind w:firstLine="137"/>
        <w:rPr>
          <w:rFonts w:ascii="Times New Roman"/>
        </w:rPr>
      </w:pPr>
      <w:bookmarkStart w:id="131" w:name="_Toc482188592"/>
      <w:bookmarkStart w:id="132" w:name="_Toc9619"/>
      <w:r>
        <w:rPr>
          <w:rFonts w:ascii="Times New Roman"/>
        </w:rPr>
        <w:t xml:space="preserve">6.1 </w:t>
      </w:r>
      <w:r>
        <w:rPr>
          <w:rFonts w:hint="eastAsia" w:ascii="Times New Roman"/>
        </w:rPr>
        <w:t>开始</w:t>
      </w:r>
      <w:bookmarkEnd w:id="131"/>
      <w:r>
        <w:rPr>
          <w:rFonts w:hint="eastAsia" w:ascii="Times New Roman"/>
        </w:rPr>
        <w:t>监理</w:t>
      </w:r>
      <w:bookmarkEnd w:id="132"/>
    </w:p>
    <w:p>
      <w:pPr>
        <w:spacing w:line="360" w:lineRule="auto"/>
        <w:ind w:firstLine="420" w:firstLineChars="200"/>
        <w:rPr>
          <w:szCs w:val="21"/>
        </w:rPr>
      </w:pPr>
      <w:bookmarkStart w:id="133" w:name="_Toc300835120"/>
      <w:bookmarkStart w:id="134" w:name="_Toc247514117"/>
      <w:bookmarkStart w:id="135" w:name="_Toc247527718"/>
      <w:r>
        <w:rPr>
          <w:szCs w:val="21"/>
        </w:rPr>
        <w:t xml:space="preserve">6.1.1 符合专用合同条款约定的开始监理条件的，委托人应提前 7 天向监理人发出开始监理通知。监理服务期限自开始监理通知中载明的开始监理日期起计算。 </w:t>
      </w:r>
    </w:p>
    <w:p>
      <w:pPr>
        <w:spacing w:line="360" w:lineRule="auto"/>
        <w:ind w:firstLine="420" w:firstLineChars="200"/>
        <w:rPr>
          <w:szCs w:val="21"/>
        </w:rPr>
      </w:pPr>
      <w:r>
        <w:rPr>
          <w:szCs w:val="21"/>
        </w:rPr>
        <w:t>6.1.2 除专用合同条款另有约定外，因委托人原因造成合同签订之日起 90 天内未能发出开始监理通知的，监理人有权提出价格调整要求，或者解除合同。委托人应当承担由此增加的费用和（或）周期延误。</w:t>
      </w:r>
    </w:p>
    <w:p>
      <w:pPr>
        <w:pStyle w:val="6"/>
        <w:spacing w:line="240" w:lineRule="auto"/>
        <w:ind w:firstLine="137"/>
        <w:rPr>
          <w:rFonts w:ascii="Times New Roman"/>
        </w:rPr>
      </w:pPr>
      <w:bookmarkStart w:id="136" w:name="_Toc482188593"/>
      <w:bookmarkStart w:id="137" w:name="_Toc28458"/>
      <w:r>
        <w:rPr>
          <w:rFonts w:ascii="Times New Roman"/>
        </w:rPr>
        <w:t xml:space="preserve">6.2 </w:t>
      </w:r>
      <w:r>
        <w:rPr>
          <w:rFonts w:hint="eastAsia" w:ascii="Times New Roman"/>
        </w:rPr>
        <w:t>监理周期延误</w:t>
      </w:r>
      <w:bookmarkEnd w:id="136"/>
      <w:bookmarkEnd w:id="137"/>
    </w:p>
    <w:bookmarkEnd w:id="133"/>
    <w:bookmarkEnd w:id="134"/>
    <w:bookmarkEnd w:id="135"/>
    <w:p>
      <w:pPr>
        <w:spacing w:line="360" w:lineRule="auto"/>
        <w:ind w:firstLine="420" w:firstLineChars="200"/>
        <w:rPr>
          <w:szCs w:val="21"/>
        </w:rPr>
      </w:pPr>
      <w:r>
        <w:rPr>
          <w:szCs w:val="21"/>
        </w:rPr>
        <w:t xml:space="preserve">在履行合同过程中，由于下列原因造成监理服务期限延误的，委托人应当延长监理服务期限并增加监理报酬，具体方法在专用合同条款中约定。 </w:t>
      </w:r>
    </w:p>
    <w:p>
      <w:pPr>
        <w:spacing w:line="360" w:lineRule="auto"/>
        <w:ind w:firstLine="420" w:firstLineChars="200"/>
        <w:rPr>
          <w:szCs w:val="21"/>
        </w:rPr>
      </w:pPr>
      <w:r>
        <w:rPr>
          <w:rFonts w:hint="eastAsia"/>
          <w:szCs w:val="21"/>
        </w:rPr>
        <w:t>（1）</w:t>
      </w:r>
      <w:r>
        <w:rPr>
          <w:rFonts w:hint="eastAsia"/>
          <w:szCs w:val="21"/>
          <w:lang w:val="en-US" w:eastAsia="zh-CN"/>
        </w:rPr>
        <w:t>非因监理人原因造成</w:t>
      </w:r>
      <w:r>
        <w:rPr>
          <w:szCs w:val="21"/>
        </w:rPr>
        <w:t xml:space="preserve">合同变更； </w:t>
      </w:r>
    </w:p>
    <w:p>
      <w:pPr>
        <w:spacing w:line="360" w:lineRule="auto"/>
        <w:ind w:firstLine="420" w:firstLineChars="200"/>
        <w:rPr>
          <w:szCs w:val="21"/>
        </w:rPr>
      </w:pPr>
      <w:r>
        <w:rPr>
          <w:rFonts w:hint="eastAsia"/>
          <w:szCs w:val="21"/>
        </w:rPr>
        <w:t>（2）</w:t>
      </w:r>
      <w:r>
        <w:rPr>
          <w:szCs w:val="21"/>
        </w:rPr>
        <w:t xml:space="preserve">因委托人原因导致的监理工作暂停；  </w:t>
      </w:r>
    </w:p>
    <w:p>
      <w:pPr>
        <w:spacing w:line="360" w:lineRule="auto"/>
        <w:ind w:firstLine="420" w:firstLineChars="200"/>
        <w:rPr>
          <w:szCs w:val="21"/>
        </w:rPr>
      </w:pPr>
      <w:r>
        <w:rPr>
          <w:rFonts w:hint="eastAsia"/>
          <w:szCs w:val="21"/>
        </w:rPr>
        <w:t>（3）</w:t>
      </w:r>
      <w:r>
        <w:rPr>
          <w:szCs w:val="21"/>
        </w:rPr>
        <w:t xml:space="preserve">未按合同约定及时支付监理报酬； </w:t>
      </w:r>
    </w:p>
    <w:p>
      <w:pPr>
        <w:spacing w:line="360" w:lineRule="auto"/>
        <w:ind w:firstLine="420" w:firstLineChars="200"/>
        <w:rPr>
          <w:szCs w:val="21"/>
        </w:rPr>
      </w:pPr>
      <w:r>
        <w:rPr>
          <w:rFonts w:hint="eastAsia"/>
          <w:szCs w:val="21"/>
        </w:rPr>
        <w:t>（4）</w:t>
      </w:r>
      <w:r>
        <w:rPr>
          <w:szCs w:val="21"/>
        </w:rPr>
        <w:t xml:space="preserve">未及时履行合同约定的相关义务； </w:t>
      </w:r>
    </w:p>
    <w:p>
      <w:pPr>
        <w:spacing w:line="360" w:lineRule="auto"/>
        <w:ind w:firstLine="420" w:firstLineChars="200"/>
        <w:rPr>
          <w:szCs w:val="21"/>
        </w:rPr>
      </w:pPr>
      <w:r>
        <w:rPr>
          <w:rFonts w:hint="eastAsia"/>
          <w:szCs w:val="21"/>
        </w:rPr>
        <w:t>（5）</w:t>
      </w:r>
      <w:r>
        <w:rPr>
          <w:szCs w:val="21"/>
        </w:rPr>
        <w:t xml:space="preserve">由于承包人延误、行政管理造成的监理服务期延误； </w:t>
      </w:r>
    </w:p>
    <w:p>
      <w:pPr>
        <w:spacing w:line="360" w:lineRule="auto"/>
        <w:ind w:firstLine="420" w:firstLineChars="200"/>
        <w:rPr>
          <w:szCs w:val="21"/>
        </w:rPr>
      </w:pPr>
      <w:r>
        <w:rPr>
          <w:rFonts w:hint="eastAsia"/>
          <w:szCs w:val="21"/>
        </w:rPr>
        <w:t>（6）</w:t>
      </w:r>
      <w:r>
        <w:rPr>
          <w:szCs w:val="21"/>
        </w:rPr>
        <w:t>造成监理服务期限延误的其他原因。</w:t>
      </w:r>
    </w:p>
    <w:p>
      <w:pPr>
        <w:pStyle w:val="6"/>
        <w:spacing w:line="240" w:lineRule="auto"/>
        <w:ind w:firstLine="137"/>
        <w:rPr>
          <w:rFonts w:ascii="Times New Roman"/>
        </w:rPr>
      </w:pPr>
      <w:bookmarkStart w:id="138" w:name="_Toc482188597"/>
      <w:bookmarkStart w:id="139" w:name="_Toc9405"/>
      <w:r>
        <w:rPr>
          <w:rFonts w:ascii="Times New Roman"/>
        </w:rPr>
        <w:t>6.</w:t>
      </w:r>
      <w:r>
        <w:rPr>
          <w:rFonts w:hint="eastAsia" w:ascii="Times New Roman"/>
        </w:rPr>
        <w:t>3</w:t>
      </w:r>
      <w:r>
        <w:rPr>
          <w:rFonts w:ascii="Times New Roman"/>
        </w:rPr>
        <w:t xml:space="preserve"> </w:t>
      </w:r>
      <w:r>
        <w:rPr>
          <w:rFonts w:hint="eastAsia" w:ascii="Times New Roman"/>
        </w:rPr>
        <w:t>完成</w:t>
      </w:r>
      <w:bookmarkEnd w:id="138"/>
      <w:r>
        <w:rPr>
          <w:rFonts w:hint="eastAsia" w:ascii="Times New Roman"/>
          <w:szCs w:val="21"/>
        </w:rPr>
        <w:t>监理</w:t>
      </w:r>
      <w:bookmarkEnd w:id="139"/>
      <w:r>
        <w:rPr>
          <w:rFonts w:ascii="Times New Roman"/>
        </w:rPr>
        <w:t xml:space="preserve"> </w:t>
      </w:r>
    </w:p>
    <w:p>
      <w:pPr>
        <w:spacing w:line="360" w:lineRule="auto"/>
        <w:ind w:firstLine="420" w:firstLineChars="200"/>
      </w:pPr>
      <w:r>
        <w:t xml:space="preserve">6.3.1 监理人应当根据法律、规范标准、合同约定和委托人要求实施和完成监理，并编制和移交监理文件。 </w:t>
      </w:r>
    </w:p>
    <w:p>
      <w:pPr>
        <w:spacing w:line="360" w:lineRule="auto"/>
        <w:ind w:firstLine="420" w:firstLineChars="200"/>
      </w:pPr>
      <w:r>
        <w:t xml:space="preserve">6.3.2 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 </w:t>
      </w:r>
    </w:p>
    <w:p>
      <w:pPr>
        <w:spacing w:line="360" w:lineRule="auto"/>
        <w:ind w:firstLine="420" w:firstLineChars="200"/>
      </w:pPr>
      <w:r>
        <w:t xml:space="preserve">6.3.3 缺陷修复监理指缺陷责任期间，监理人对承包人修复质量缺陷进行的监理。缺陷修复监理的责任由监理人负责。 </w:t>
      </w:r>
    </w:p>
    <w:p>
      <w:pPr>
        <w:spacing w:line="360" w:lineRule="auto"/>
        <w:ind w:firstLine="420" w:firstLineChars="200"/>
      </w:pPr>
      <w:r>
        <w:t xml:space="preserve">6.3.4 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 </w:t>
      </w:r>
    </w:p>
    <w:p>
      <w:pPr>
        <w:spacing w:line="360" w:lineRule="auto"/>
        <w:ind w:firstLine="420" w:firstLineChars="200"/>
      </w:pPr>
      <w:r>
        <w:t>6.3.5 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 U 盘分别贮存。</w:t>
      </w:r>
    </w:p>
    <w:p>
      <w:pPr>
        <w:pStyle w:val="5"/>
        <w:rPr>
          <w:rFonts w:ascii="Times New Roman" w:hAnsi="Times New Roman"/>
        </w:rPr>
      </w:pPr>
      <w:bookmarkStart w:id="140" w:name="_Toc482188607"/>
      <w:bookmarkStart w:id="141" w:name="_Toc27565"/>
      <w:bookmarkStart w:id="142" w:name="_Toc184635110"/>
      <w:bookmarkStart w:id="143" w:name="_Toc247527728"/>
      <w:bookmarkStart w:id="144" w:name="_Toc247514127"/>
      <w:r>
        <w:rPr>
          <w:rFonts w:hint="eastAsia" w:ascii="Times New Roman" w:hAnsi="Times New Roman"/>
        </w:rPr>
        <w:t>7</w:t>
      </w:r>
      <w:r>
        <w:rPr>
          <w:rFonts w:ascii="Times New Roman" w:hAnsi="Times New Roman"/>
        </w:rPr>
        <w:t>. 监理责任与保险</w:t>
      </w:r>
      <w:bookmarkEnd w:id="140"/>
      <w:bookmarkEnd w:id="141"/>
    </w:p>
    <w:bookmarkEnd w:id="142"/>
    <w:bookmarkEnd w:id="143"/>
    <w:bookmarkEnd w:id="144"/>
    <w:p>
      <w:pPr>
        <w:pStyle w:val="6"/>
        <w:spacing w:line="240" w:lineRule="auto"/>
        <w:ind w:firstLine="137"/>
        <w:rPr>
          <w:rFonts w:ascii="Times New Roman"/>
        </w:rPr>
      </w:pPr>
      <w:bookmarkStart w:id="145" w:name="_Toc482188610"/>
      <w:bookmarkStart w:id="146" w:name="_Toc17366"/>
      <w:r>
        <w:rPr>
          <w:rFonts w:hint="eastAsia" w:ascii="Times New Roman"/>
        </w:rPr>
        <w:t>7</w:t>
      </w:r>
      <w:r>
        <w:rPr>
          <w:rFonts w:ascii="Times New Roman"/>
        </w:rPr>
        <w:t>.</w:t>
      </w:r>
      <w:r>
        <w:rPr>
          <w:rFonts w:hint="eastAsia" w:ascii="Times New Roman"/>
        </w:rPr>
        <w:t>1</w:t>
      </w:r>
      <w:r>
        <w:rPr>
          <w:rFonts w:ascii="Times New Roman"/>
        </w:rPr>
        <w:t xml:space="preserve"> 监理</w:t>
      </w:r>
      <w:r>
        <w:rPr>
          <w:rFonts w:hint="eastAsia" w:ascii="Times New Roman"/>
        </w:rPr>
        <w:t>责任主体</w:t>
      </w:r>
      <w:bookmarkEnd w:id="145"/>
      <w:bookmarkEnd w:id="146"/>
    </w:p>
    <w:p>
      <w:pPr>
        <w:spacing w:line="360" w:lineRule="auto"/>
        <w:ind w:firstLine="420" w:firstLineChars="200"/>
      </w:pPr>
      <w:r>
        <w:t xml:space="preserve">7.1.1 监理人应运用一切合理的专业技术、知识技能和项目经验，按照职业道德准则和行业公认标准尽其全部职责，勤勉、谨慎、公正地履行其在本合同项下的责任和义务。 </w:t>
      </w:r>
    </w:p>
    <w:p>
      <w:pPr>
        <w:spacing w:line="360" w:lineRule="auto"/>
        <w:ind w:firstLine="420" w:firstLineChars="200"/>
      </w:pPr>
      <w:r>
        <w:t xml:space="preserve">7.1.2 监理责任为监理单位项目负责人终身责任制。总监理工程师应当按照法律法规、有关技术标准、设计文件和工程承包合同进行监理，对施工质量承担监理责任。 </w:t>
      </w:r>
    </w:p>
    <w:p>
      <w:pPr>
        <w:spacing w:line="360" w:lineRule="auto"/>
        <w:ind w:firstLine="420" w:firstLineChars="200"/>
      </w:pPr>
      <w:r>
        <w:t>7.1.3 总监理工程师应当在办理工程质量监督手续前签署工程质量终身责任承诺书，连同法定代表人出具的授权书，报工程质量监督机构备案。</w:t>
      </w:r>
    </w:p>
    <w:p>
      <w:pPr>
        <w:pStyle w:val="6"/>
        <w:spacing w:line="240" w:lineRule="auto"/>
        <w:ind w:firstLine="137"/>
        <w:rPr>
          <w:rFonts w:ascii="Times New Roman"/>
        </w:rPr>
      </w:pPr>
      <w:bookmarkStart w:id="147" w:name="_Toc18596"/>
      <w:bookmarkStart w:id="148" w:name="_Toc482188611"/>
      <w:r>
        <w:rPr>
          <w:rFonts w:hint="eastAsia" w:ascii="Times New Roman"/>
        </w:rPr>
        <w:t>7</w:t>
      </w:r>
      <w:r>
        <w:rPr>
          <w:rFonts w:ascii="Times New Roman"/>
        </w:rPr>
        <w:t>.</w:t>
      </w:r>
      <w:r>
        <w:rPr>
          <w:rFonts w:hint="eastAsia" w:ascii="Times New Roman"/>
        </w:rPr>
        <w:t>2</w:t>
      </w:r>
      <w:r>
        <w:rPr>
          <w:rFonts w:ascii="Times New Roman"/>
        </w:rPr>
        <w:t xml:space="preserve"> </w:t>
      </w:r>
      <w:r>
        <w:rPr>
          <w:rFonts w:hint="eastAsia" w:ascii="Times New Roman"/>
        </w:rPr>
        <w:t>监理责任保险</w:t>
      </w:r>
      <w:bookmarkEnd w:id="147"/>
      <w:bookmarkEnd w:id="148"/>
    </w:p>
    <w:p>
      <w:pPr>
        <w:spacing w:line="360" w:lineRule="auto"/>
        <w:ind w:firstLine="420" w:firstLineChars="200"/>
        <w:rPr>
          <w:szCs w:val="21"/>
        </w:rPr>
      </w:pPr>
      <w:r>
        <w:t>除专用合同条款另有约定外，建议监理人根据工程情况对监理责任进行保险，并在合同履行期间保持足额、有效。</w:t>
      </w:r>
    </w:p>
    <w:p>
      <w:pPr>
        <w:pStyle w:val="5"/>
        <w:rPr>
          <w:rFonts w:ascii="Times New Roman" w:hAnsi="Times New Roman"/>
        </w:rPr>
      </w:pPr>
      <w:bookmarkStart w:id="149" w:name="_Toc482188615"/>
      <w:bookmarkStart w:id="150" w:name="_Toc5578"/>
      <w:r>
        <w:rPr>
          <w:rFonts w:hint="eastAsia" w:ascii="Times New Roman" w:hAnsi="Times New Roman"/>
        </w:rPr>
        <w:t>8</w:t>
      </w:r>
      <w:r>
        <w:rPr>
          <w:rFonts w:ascii="Times New Roman" w:hAnsi="Times New Roman"/>
        </w:rPr>
        <w:t>. 合同变更</w:t>
      </w:r>
      <w:bookmarkEnd w:id="149"/>
      <w:bookmarkEnd w:id="150"/>
    </w:p>
    <w:p>
      <w:pPr>
        <w:pStyle w:val="6"/>
        <w:spacing w:line="240" w:lineRule="auto"/>
        <w:ind w:firstLine="137"/>
        <w:rPr>
          <w:rFonts w:ascii="Times New Roman"/>
        </w:rPr>
      </w:pPr>
      <w:bookmarkStart w:id="151" w:name="_Toc482188616"/>
      <w:bookmarkStart w:id="152" w:name="_Toc20819"/>
      <w:bookmarkStart w:id="153" w:name="_Toc467651025"/>
      <w:r>
        <w:rPr>
          <w:rFonts w:hint="eastAsia" w:ascii="Times New Roman"/>
        </w:rPr>
        <w:t>8</w:t>
      </w:r>
      <w:r>
        <w:rPr>
          <w:rFonts w:ascii="Times New Roman"/>
        </w:rPr>
        <w:t xml:space="preserve">.1 </w:t>
      </w:r>
      <w:r>
        <w:rPr>
          <w:rFonts w:hint="eastAsia" w:ascii="Times New Roman"/>
        </w:rPr>
        <w:t>变更情形</w:t>
      </w:r>
      <w:bookmarkEnd w:id="151"/>
      <w:bookmarkEnd w:id="152"/>
      <w:bookmarkEnd w:id="153"/>
    </w:p>
    <w:p>
      <w:pPr>
        <w:spacing w:line="360" w:lineRule="auto"/>
        <w:ind w:firstLine="420" w:firstLineChars="200"/>
        <w:rPr>
          <w:szCs w:val="21"/>
        </w:rPr>
      </w:pPr>
      <w:r>
        <w:rPr>
          <w:szCs w:val="21"/>
        </w:rPr>
        <w:t xml:space="preserve">8.1.1 合同履行中发生下述情形时，合同一方均可向对方提出变更请求，经双方协商一致后进行变更，监理服务期限和监理报酬的调整方法在专用合同条款中约定。 </w:t>
      </w:r>
    </w:p>
    <w:p>
      <w:pPr>
        <w:spacing w:line="360" w:lineRule="auto"/>
        <w:ind w:firstLine="420" w:firstLineChars="200"/>
        <w:rPr>
          <w:szCs w:val="21"/>
        </w:rPr>
      </w:pPr>
      <w:r>
        <w:rPr>
          <w:rFonts w:hint="eastAsia"/>
          <w:szCs w:val="21"/>
        </w:rPr>
        <w:t>（1）</w:t>
      </w:r>
      <w:r>
        <w:rPr>
          <w:szCs w:val="21"/>
        </w:rPr>
        <w:t xml:space="preserve">监理范围发生变化； </w:t>
      </w:r>
    </w:p>
    <w:p>
      <w:pPr>
        <w:spacing w:line="360" w:lineRule="auto"/>
        <w:ind w:firstLine="420" w:firstLineChars="200"/>
        <w:rPr>
          <w:szCs w:val="21"/>
        </w:rPr>
      </w:pPr>
      <w:r>
        <w:rPr>
          <w:rFonts w:hint="eastAsia"/>
          <w:szCs w:val="21"/>
        </w:rPr>
        <w:t>（2）</w:t>
      </w:r>
      <w:r>
        <w:rPr>
          <w:szCs w:val="21"/>
        </w:rPr>
        <w:t>除不可抗力外，非监理人的原因引起的周期延误；</w:t>
      </w:r>
    </w:p>
    <w:p>
      <w:pPr>
        <w:spacing w:line="360" w:lineRule="auto"/>
        <w:ind w:firstLine="420" w:firstLineChars="200"/>
        <w:rPr>
          <w:szCs w:val="21"/>
        </w:rPr>
      </w:pPr>
      <w:r>
        <w:rPr>
          <w:szCs w:val="21"/>
        </w:rPr>
        <w:t xml:space="preserve">（3）非监理人的原因，对工程同一部分重复进行监理； </w:t>
      </w:r>
    </w:p>
    <w:p>
      <w:pPr>
        <w:spacing w:line="360" w:lineRule="auto"/>
        <w:ind w:firstLine="420" w:firstLineChars="200"/>
        <w:rPr>
          <w:szCs w:val="21"/>
        </w:rPr>
      </w:pPr>
      <w:r>
        <w:rPr>
          <w:szCs w:val="21"/>
        </w:rPr>
        <w:t xml:space="preserve">（4）非监理人的原因，对工程暂停监理及恢复监理。 </w:t>
      </w:r>
    </w:p>
    <w:p>
      <w:pPr>
        <w:spacing w:line="360" w:lineRule="auto"/>
        <w:ind w:firstLine="420" w:firstLineChars="200"/>
        <w:rPr>
          <w:szCs w:val="21"/>
        </w:rPr>
      </w:pPr>
      <w:r>
        <w:rPr>
          <w:szCs w:val="21"/>
        </w:rPr>
        <w:t>8.1.2 基准日后，因颁布新的或修订原有法律、法规、规范和标准等引发合同变更情形的，按照上述约定进行调整。</w:t>
      </w:r>
    </w:p>
    <w:p>
      <w:pPr>
        <w:pStyle w:val="6"/>
        <w:spacing w:line="240" w:lineRule="auto"/>
        <w:ind w:firstLine="137"/>
        <w:rPr>
          <w:rFonts w:ascii="Times New Roman"/>
        </w:rPr>
      </w:pPr>
      <w:bookmarkStart w:id="154" w:name="_Toc467651026"/>
      <w:bookmarkStart w:id="155" w:name="_Toc21688"/>
      <w:bookmarkStart w:id="156" w:name="_Toc482188617"/>
      <w:r>
        <w:rPr>
          <w:rFonts w:hint="eastAsia" w:ascii="Times New Roman"/>
        </w:rPr>
        <w:t>8</w:t>
      </w:r>
      <w:r>
        <w:rPr>
          <w:rFonts w:ascii="Times New Roman"/>
        </w:rPr>
        <w:t xml:space="preserve">.2 </w:t>
      </w:r>
      <w:r>
        <w:rPr>
          <w:rFonts w:hint="eastAsia" w:ascii="Times New Roman"/>
        </w:rPr>
        <w:t>合理化建议</w:t>
      </w:r>
      <w:bookmarkEnd w:id="154"/>
      <w:bookmarkEnd w:id="155"/>
      <w:bookmarkEnd w:id="156"/>
    </w:p>
    <w:p>
      <w:pPr>
        <w:spacing w:line="360" w:lineRule="auto"/>
        <w:ind w:firstLine="420" w:firstLineChars="200"/>
      </w:pPr>
      <w:r>
        <w:t xml:space="preserve">8.2.1 合同履行中，监理人可对委托人要求提出合理化建议。合理化建议应以书面形式提交委托人，被委托人采纳并构成变更的，执行第 8.1 款约定。 </w:t>
      </w:r>
    </w:p>
    <w:p>
      <w:pPr>
        <w:spacing w:line="360" w:lineRule="auto"/>
        <w:ind w:firstLine="420" w:firstLineChars="200"/>
        <w:rPr>
          <w:szCs w:val="21"/>
        </w:rPr>
      </w:pPr>
      <w:r>
        <w:t>8.2.2 监理人提出的合理化建议降低了工程投资、缩短了施工期限或者提高了工程经济效益的，委托人应按专用合同条款中的约定给予奖励。</w:t>
      </w:r>
    </w:p>
    <w:p>
      <w:pPr>
        <w:pStyle w:val="5"/>
        <w:rPr>
          <w:rFonts w:ascii="Times New Roman" w:hAnsi="Times New Roman"/>
        </w:rPr>
      </w:pPr>
      <w:bookmarkStart w:id="157" w:name="_Toc482188618"/>
      <w:bookmarkStart w:id="158" w:name="_Toc3003"/>
      <w:r>
        <w:rPr>
          <w:rFonts w:hint="eastAsia" w:ascii="Times New Roman" w:hAnsi="Times New Roman"/>
        </w:rPr>
        <w:t>9</w:t>
      </w:r>
      <w:r>
        <w:rPr>
          <w:rFonts w:ascii="Times New Roman" w:hAnsi="Times New Roman"/>
        </w:rPr>
        <w:t>. 合同价格与支付</w:t>
      </w:r>
      <w:bookmarkEnd w:id="157"/>
      <w:bookmarkEnd w:id="158"/>
    </w:p>
    <w:p>
      <w:pPr>
        <w:pStyle w:val="6"/>
        <w:spacing w:line="240" w:lineRule="auto"/>
        <w:ind w:firstLine="137"/>
        <w:rPr>
          <w:rFonts w:ascii="Times New Roman"/>
        </w:rPr>
      </w:pPr>
      <w:bookmarkStart w:id="159" w:name="_Toc14732"/>
      <w:bookmarkStart w:id="160" w:name="_Toc482188619"/>
      <w:r>
        <w:rPr>
          <w:rFonts w:hint="eastAsia" w:ascii="Times New Roman"/>
        </w:rPr>
        <w:t>9</w:t>
      </w:r>
      <w:r>
        <w:rPr>
          <w:rFonts w:ascii="Times New Roman"/>
        </w:rPr>
        <w:t xml:space="preserve">.1 </w:t>
      </w:r>
      <w:r>
        <w:rPr>
          <w:rFonts w:hint="eastAsia" w:ascii="Times New Roman"/>
        </w:rPr>
        <w:t>合同价格</w:t>
      </w:r>
      <w:bookmarkEnd w:id="159"/>
      <w:bookmarkEnd w:id="160"/>
    </w:p>
    <w:p>
      <w:pPr>
        <w:spacing w:line="360" w:lineRule="auto"/>
        <w:ind w:firstLine="420" w:firstLineChars="200"/>
      </w:pPr>
      <w:r>
        <w:t xml:space="preserve">9.1.1 本合同的价款确定方式、调整方式和风险范围划分，在专用合同条款中约定。 </w:t>
      </w:r>
    </w:p>
    <w:p>
      <w:pPr>
        <w:spacing w:line="360" w:lineRule="auto"/>
        <w:ind w:firstLine="420" w:firstLineChars="200"/>
      </w:pPr>
      <w:r>
        <w:t xml:space="preserve">9.1.2 除专用合同条款另有约定外，合同价格应当包括收集资料、踏勘现场、制订纲要、实施监理、编制监理文件等全部费用和国家规定的增值税税金。 </w:t>
      </w:r>
    </w:p>
    <w:p>
      <w:pPr>
        <w:spacing w:line="360" w:lineRule="auto"/>
        <w:ind w:firstLine="420" w:firstLineChars="200"/>
        <w:rPr>
          <w:szCs w:val="21"/>
        </w:rPr>
      </w:pPr>
      <w:r>
        <w:t>9.1.3 委托人要求监理人进行外出考察、试验检测、专项咨询或专家评审时，相应费用不含在合同价格之中，由委托人另行支付。</w:t>
      </w:r>
    </w:p>
    <w:p>
      <w:pPr>
        <w:pStyle w:val="6"/>
        <w:spacing w:line="240" w:lineRule="auto"/>
        <w:ind w:firstLine="137"/>
        <w:rPr>
          <w:rFonts w:ascii="Times New Roman"/>
        </w:rPr>
      </w:pPr>
      <w:bookmarkStart w:id="161" w:name="_Toc482188620"/>
      <w:bookmarkStart w:id="162" w:name="_Toc13378"/>
      <w:r>
        <w:rPr>
          <w:rFonts w:hint="eastAsia" w:ascii="Times New Roman"/>
        </w:rPr>
        <w:t>9</w:t>
      </w:r>
      <w:r>
        <w:rPr>
          <w:rFonts w:ascii="Times New Roman"/>
        </w:rPr>
        <w:t>.2</w:t>
      </w:r>
      <w:bookmarkEnd w:id="161"/>
      <w:r>
        <w:rPr>
          <w:rFonts w:hint="eastAsia" w:ascii="Times New Roman"/>
        </w:rPr>
        <w:t>预付款</w:t>
      </w:r>
      <w:bookmarkEnd w:id="162"/>
    </w:p>
    <w:p>
      <w:pPr>
        <w:spacing w:line="360" w:lineRule="auto"/>
        <w:ind w:firstLine="420" w:firstLineChars="200"/>
      </w:pPr>
      <w:r>
        <w:t xml:space="preserve">9.2.1 预付款应专用于本工程的监理。预付款的额度、支付方式及抵扣方式在专用合同条款中约定。 </w:t>
      </w:r>
    </w:p>
    <w:p>
      <w:pPr>
        <w:spacing w:line="360" w:lineRule="auto"/>
        <w:ind w:firstLine="420" w:firstLineChars="200"/>
        <w:rPr>
          <w:szCs w:val="21"/>
        </w:rPr>
      </w:pPr>
      <w:r>
        <w:t>9.2.2 委托人应在收到预付款支付申请后 28 天内，将预付款支付给监理人；监理人应当提供等额的增值税发票。</w:t>
      </w:r>
    </w:p>
    <w:p>
      <w:pPr>
        <w:pStyle w:val="6"/>
        <w:spacing w:line="240" w:lineRule="auto"/>
        <w:ind w:firstLine="137"/>
        <w:rPr>
          <w:rFonts w:ascii="Times New Roman"/>
        </w:rPr>
      </w:pPr>
      <w:bookmarkStart w:id="163" w:name="_Toc482188621"/>
      <w:bookmarkStart w:id="164" w:name="_Toc467651035"/>
      <w:bookmarkStart w:id="165" w:name="_Toc402"/>
      <w:r>
        <w:rPr>
          <w:rFonts w:hint="eastAsia" w:ascii="Times New Roman"/>
        </w:rPr>
        <w:t>9</w:t>
      </w:r>
      <w:r>
        <w:rPr>
          <w:rFonts w:ascii="Times New Roman"/>
        </w:rPr>
        <w:t xml:space="preserve">.3 </w:t>
      </w:r>
      <w:r>
        <w:rPr>
          <w:rFonts w:hint="eastAsia" w:ascii="Times New Roman"/>
        </w:rPr>
        <w:t>中期支付</w:t>
      </w:r>
      <w:bookmarkEnd w:id="163"/>
      <w:bookmarkEnd w:id="164"/>
      <w:bookmarkEnd w:id="165"/>
    </w:p>
    <w:p>
      <w:pPr>
        <w:spacing w:line="360" w:lineRule="auto"/>
        <w:ind w:firstLine="420" w:firstLineChars="200"/>
      </w:pPr>
      <w:r>
        <w:t xml:space="preserve">9.3.1 监理人应按委托人批准或专用合同条款约定的格式及份数，向委托人提交中期支付申请，并附相应的支持性证明文件。 </w:t>
      </w:r>
    </w:p>
    <w:p>
      <w:pPr>
        <w:spacing w:line="360" w:lineRule="auto"/>
        <w:ind w:firstLine="420" w:firstLineChars="200"/>
      </w:pPr>
      <w:r>
        <w:t xml:space="preserve">9.3.2 委托人应在收到中期支付申请后的 28 天内，将应付款项支付给监理人；监理人应当提供等额的增值税发票。委托人未能在前述时间内完成审批或不予答复的，视为委托人同意中期支付申请。委托人不按期支付的，按专用合同条款的约定支付逾期付款违约金。 </w:t>
      </w:r>
    </w:p>
    <w:p>
      <w:pPr>
        <w:spacing w:line="360" w:lineRule="auto"/>
        <w:ind w:firstLine="420" w:firstLineChars="200"/>
        <w:rPr>
          <w:szCs w:val="21"/>
        </w:rPr>
      </w:pPr>
      <w:r>
        <w:t>9.3.3 中期支付涉及政府投资资金的，按照国库集中支付等国家相关规定和专用合同条款的约定执行。</w:t>
      </w:r>
    </w:p>
    <w:p>
      <w:pPr>
        <w:pStyle w:val="6"/>
        <w:spacing w:line="240" w:lineRule="auto"/>
        <w:ind w:firstLine="137"/>
        <w:rPr>
          <w:rFonts w:ascii="Times New Roman"/>
        </w:rPr>
      </w:pPr>
      <w:bookmarkStart w:id="166" w:name="_Toc482188622"/>
      <w:bookmarkStart w:id="167" w:name="_Toc467651036"/>
      <w:bookmarkStart w:id="168" w:name="_Toc17274"/>
      <w:r>
        <w:rPr>
          <w:rFonts w:hint="eastAsia" w:ascii="Times New Roman"/>
        </w:rPr>
        <w:t>9</w:t>
      </w:r>
      <w:r>
        <w:rPr>
          <w:rFonts w:ascii="Times New Roman"/>
        </w:rPr>
        <w:t xml:space="preserve">.4 </w:t>
      </w:r>
      <w:r>
        <w:rPr>
          <w:rFonts w:hint="eastAsia" w:ascii="Times New Roman"/>
        </w:rPr>
        <w:t>费用结算</w:t>
      </w:r>
      <w:bookmarkEnd w:id="166"/>
      <w:bookmarkEnd w:id="167"/>
      <w:bookmarkEnd w:id="168"/>
    </w:p>
    <w:p>
      <w:pPr>
        <w:spacing w:line="360" w:lineRule="auto"/>
        <w:ind w:firstLine="420" w:firstLineChars="200"/>
      </w:pPr>
      <w:r>
        <w:t xml:space="preserve">9.4.1 合同工作完成后，监理人可按专用合同条款约定的份数和期限，向委托人提交监理费用结算申请，并提供相关证明材料。 </w:t>
      </w:r>
    </w:p>
    <w:p>
      <w:pPr>
        <w:spacing w:line="360" w:lineRule="auto"/>
        <w:ind w:firstLine="420" w:firstLineChars="200"/>
      </w:pPr>
      <w:r>
        <w:t xml:space="preserve">9.4.2 委托人应在收到费用结算申请后的 28 天内，将应付款项支付给监理人；监理人应当提供等额的增值税发票。委托人未能在前述时间内完成审批或不予答复的，视为委托人同意费用结算申请。委托人不按期支付的，按专用合同条款的约定支付逾期付款违约金。 </w:t>
      </w:r>
    </w:p>
    <w:p>
      <w:pPr>
        <w:spacing w:line="360" w:lineRule="auto"/>
        <w:ind w:firstLine="420" w:firstLineChars="200"/>
      </w:pPr>
      <w:r>
        <w:t xml:space="preserve">9.4.3 委托人对费用结算申请内容有异议的，有权要求监理人进行修正和提供补充资料，由监理人重新提交。监理人对此有异议的，按第 12 条的约定执行。 </w:t>
      </w:r>
    </w:p>
    <w:p>
      <w:pPr>
        <w:spacing w:line="360" w:lineRule="auto"/>
        <w:ind w:firstLine="420" w:firstLineChars="200"/>
        <w:rPr>
          <w:szCs w:val="21"/>
        </w:rPr>
      </w:pPr>
      <w:r>
        <w:t>9.4.4 最终结清付款涉及政府投资资金的，按第 9.3.3 项的约定执行。</w:t>
      </w:r>
    </w:p>
    <w:p>
      <w:pPr>
        <w:pStyle w:val="5"/>
        <w:rPr>
          <w:rFonts w:ascii="Times New Roman" w:hAnsi="Times New Roman"/>
        </w:rPr>
      </w:pPr>
      <w:bookmarkStart w:id="169" w:name="_Toc482188623"/>
      <w:bookmarkStart w:id="170" w:name="_Toc6572"/>
      <w:r>
        <w:rPr>
          <w:rFonts w:ascii="Times New Roman" w:hAnsi="Times New Roman"/>
        </w:rPr>
        <w:t>1</w:t>
      </w:r>
      <w:r>
        <w:rPr>
          <w:rFonts w:hint="eastAsia" w:ascii="Times New Roman" w:hAnsi="Times New Roman"/>
        </w:rPr>
        <w:t>0</w:t>
      </w:r>
      <w:r>
        <w:rPr>
          <w:rFonts w:ascii="Times New Roman" w:hAnsi="Times New Roman"/>
        </w:rPr>
        <w:t>. 不可抗力</w:t>
      </w:r>
      <w:bookmarkEnd w:id="169"/>
      <w:bookmarkEnd w:id="170"/>
    </w:p>
    <w:p>
      <w:pPr>
        <w:pStyle w:val="6"/>
        <w:spacing w:line="240" w:lineRule="auto"/>
        <w:ind w:firstLine="137"/>
        <w:rPr>
          <w:rFonts w:ascii="Times New Roman"/>
        </w:rPr>
      </w:pPr>
      <w:bookmarkStart w:id="171" w:name="_Toc14090"/>
      <w:bookmarkStart w:id="172" w:name="_Toc482188624"/>
      <w:r>
        <w:rPr>
          <w:rFonts w:ascii="Times New Roman"/>
        </w:rPr>
        <w:t>1</w:t>
      </w:r>
      <w:r>
        <w:rPr>
          <w:rFonts w:hint="eastAsia" w:ascii="Times New Roman"/>
        </w:rPr>
        <w:t>0</w:t>
      </w:r>
      <w:r>
        <w:rPr>
          <w:rFonts w:ascii="Times New Roman"/>
        </w:rPr>
        <w:t xml:space="preserve">.1 </w:t>
      </w:r>
      <w:r>
        <w:rPr>
          <w:rFonts w:hint="eastAsia" w:ascii="Times New Roman"/>
        </w:rPr>
        <w:t>不可抗力的确认</w:t>
      </w:r>
      <w:bookmarkEnd w:id="171"/>
      <w:bookmarkEnd w:id="172"/>
    </w:p>
    <w:p>
      <w:pPr>
        <w:spacing w:line="360" w:lineRule="auto"/>
        <w:ind w:firstLine="420" w:firstLineChars="200"/>
      </w:pPr>
      <w:r>
        <w:t xml:space="preserve">10.1.1 不可抗力是指监理人和委托人在订立合同时不可预见，在履行合同过程中不可避免发生并不能克服的自然灾害和社会性突发事件，如地震、海啸、瘟疫、水灾、骚乱、暴动、战争和专用合同条款约定的其他情形。 </w:t>
      </w:r>
    </w:p>
    <w:p>
      <w:pPr>
        <w:spacing w:line="360" w:lineRule="auto"/>
        <w:ind w:firstLine="420" w:firstLineChars="200"/>
        <w:rPr>
          <w:szCs w:val="21"/>
        </w:rPr>
      </w:pPr>
      <w:r>
        <w:t>10.1.2 不可抗力发生后，委托人和监理人应及时认真统计所造成的损失，收集不可抗力造成损失的证据。合同双方对是否属于不可抗力或其损失的意见不一致的，由合同双方协商确定。</w:t>
      </w:r>
    </w:p>
    <w:p>
      <w:pPr>
        <w:pStyle w:val="6"/>
        <w:spacing w:line="240" w:lineRule="auto"/>
        <w:ind w:firstLine="137"/>
        <w:rPr>
          <w:rFonts w:ascii="Times New Roman"/>
        </w:rPr>
      </w:pPr>
      <w:bookmarkStart w:id="173" w:name="_Toc25602"/>
      <w:bookmarkStart w:id="174" w:name="_Toc482188625"/>
      <w:r>
        <w:rPr>
          <w:rFonts w:ascii="Times New Roman"/>
        </w:rPr>
        <w:t>1</w:t>
      </w:r>
      <w:r>
        <w:rPr>
          <w:rFonts w:hint="eastAsia" w:ascii="Times New Roman"/>
        </w:rPr>
        <w:t>0</w:t>
      </w:r>
      <w:r>
        <w:rPr>
          <w:rFonts w:ascii="Times New Roman"/>
        </w:rPr>
        <w:t xml:space="preserve">.2 </w:t>
      </w:r>
      <w:r>
        <w:rPr>
          <w:rFonts w:hint="eastAsia" w:ascii="Times New Roman"/>
        </w:rPr>
        <w:t>不可抗力的通知</w:t>
      </w:r>
      <w:bookmarkEnd w:id="173"/>
      <w:bookmarkEnd w:id="174"/>
    </w:p>
    <w:p>
      <w:pPr>
        <w:spacing w:line="360" w:lineRule="auto"/>
        <w:ind w:firstLine="420" w:firstLineChars="200"/>
      </w:pPr>
      <w:r>
        <w:t xml:space="preserve">10.2.1 合同一方当事人遇到不可抗力事件，使其履行合同义务受到阻碍时，应立即通知合同另一方当事人，书面说明不可抗力和受阻碍的详细情况，并提供必要的证明。 </w:t>
      </w:r>
    </w:p>
    <w:p>
      <w:pPr>
        <w:spacing w:line="360" w:lineRule="auto"/>
        <w:ind w:firstLine="420" w:firstLineChars="200"/>
        <w:rPr>
          <w:szCs w:val="21"/>
        </w:rPr>
      </w:pPr>
      <w:r>
        <w:t>10.2.2 如不可抗力持续发生，合同一方当事人应及时向合同另一方当事人提交中间报告，说明不可抗力和履行合同受阻的情况，并于不可抗力事件结束后 28 天内提交最终报告及有关资料。</w:t>
      </w:r>
    </w:p>
    <w:p>
      <w:pPr>
        <w:pStyle w:val="6"/>
        <w:spacing w:line="240" w:lineRule="auto"/>
        <w:ind w:firstLine="137"/>
        <w:rPr>
          <w:rFonts w:ascii="Times New Roman"/>
        </w:rPr>
      </w:pPr>
      <w:bookmarkStart w:id="175" w:name="_Toc24338"/>
      <w:bookmarkStart w:id="176" w:name="_Toc482188626"/>
      <w:r>
        <w:rPr>
          <w:rFonts w:ascii="Times New Roman"/>
        </w:rPr>
        <w:t>1</w:t>
      </w:r>
      <w:r>
        <w:rPr>
          <w:rFonts w:hint="eastAsia" w:ascii="Times New Roman"/>
        </w:rPr>
        <w:t>0</w:t>
      </w:r>
      <w:r>
        <w:rPr>
          <w:rFonts w:ascii="Times New Roman"/>
        </w:rPr>
        <w:t xml:space="preserve">.3 </w:t>
      </w:r>
      <w:r>
        <w:rPr>
          <w:rFonts w:hint="eastAsia" w:ascii="Times New Roman"/>
        </w:rPr>
        <w:t>不可抗力后果及其处理</w:t>
      </w:r>
      <w:bookmarkEnd w:id="175"/>
      <w:bookmarkEnd w:id="176"/>
    </w:p>
    <w:p>
      <w:pPr>
        <w:spacing w:line="360" w:lineRule="auto"/>
        <w:ind w:firstLine="420" w:firstLineChars="200"/>
        <w:rPr>
          <w:szCs w:val="21"/>
        </w:rPr>
      </w:pPr>
      <w:r>
        <w:rPr>
          <w:szCs w:val="21"/>
        </w:rPr>
        <w:t xml:space="preserve">10.3.1 不可抗力引起的后果及其损失，应由合同当事人依据法律规定各自承担。不可抗力发生前已完成的监理工作，应当按照合同约定进行支付。 </w:t>
      </w:r>
    </w:p>
    <w:p>
      <w:pPr>
        <w:spacing w:line="360" w:lineRule="auto"/>
        <w:ind w:firstLine="420" w:firstLineChars="200"/>
        <w:rPr>
          <w:szCs w:val="21"/>
        </w:rPr>
      </w:pPr>
      <w:r>
        <w:rPr>
          <w:szCs w:val="21"/>
        </w:rPr>
        <w:t xml:space="preserve">10.3.2 不可抗力发生后，合同当事人应当采取有效措施避免损失进一步扩大，如未采取有效措施致使损失扩大的，应当自行承担扩大部分的损失。 </w:t>
      </w:r>
    </w:p>
    <w:p>
      <w:pPr>
        <w:spacing w:line="360" w:lineRule="auto"/>
        <w:ind w:firstLine="420" w:firstLineChars="200"/>
        <w:rPr>
          <w:szCs w:val="21"/>
        </w:rPr>
      </w:pPr>
      <w:r>
        <w:rPr>
          <w:szCs w:val="21"/>
        </w:rPr>
        <w:t>10.3.3 因一方当事人迟延履行合同义务，致使迟延履行期间遭遇不可抗力的，应由该当事人承担全部损失。</w:t>
      </w:r>
    </w:p>
    <w:p>
      <w:pPr>
        <w:pStyle w:val="5"/>
        <w:rPr>
          <w:rFonts w:ascii="Times New Roman" w:hAnsi="Times New Roman"/>
        </w:rPr>
      </w:pPr>
      <w:bookmarkStart w:id="177" w:name="_Toc29800"/>
      <w:bookmarkStart w:id="178" w:name="_Toc482188627"/>
      <w:r>
        <w:rPr>
          <w:rFonts w:ascii="Times New Roman" w:hAnsi="Times New Roman"/>
        </w:rPr>
        <w:t>1</w:t>
      </w:r>
      <w:r>
        <w:rPr>
          <w:rFonts w:hint="eastAsia" w:ascii="Times New Roman" w:hAnsi="Times New Roman"/>
        </w:rPr>
        <w:t>1</w:t>
      </w:r>
      <w:r>
        <w:rPr>
          <w:rFonts w:ascii="Times New Roman" w:hAnsi="Times New Roman"/>
        </w:rPr>
        <w:t>. 违约</w:t>
      </w:r>
      <w:bookmarkEnd w:id="177"/>
      <w:bookmarkEnd w:id="178"/>
    </w:p>
    <w:p>
      <w:pPr>
        <w:pStyle w:val="6"/>
        <w:spacing w:line="240" w:lineRule="auto"/>
        <w:ind w:firstLine="137"/>
        <w:rPr>
          <w:rFonts w:ascii="Times New Roman"/>
        </w:rPr>
      </w:pPr>
      <w:bookmarkStart w:id="179" w:name="_Toc15233"/>
      <w:bookmarkStart w:id="180" w:name="_Toc482188628"/>
      <w:r>
        <w:rPr>
          <w:rFonts w:ascii="Times New Roman"/>
        </w:rPr>
        <w:t>1</w:t>
      </w:r>
      <w:r>
        <w:rPr>
          <w:rFonts w:hint="eastAsia" w:ascii="Times New Roman"/>
        </w:rPr>
        <w:t>1</w:t>
      </w:r>
      <w:r>
        <w:rPr>
          <w:rFonts w:ascii="Times New Roman"/>
        </w:rPr>
        <w:t xml:space="preserve">.1 </w:t>
      </w:r>
      <w:r>
        <w:rPr>
          <w:rFonts w:hint="eastAsia" w:ascii="Times New Roman"/>
        </w:rPr>
        <w:t>监理人违约</w:t>
      </w:r>
      <w:bookmarkEnd w:id="179"/>
      <w:bookmarkEnd w:id="180"/>
    </w:p>
    <w:p>
      <w:pPr>
        <w:spacing w:line="360" w:lineRule="auto"/>
        <w:ind w:firstLine="420" w:firstLineChars="200"/>
      </w:pPr>
      <w:r>
        <w:t xml:space="preserve">11.1.1 合同履行中发生下列情况之一的，属监理人违约： </w:t>
      </w:r>
    </w:p>
    <w:p>
      <w:pPr>
        <w:spacing w:line="360" w:lineRule="auto"/>
        <w:ind w:firstLine="420" w:firstLineChars="200"/>
        <w:rPr>
          <w:szCs w:val="21"/>
        </w:rPr>
      </w:pPr>
      <w:r>
        <w:rPr>
          <w:rFonts w:hint="eastAsia"/>
          <w:szCs w:val="21"/>
        </w:rPr>
        <w:t>（1）</w:t>
      </w:r>
      <w:r>
        <w:rPr>
          <w:szCs w:val="21"/>
        </w:rPr>
        <w:t xml:space="preserve">监理文件不符合规范标准以及合同约定； </w:t>
      </w:r>
    </w:p>
    <w:p>
      <w:pPr>
        <w:spacing w:line="360" w:lineRule="auto"/>
        <w:ind w:firstLine="420" w:firstLineChars="200"/>
        <w:rPr>
          <w:szCs w:val="21"/>
        </w:rPr>
      </w:pPr>
      <w:r>
        <w:rPr>
          <w:rFonts w:hint="eastAsia"/>
          <w:szCs w:val="21"/>
        </w:rPr>
        <w:t>（2）</w:t>
      </w:r>
      <w:r>
        <w:rPr>
          <w:szCs w:val="21"/>
        </w:rPr>
        <w:t xml:space="preserve">监理人转让监理工作； </w:t>
      </w:r>
    </w:p>
    <w:p>
      <w:pPr>
        <w:spacing w:line="360" w:lineRule="auto"/>
        <w:ind w:firstLine="420" w:firstLineChars="200"/>
        <w:rPr>
          <w:szCs w:val="21"/>
        </w:rPr>
      </w:pPr>
      <w:r>
        <w:rPr>
          <w:rFonts w:hint="eastAsia"/>
          <w:szCs w:val="21"/>
        </w:rPr>
        <w:t>（3）</w:t>
      </w:r>
      <w:r>
        <w:rPr>
          <w:szCs w:val="21"/>
        </w:rPr>
        <w:t xml:space="preserve">监理人未按合同约定实施监理； </w:t>
      </w:r>
    </w:p>
    <w:p>
      <w:pPr>
        <w:spacing w:line="360" w:lineRule="auto"/>
        <w:ind w:firstLine="420" w:firstLineChars="200"/>
        <w:rPr>
          <w:szCs w:val="21"/>
        </w:rPr>
      </w:pPr>
      <w:r>
        <w:rPr>
          <w:rFonts w:hint="eastAsia"/>
          <w:szCs w:val="21"/>
        </w:rPr>
        <w:t>（4）</w:t>
      </w:r>
      <w:r>
        <w:rPr>
          <w:szCs w:val="21"/>
        </w:rPr>
        <w:t xml:space="preserve">监理人无法履行或停止履行合同； </w:t>
      </w:r>
    </w:p>
    <w:p>
      <w:pPr>
        <w:spacing w:line="360" w:lineRule="auto"/>
        <w:ind w:firstLine="420" w:firstLineChars="200"/>
        <w:rPr>
          <w:szCs w:val="21"/>
        </w:rPr>
      </w:pPr>
      <w:r>
        <w:rPr>
          <w:rFonts w:hint="eastAsia"/>
          <w:szCs w:val="21"/>
        </w:rPr>
        <w:t>（5）</w:t>
      </w:r>
      <w:r>
        <w:rPr>
          <w:szCs w:val="21"/>
        </w:rPr>
        <w:t xml:space="preserve">监理人不履行合同约定的其他义务。 </w:t>
      </w:r>
    </w:p>
    <w:p>
      <w:pPr>
        <w:spacing w:line="360" w:lineRule="auto"/>
        <w:ind w:firstLine="420" w:firstLineChars="200"/>
      </w:pPr>
      <w:r>
        <w:t>11.1.2 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pPr>
        <w:pStyle w:val="6"/>
        <w:spacing w:line="240" w:lineRule="auto"/>
        <w:ind w:firstLine="137"/>
        <w:rPr>
          <w:rFonts w:ascii="Times New Roman"/>
        </w:rPr>
      </w:pPr>
      <w:bookmarkStart w:id="181" w:name="_Toc482188629"/>
      <w:bookmarkStart w:id="182" w:name="_Toc16597"/>
      <w:r>
        <w:rPr>
          <w:rFonts w:ascii="Times New Roman"/>
        </w:rPr>
        <w:t>1</w:t>
      </w:r>
      <w:r>
        <w:rPr>
          <w:rFonts w:hint="eastAsia" w:ascii="Times New Roman"/>
        </w:rPr>
        <w:t>1</w:t>
      </w:r>
      <w:r>
        <w:rPr>
          <w:rFonts w:ascii="Times New Roman"/>
        </w:rPr>
        <w:t xml:space="preserve">.2 </w:t>
      </w:r>
      <w:r>
        <w:rPr>
          <w:rFonts w:hint="eastAsia" w:ascii="Times New Roman"/>
        </w:rPr>
        <w:t>委托人违约</w:t>
      </w:r>
      <w:bookmarkEnd w:id="181"/>
      <w:bookmarkEnd w:id="182"/>
    </w:p>
    <w:p>
      <w:pPr>
        <w:spacing w:line="360" w:lineRule="auto"/>
        <w:ind w:firstLine="420" w:firstLineChars="200"/>
      </w:pPr>
      <w:r>
        <w:t>1</w:t>
      </w:r>
      <w:r>
        <w:rPr>
          <w:rFonts w:hint="eastAsia"/>
        </w:rPr>
        <w:t>1</w:t>
      </w:r>
      <w:r>
        <w:t>.2.1 合同履行中发生下列情况之一的，属委托人违约：</w:t>
      </w:r>
    </w:p>
    <w:p>
      <w:pPr>
        <w:spacing w:line="360" w:lineRule="auto"/>
        <w:ind w:firstLine="420" w:firstLineChars="200"/>
      </w:pPr>
      <w:r>
        <w:t xml:space="preserve">（1）委托人未按合同约定支付监理报酬； </w:t>
      </w:r>
    </w:p>
    <w:p>
      <w:pPr>
        <w:spacing w:line="360" w:lineRule="auto"/>
        <w:ind w:firstLine="420" w:firstLineChars="200"/>
      </w:pPr>
      <w:r>
        <w:t>（</w:t>
      </w:r>
      <w:r>
        <w:rPr>
          <w:rFonts w:hint="eastAsia"/>
        </w:rPr>
        <w:t>2</w:t>
      </w:r>
      <w:r>
        <w:t xml:space="preserve">）委托人原因造成监理停止； </w:t>
      </w:r>
    </w:p>
    <w:p>
      <w:pPr>
        <w:spacing w:line="360" w:lineRule="auto"/>
        <w:ind w:firstLine="420" w:firstLineChars="200"/>
      </w:pPr>
      <w:r>
        <w:t>（</w:t>
      </w:r>
      <w:r>
        <w:rPr>
          <w:rFonts w:hint="default"/>
          <w:lang w:val="en-US"/>
        </w:rPr>
        <w:t>3</w:t>
      </w:r>
      <w:r>
        <w:t xml:space="preserve">）委托人无法履行或停止履行合同； </w:t>
      </w:r>
    </w:p>
    <w:p>
      <w:pPr>
        <w:spacing w:line="360" w:lineRule="auto"/>
        <w:ind w:firstLine="420" w:firstLineChars="200"/>
      </w:pPr>
      <w:r>
        <w:t>（</w:t>
      </w:r>
      <w:r>
        <w:rPr>
          <w:rFonts w:hint="default"/>
          <w:lang w:val="en-US"/>
        </w:rPr>
        <w:t>4</w:t>
      </w:r>
      <w:r>
        <w:t xml:space="preserve">）委托人不履行合同约定的其他义务。 </w:t>
      </w:r>
    </w:p>
    <w:p>
      <w:pPr>
        <w:spacing w:line="360" w:lineRule="auto"/>
        <w:ind w:firstLine="420" w:firstLineChars="200"/>
        <w:rPr>
          <w:szCs w:val="21"/>
        </w:rPr>
      </w:pPr>
      <w:r>
        <w:t>11.2.2 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pPr>
        <w:pStyle w:val="6"/>
        <w:spacing w:line="240" w:lineRule="auto"/>
        <w:ind w:firstLine="137"/>
        <w:rPr>
          <w:rFonts w:ascii="Times New Roman"/>
        </w:rPr>
      </w:pPr>
      <w:bookmarkStart w:id="183" w:name="_Toc4397"/>
      <w:bookmarkStart w:id="184" w:name="_Toc482188630"/>
      <w:r>
        <w:rPr>
          <w:rFonts w:ascii="Times New Roman"/>
        </w:rPr>
        <w:t>1</w:t>
      </w:r>
      <w:r>
        <w:rPr>
          <w:rFonts w:hint="eastAsia" w:ascii="Times New Roman"/>
        </w:rPr>
        <w:t>1</w:t>
      </w:r>
      <w:r>
        <w:rPr>
          <w:rFonts w:ascii="Times New Roman"/>
        </w:rPr>
        <w:t xml:space="preserve">.3 </w:t>
      </w:r>
      <w:r>
        <w:rPr>
          <w:rFonts w:hint="eastAsia" w:ascii="Times New Roman"/>
        </w:rPr>
        <w:t>第三人造成的违约</w:t>
      </w:r>
      <w:bookmarkEnd w:id="183"/>
      <w:bookmarkEnd w:id="184"/>
    </w:p>
    <w:p>
      <w:pPr>
        <w:spacing w:line="360" w:lineRule="auto"/>
        <w:ind w:firstLine="420" w:firstLineChars="200"/>
        <w:rPr>
          <w:szCs w:val="21"/>
        </w:rPr>
      </w:pPr>
      <w:r>
        <w:rPr>
          <w:szCs w:val="21"/>
        </w:rPr>
        <w:t>在履行合同过程中，一方当事人因第三人的原因造成违约的，应当向对方当事人承担违约责任。一方当事人和第三人之间的纠纷，依照法律规定或者按照约定解决。</w:t>
      </w:r>
    </w:p>
    <w:p>
      <w:pPr>
        <w:pStyle w:val="5"/>
        <w:rPr>
          <w:rFonts w:ascii="Times New Roman" w:hAnsi="Times New Roman"/>
        </w:rPr>
      </w:pPr>
      <w:bookmarkStart w:id="185" w:name="_Toc28311"/>
      <w:bookmarkStart w:id="186" w:name="_Toc482188631"/>
      <w:r>
        <w:rPr>
          <w:rFonts w:ascii="Times New Roman" w:hAnsi="Times New Roman"/>
        </w:rPr>
        <w:t>1</w:t>
      </w:r>
      <w:r>
        <w:rPr>
          <w:rFonts w:hint="eastAsia" w:ascii="Times New Roman" w:hAnsi="Times New Roman"/>
        </w:rPr>
        <w:t>2</w:t>
      </w:r>
      <w:r>
        <w:rPr>
          <w:rFonts w:ascii="Times New Roman" w:hAnsi="Times New Roman"/>
        </w:rPr>
        <w:t>. 争议的解决</w:t>
      </w:r>
      <w:bookmarkEnd w:id="185"/>
      <w:bookmarkEnd w:id="186"/>
    </w:p>
    <w:p>
      <w:pPr>
        <w:spacing w:line="360" w:lineRule="auto"/>
        <w:ind w:firstLine="420" w:firstLineChars="200"/>
        <w:rPr>
          <w:szCs w:val="21"/>
        </w:rPr>
      </w:pPr>
      <w:r>
        <w:rPr>
          <w:rFonts w:hint="eastAsia"/>
          <w:szCs w:val="21"/>
        </w:rPr>
        <w:t>本合同在履行过程中发生争议的，应友好</w:t>
      </w:r>
      <w:r>
        <w:rPr>
          <w:rFonts w:hint="eastAsia"/>
          <w:szCs w:val="21"/>
          <w:lang w:val="zh-CN"/>
        </w:rPr>
        <w:t>协商解决；不能协商解决的，</w:t>
      </w:r>
      <w:r>
        <w:rPr>
          <w:rFonts w:hint="eastAsia"/>
          <w:szCs w:val="21"/>
          <w:lang w:val="en-US" w:eastAsia="zh-CN"/>
        </w:rPr>
        <w:t>向工程所在地</w:t>
      </w:r>
      <w:r>
        <w:rPr>
          <w:rFonts w:hint="eastAsia"/>
          <w:szCs w:val="21"/>
          <w:lang w:val="zh-CN"/>
        </w:rPr>
        <w:t>人民法院起诉。</w:t>
      </w:r>
    </w:p>
    <w:p>
      <w:pPr>
        <w:spacing w:line="360" w:lineRule="auto"/>
        <w:ind w:firstLine="420" w:firstLineChars="200"/>
        <w:rPr>
          <w:szCs w:val="21"/>
        </w:rPr>
      </w:pPr>
      <w:r>
        <w:rPr>
          <w:rFonts w:hint="eastAsia"/>
          <w:szCs w:val="21"/>
        </w:rPr>
        <w:t>在诉讼期间，本合同不涉及争议部分的条款仍须履行。</w:t>
      </w:r>
    </w:p>
    <w:p>
      <w:pPr>
        <w:widowControl/>
        <w:jc w:val="left"/>
        <w:rPr>
          <w:rFonts w:eastAsia="黑体"/>
          <w:b/>
          <w:bCs/>
          <w:sz w:val="32"/>
          <w:szCs w:val="32"/>
        </w:rPr>
      </w:pPr>
      <w:r>
        <w:br w:type="page"/>
      </w:r>
    </w:p>
    <w:p>
      <w:pPr>
        <w:pStyle w:val="4"/>
        <w:ind w:firstLine="723" w:firstLineChars="200"/>
        <w:jc w:val="center"/>
        <w:rPr>
          <w:rFonts w:ascii="Times New Roman" w:hAnsi="Times New Roman"/>
          <w:sz w:val="36"/>
          <w:szCs w:val="36"/>
        </w:rPr>
      </w:pPr>
      <w:bookmarkStart w:id="187" w:name="_Toc23736"/>
      <w:bookmarkStart w:id="188" w:name="_Toc152045767"/>
      <w:bookmarkStart w:id="189" w:name="_Toc179632785"/>
      <w:bookmarkStart w:id="190" w:name="_Toc144974826"/>
      <w:bookmarkStart w:id="191" w:name="_Toc152042546"/>
      <w:bookmarkStart w:id="192" w:name="_Toc152045610"/>
      <w:bookmarkStart w:id="193" w:name="_Toc184635122"/>
      <w:bookmarkStart w:id="194" w:name="_Toc247514197"/>
      <w:bookmarkStart w:id="195" w:name="_Toc300835199"/>
      <w:bookmarkStart w:id="196" w:name="_Toc247527798"/>
      <w:bookmarkStart w:id="197" w:name="_Toc152042388"/>
      <w:bookmarkStart w:id="198" w:name="_Toc144974578"/>
      <w:r>
        <w:rPr>
          <w:rFonts w:ascii="Times New Roman" w:hAnsi="Times New Roman"/>
          <w:sz w:val="36"/>
          <w:szCs w:val="36"/>
        </w:rPr>
        <w:t>第</w:t>
      </w:r>
      <w:r>
        <w:rPr>
          <w:rFonts w:hint="eastAsia"/>
          <w:sz w:val="36"/>
          <w:szCs w:val="36"/>
          <w:lang w:val="en-US" w:eastAsia="zh-CN"/>
        </w:rPr>
        <w:t>三</w:t>
      </w:r>
      <w:r>
        <w:rPr>
          <w:rFonts w:ascii="Times New Roman" w:hAnsi="Times New Roman"/>
          <w:sz w:val="36"/>
          <w:szCs w:val="36"/>
        </w:rPr>
        <w:t>节</w:t>
      </w:r>
      <w:r>
        <w:rPr>
          <w:rFonts w:hint="eastAsia"/>
          <w:sz w:val="36"/>
          <w:szCs w:val="36"/>
          <w:lang w:val="en-US" w:eastAsia="zh-CN"/>
        </w:rPr>
        <w:t xml:space="preserve"> </w:t>
      </w:r>
      <w:r>
        <w:rPr>
          <w:rFonts w:ascii="Times New Roman" w:hAnsi="Times New Roman"/>
          <w:sz w:val="36"/>
          <w:szCs w:val="36"/>
        </w:rPr>
        <w:t>专用合同条款</w:t>
      </w:r>
      <w:bookmarkEnd w:id="187"/>
    </w:p>
    <w:p>
      <w:pPr>
        <w:pStyle w:val="5"/>
        <w:ind w:firstLine="105"/>
        <w:rPr>
          <w:rFonts w:ascii="Times New Roman" w:hAnsi="Times New Roman"/>
        </w:rPr>
      </w:pPr>
      <w:bookmarkStart w:id="199" w:name="_Toc27179"/>
      <w:r>
        <w:rPr>
          <w:rFonts w:ascii="Times New Roman" w:hAnsi="Times New Roman"/>
        </w:rPr>
        <w:t xml:space="preserve">1. </w:t>
      </w:r>
      <w:r>
        <w:rPr>
          <w:rFonts w:hint="eastAsia" w:ascii="Times New Roman" w:hAnsi="Times New Roman"/>
        </w:rPr>
        <w:t>一般约定</w:t>
      </w:r>
      <w:bookmarkEnd w:id="199"/>
    </w:p>
    <w:p>
      <w:pPr>
        <w:pStyle w:val="6"/>
        <w:spacing w:line="240" w:lineRule="auto"/>
        <w:ind w:firstLine="137"/>
        <w:rPr>
          <w:rFonts w:ascii="Times New Roman"/>
        </w:rPr>
      </w:pPr>
      <w:bookmarkStart w:id="200" w:name="_Toc14720"/>
      <w:r>
        <w:rPr>
          <w:rFonts w:ascii="Times New Roman"/>
        </w:rPr>
        <w:t xml:space="preserve">1.1 </w:t>
      </w:r>
      <w:r>
        <w:rPr>
          <w:rFonts w:hint="eastAsia" w:ascii="Times New Roman"/>
        </w:rPr>
        <w:t>词语定义</w:t>
      </w:r>
      <w:bookmarkEnd w:id="200"/>
    </w:p>
    <w:p>
      <w:pPr>
        <w:spacing w:line="360" w:lineRule="auto"/>
        <w:ind w:firstLine="420" w:firstLineChars="200"/>
      </w:pPr>
      <w:r>
        <w:rPr>
          <w:rFonts w:hint="eastAsia"/>
        </w:rPr>
        <w:t>增加以下内容到第1.1款：</w:t>
      </w:r>
    </w:p>
    <w:p>
      <w:pPr>
        <w:spacing w:line="360" w:lineRule="auto"/>
        <w:ind w:firstLine="420" w:firstLineChars="200"/>
        <w:rPr>
          <w:szCs w:val="21"/>
        </w:rPr>
      </w:pPr>
      <w:r>
        <w:t>1.1.1.9</w:t>
      </w:r>
      <w:r>
        <w:rPr>
          <w:szCs w:val="21"/>
        </w:rPr>
        <w:t xml:space="preserve"> 其他合同文件</w:t>
      </w:r>
      <w:r>
        <w:rPr>
          <w:rFonts w:hint="eastAsia"/>
          <w:szCs w:val="21"/>
        </w:rPr>
        <w:t>包括：</w:t>
      </w:r>
      <w:permStart w:id="71" w:edGrp="everyone"/>
      <w:r>
        <w:rPr>
          <w:rFonts w:hint="eastAsia"/>
          <w:szCs w:val="21"/>
          <w:u w:val="single"/>
        </w:rPr>
        <w:t xml:space="preserve">            </w:t>
      </w:r>
      <w:r>
        <w:rPr>
          <w:szCs w:val="21"/>
        </w:rPr>
        <w:t>。</w:t>
      </w:r>
      <w:permEnd w:id="71"/>
    </w:p>
    <w:p>
      <w:pPr>
        <w:spacing w:line="360" w:lineRule="auto"/>
        <w:ind w:firstLine="420" w:firstLineChars="200"/>
      </w:pPr>
      <w:r>
        <w:t>1.1.2.</w:t>
      </w:r>
      <w:r>
        <w:rPr>
          <w:rFonts w:hint="eastAsia"/>
        </w:rPr>
        <w:t>7 项目建设单位</w:t>
      </w:r>
      <w:r>
        <w:t>：</w:t>
      </w:r>
      <w:r>
        <w:rPr>
          <w:rFonts w:hint="eastAsia"/>
        </w:rPr>
        <w:t>由委托人委托执行本项目的单位，本项目的建设单位为</w:t>
      </w:r>
      <w:permStart w:id="72" w:edGrp="everyone"/>
      <w:r>
        <w:rPr>
          <w:rFonts w:hint="eastAsia"/>
          <w:szCs w:val="21"/>
          <w:u w:val="single"/>
        </w:rPr>
        <w:t xml:space="preserve">          </w:t>
      </w:r>
      <w:r>
        <w:rPr>
          <w:rFonts w:hint="eastAsia"/>
        </w:rPr>
        <w:t>，</w:t>
      </w:r>
      <w:permEnd w:id="72"/>
      <w:r>
        <w:t>执行委托人的权利和义务。</w:t>
      </w:r>
    </w:p>
    <w:p>
      <w:pPr>
        <w:spacing w:line="360" w:lineRule="auto"/>
        <w:ind w:firstLine="420" w:firstLineChars="200"/>
        <w:rPr>
          <w:rFonts w:hAnsi="宋体"/>
          <w:szCs w:val="21"/>
        </w:rPr>
      </w:pPr>
      <w:r>
        <w:rPr>
          <w:szCs w:val="21"/>
        </w:rPr>
        <w:t>1.1.2.</w:t>
      </w:r>
      <w:r>
        <w:rPr>
          <w:rFonts w:hint="eastAsia"/>
          <w:szCs w:val="21"/>
        </w:rPr>
        <w:t xml:space="preserve">8 </w:t>
      </w:r>
      <w:r>
        <w:rPr>
          <w:rFonts w:hint="eastAsia" w:hAnsi="宋体"/>
          <w:szCs w:val="21"/>
        </w:rPr>
        <w:t>业主项目部：是项目委托人或项目建设单位基建管理的基层组织，代表委托人开展项目过程管理各项具体工作，对项目建设管理负直接责任。</w:t>
      </w:r>
    </w:p>
    <w:p>
      <w:pPr>
        <w:spacing w:line="360" w:lineRule="auto"/>
        <w:ind w:firstLine="420" w:firstLineChars="200"/>
      </w:pPr>
      <w:r>
        <w:t>1.</w:t>
      </w:r>
      <w:r>
        <w:rPr>
          <w:rFonts w:hint="eastAsia"/>
        </w:rPr>
        <w:t>1.2.9 监理项目部：指监理人派驻建设工程项目施工现场负责履行建设工程监理合同的组织机构。</w:t>
      </w:r>
    </w:p>
    <w:p>
      <w:pPr>
        <w:spacing w:line="360" w:lineRule="auto"/>
        <w:ind w:firstLine="420" w:firstLineChars="200"/>
      </w:pPr>
      <w:r>
        <w:t>1.</w:t>
      </w:r>
      <w:r>
        <w:rPr>
          <w:rFonts w:hint="eastAsia"/>
        </w:rPr>
        <w:t>1.2.10 施工项目部：指施工承包人</w:t>
      </w:r>
      <w:r>
        <w:t>派驻建设工程项目</w:t>
      </w:r>
      <w:r>
        <w:rPr>
          <w:rFonts w:hint="eastAsia"/>
        </w:rPr>
        <w:t>施工现场</w:t>
      </w:r>
      <w:r>
        <w:t>负责履行</w:t>
      </w:r>
      <w:r>
        <w:rPr>
          <w:rFonts w:hint="eastAsia"/>
        </w:rPr>
        <w:t>建设工程承包合同</w:t>
      </w:r>
      <w:r>
        <w:t>的组织机构</w:t>
      </w:r>
      <w:r>
        <w:rPr>
          <w:rFonts w:hint="eastAsia"/>
        </w:rPr>
        <w:t>。</w:t>
      </w:r>
    </w:p>
    <w:p>
      <w:pPr>
        <w:spacing w:line="360" w:lineRule="auto"/>
        <w:ind w:firstLine="420" w:firstLineChars="200"/>
      </w:pPr>
      <w:r>
        <w:rPr>
          <w:rFonts w:hint="eastAsia"/>
        </w:rPr>
        <w:t>1.1.2.11 参建单位：指为委托人提供施工承包、勘察设计承包、建设监理和造价咨询等服务的单位，包括施工承包人、专业承包商、勘察设计人、监理人等。</w:t>
      </w:r>
    </w:p>
    <w:p>
      <w:pPr>
        <w:spacing w:line="360" w:lineRule="auto"/>
        <w:ind w:firstLine="420" w:firstLineChars="200"/>
        <w:rPr>
          <w:lang w:val="zh-CN"/>
        </w:rPr>
      </w:pPr>
      <w:r>
        <w:rPr>
          <w:rFonts w:hint="eastAsia"/>
        </w:rPr>
        <w:t xml:space="preserve">1.1.6.2 </w:t>
      </w:r>
      <w:r>
        <w:rPr>
          <w:rFonts w:hint="eastAsia"/>
          <w:lang w:val="zh-CN"/>
        </w:rPr>
        <w:t>工程质量监督：指政府质监机构（电力工程质监站、电力质监中心、电力质监中心总站）按规定对工程进行的质量监督活动。</w:t>
      </w:r>
    </w:p>
    <w:p>
      <w:pPr>
        <w:spacing w:line="360" w:lineRule="auto"/>
        <w:ind w:firstLine="420" w:firstLineChars="200"/>
      </w:pPr>
      <w:r>
        <w:rPr>
          <w:rFonts w:hint="eastAsia"/>
        </w:rPr>
        <w:t>1.1.6.3 三控两管一协调：对建设工程质量、进度、造价进行控制，对合同信息进行管理，对工程建设相关方的关系进行协调，同时还要依据《建设工程安全生产管理条例》等法规、政策，履行建设工程安全生产管理的法定职责。</w:t>
      </w:r>
    </w:p>
    <w:p>
      <w:pPr>
        <w:spacing w:line="360" w:lineRule="auto"/>
        <w:ind w:firstLine="420" w:firstLineChars="200"/>
      </w:pPr>
      <w:r>
        <w:rPr>
          <w:rFonts w:hint="eastAsia"/>
        </w:rPr>
        <w:t>1.1.6.4 全过程：指勘察设计、施工准备（含三通一平）、施工、竣工结算、缺陷责任期、达标投产创优。</w:t>
      </w:r>
    </w:p>
    <w:p>
      <w:pPr>
        <w:pStyle w:val="6"/>
        <w:spacing w:line="240" w:lineRule="auto"/>
        <w:ind w:firstLine="137"/>
        <w:rPr>
          <w:rFonts w:ascii="Times New Roman"/>
        </w:rPr>
      </w:pPr>
      <w:bookmarkStart w:id="201" w:name="_Toc9959"/>
      <w:r>
        <w:rPr>
          <w:rFonts w:ascii="Times New Roman"/>
        </w:rPr>
        <w:t xml:space="preserve">1.3 </w:t>
      </w:r>
      <w:r>
        <w:rPr>
          <w:rFonts w:hint="eastAsia" w:ascii="Times New Roman"/>
        </w:rPr>
        <w:t>适用法律</w:t>
      </w:r>
      <w:bookmarkEnd w:id="201"/>
    </w:p>
    <w:p>
      <w:pPr>
        <w:spacing w:line="360" w:lineRule="auto"/>
        <w:ind w:firstLine="420" w:firstLineChars="200"/>
      </w:pPr>
      <w:r>
        <w:rPr>
          <w:rFonts w:hint="eastAsia"/>
        </w:rPr>
        <w:t>增加以下内容到第1.3款：</w:t>
      </w:r>
    </w:p>
    <w:p>
      <w:pPr>
        <w:spacing w:line="360" w:lineRule="auto"/>
        <w:ind w:firstLine="420" w:firstLineChars="200"/>
        <w:rPr>
          <w:szCs w:val="21"/>
        </w:rPr>
      </w:pPr>
      <w:r>
        <w:t>本合同适用的其他规范性文件：</w:t>
      </w:r>
      <w:permStart w:id="73" w:edGrp="everyone"/>
      <w:r>
        <w:rPr>
          <w:rFonts w:hint="eastAsia"/>
          <w:szCs w:val="21"/>
          <w:u w:val="single"/>
        </w:rPr>
        <w:t xml:space="preserve">            </w:t>
      </w:r>
      <w:permEnd w:id="73"/>
      <w:r>
        <w:rPr>
          <w:szCs w:val="21"/>
        </w:rPr>
        <w:t>。</w:t>
      </w:r>
    </w:p>
    <w:p>
      <w:pPr>
        <w:pStyle w:val="6"/>
        <w:spacing w:line="240" w:lineRule="auto"/>
        <w:ind w:firstLine="137"/>
        <w:rPr>
          <w:rFonts w:ascii="Times New Roman"/>
        </w:rPr>
      </w:pPr>
      <w:bookmarkStart w:id="202" w:name="_Toc17709"/>
      <w:r>
        <w:rPr>
          <w:rFonts w:ascii="Times New Roman"/>
        </w:rPr>
        <w:t xml:space="preserve">1.4 </w:t>
      </w:r>
      <w:r>
        <w:rPr>
          <w:rFonts w:hint="eastAsia" w:ascii="Times New Roman"/>
        </w:rPr>
        <w:t>合同文件的优先顺序</w:t>
      </w:r>
      <w:bookmarkEnd w:id="202"/>
    </w:p>
    <w:p>
      <w:pPr>
        <w:spacing w:line="360" w:lineRule="auto"/>
        <w:ind w:firstLine="420" w:firstLineChars="200"/>
      </w:pPr>
      <w:r>
        <w:rPr>
          <w:rFonts w:hint="eastAsia"/>
        </w:rPr>
        <w:t>替换以下内容到第1.4款：</w:t>
      </w:r>
    </w:p>
    <w:p>
      <w:pPr>
        <w:spacing w:line="360" w:lineRule="auto"/>
        <w:ind w:firstLine="420" w:firstLineChars="200"/>
        <w:rPr>
          <w:szCs w:val="21"/>
        </w:rPr>
      </w:pPr>
      <w:r>
        <w:rPr>
          <w:szCs w:val="21"/>
        </w:rPr>
        <w:t>组成合同的各项文件应互相解释，互为说明。解释合同文件的优先顺序如下：</w:t>
      </w:r>
    </w:p>
    <w:p>
      <w:pPr>
        <w:spacing w:line="360" w:lineRule="auto"/>
        <w:ind w:firstLine="420"/>
      </w:pPr>
      <w:r>
        <w:t>（1）合同协议书；</w:t>
      </w:r>
    </w:p>
    <w:p>
      <w:pPr>
        <w:spacing w:line="360" w:lineRule="auto"/>
        <w:ind w:firstLine="420"/>
      </w:pPr>
      <w:r>
        <w:t>（2）中标通知书；</w:t>
      </w:r>
    </w:p>
    <w:p>
      <w:pPr>
        <w:spacing w:line="360" w:lineRule="auto"/>
        <w:ind w:firstLine="420"/>
      </w:pPr>
      <w:r>
        <w:t>（3）专用合同条款</w:t>
      </w:r>
      <w:r>
        <w:rPr>
          <w:rFonts w:hint="eastAsia"/>
        </w:rPr>
        <w:t>及合同附件</w:t>
      </w:r>
      <w:r>
        <w:t>；</w:t>
      </w:r>
    </w:p>
    <w:p>
      <w:pPr>
        <w:spacing w:line="360" w:lineRule="auto"/>
        <w:ind w:firstLine="420"/>
      </w:pPr>
      <w:r>
        <w:t>（4）通用合同条款；</w:t>
      </w:r>
    </w:p>
    <w:p>
      <w:pPr>
        <w:spacing w:line="360" w:lineRule="auto"/>
        <w:ind w:firstLine="420"/>
      </w:pPr>
      <w:r>
        <w:t>（5）</w:t>
      </w:r>
      <w:r>
        <w:rPr>
          <w:rFonts w:hint="eastAsia"/>
        </w:rPr>
        <w:t>招标文件（含答疑及澄清）；</w:t>
      </w:r>
    </w:p>
    <w:p>
      <w:pPr>
        <w:spacing w:line="360" w:lineRule="auto"/>
        <w:ind w:firstLine="420"/>
      </w:pPr>
      <w:r>
        <w:t>（6）投标函及</w:t>
      </w:r>
      <w:r>
        <w:rPr>
          <w:rFonts w:hint="eastAsia"/>
        </w:rPr>
        <w:t>投标函附录、监理大纲（含澄清）</w:t>
      </w:r>
      <w:r>
        <w:t>；</w:t>
      </w:r>
    </w:p>
    <w:p>
      <w:pPr>
        <w:spacing w:line="360" w:lineRule="auto"/>
        <w:ind w:firstLine="420"/>
      </w:pPr>
      <w:r>
        <w:rPr>
          <w:rFonts w:hint="eastAsia"/>
        </w:rPr>
        <w:t>（7）</w:t>
      </w:r>
      <w:r>
        <w:t>委托人要求；</w:t>
      </w:r>
    </w:p>
    <w:p>
      <w:pPr>
        <w:spacing w:line="360" w:lineRule="auto"/>
        <w:ind w:firstLine="420"/>
      </w:pPr>
      <w:r>
        <w:t>（</w:t>
      </w:r>
      <w:r>
        <w:rPr>
          <w:rFonts w:hint="eastAsia"/>
        </w:rPr>
        <w:t>8</w:t>
      </w:r>
      <w:r>
        <w:t>）</w:t>
      </w:r>
      <w:r>
        <w:rPr>
          <w:rFonts w:hint="eastAsia"/>
        </w:rPr>
        <w:t>图纸；</w:t>
      </w:r>
    </w:p>
    <w:p>
      <w:pPr>
        <w:spacing w:line="360" w:lineRule="auto"/>
        <w:ind w:firstLine="420"/>
      </w:pPr>
      <w:r>
        <w:rPr>
          <w:rFonts w:hint="eastAsia"/>
        </w:rPr>
        <w:t>（9）监理报酬清单</w:t>
      </w:r>
      <w:r>
        <w:t>；</w:t>
      </w:r>
    </w:p>
    <w:p>
      <w:pPr>
        <w:spacing w:line="360" w:lineRule="auto"/>
        <w:ind w:firstLine="420"/>
        <w:rPr>
          <w:szCs w:val="21"/>
        </w:rPr>
      </w:pPr>
      <w:r>
        <w:t>（</w:t>
      </w:r>
      <w:r>
        <w:rPr>
          <w:rFonts w:hint="eastAsia"/>
        </w:rPr>
        <w:t>10</w:t>
      </w:r>
      <w:r>
        <w:t>）其他合同</w:t>
      </w:r>
      <w:r>
        <w:rPr>
          <w:szCs w:val="21"/>
        </w:rPr>
        <w:t>文件。</w:t>
      </w:r>
    </w:p>
    <w:p>
      <w:pPr>
        <w:pStyle w:val="6"/>
        <w:spacing w:line="240" w:lineRule="auto"/>
        <w:ind w:firstLine="137"/>
        <w:rPr>
          <w:rFonts w:ascii="Times New Roman"/>
        </w:rPr>
      </w:pPr>
      <w:bookmarkStart w:id="203" w:name="_Toc3285"/>
      <w:r>
        <w:rPr>
          <w:rFonts w:ascii="Times New Roman"/>
        </w:rPr>
        <w:t xml:space="preserve">1.6 </w:t>
      </w:r>
      <w:r>
        <w:rPr>
          <w:rFonts w:hint="eastAsia" w:ascii="Times New Roman"/>
        </w:rPr>
        <w:t>文件的提供和照管</w:t>
      </w:r>
      <w:bookmarkEnd w:id="203"/>
    </w:p>
    <w:p>
      <w:pPr>
        <w:spacing w:line="360" w:lineRule="auto"/>
        <w:ind w:firstLine="422" w:firstLineChars="200"/>
        <w:rPr>
          <w:b/>
        </w:rPr>
      </w:pPr>
      <w:r>
        <w:rPr>
          <w:rFonts w:hint="eastAsia"/>
          <w:b/>
        </w:rPr>
        <w:t>1.6.1 监理文件的提供</w:t>
      </w:r>
    </w:p>
    <w:p>
      <w:pPr>
        <w:spacing w:line="360" w:lineRule="auto"/>
        <w:ind w:firstLine="420" w:firstLineChars="200"/>
      </w:pPr>
      <w:r>
        <w:rPr>
          <w:rFonts w:hint="eastAsia"/>
        </w:rPr>
        <w:t>增加以下内容到第1.6.1款：</w:t>
      </w:r>
    </w:p>
    <w:p>
      <w:pPr>
        <w:spacing w:line="360" w:lineRule="auto"/>
        <w:ind w:firstLine="420" w:firstLineChars="200"/>
        <w:rPr>
          <w:szCs w:val="21"/>
        </w:rPr>
      </w:pPr>
      <w:r>
        <w:rPr>
          <w:rFonts w:hint="eastAsia"/>
          <w:szCs w:val="21"/>
        </w:rPr>
        <w:t>监理文件的提供执行</w:t>
      </w:r>
      <w:permStart w:id="74" w:edGrp="everyone"/>
      <w:r>
        <w:rPr>
          <w:rFonts w:hint="eastAsia"/>
          <w:szCs w:val="21"/>
        </w:rPr>
        <w:t>“合同附件格式”附件二</w:t>
      </w:r>
      <w:r>
        <w:rPr>
          <w:rFonts w:hint="eastAsia" w:ascii="宋体" w:hAnsi="宋体" w:cs="仿宋_GB2312"/>
          <w:kern w:val="0"/>
          <w:szCs w:val="21"/>
        </w:rPr>
        <w:t>。</w:t>
      </w:r>
    </w:p>
    <w:permEnd w:id="74"/>
    <w:p>
      <w:pPr>
        <w:spacing w:line="360" w:lineRule="auto"/>
        <w:ind w:firstLine="422" w:firstLineChars="200"/>
        <w:rPr>
          <w:b/>
          <w:szCs w:val="21"/>
        </w:rPr>
      </w:pPr>
      <w:r>
        <w:rPr>
          <w:b/>
        </w:rPr>
        <w:t xml:space="preserve">1.6.2 </w:t>
      </w:r>
      <w:r>
        <w:rPr>
          <w:b/>
          <w:szCs w:val="21"/>
        </w:rPr>
        <w:t>委托人提供的文件</w:t>
      </w:r>
    </w:p>
    <w:p>
      <w:pPr>
        <w:spacing w:line="360" w:lineRule="auto"/>
        <w:ind w:firstLine="420" w:firstLineChars="200"/>
        <w:rPr>
          <w:szCs w:val="21"/>
        </w:rPr>
      </w:pPr>
      <w:r>
        <w:rPr>
          <w:rFonts w:hint="eastAsia"/>
        </w:rPr>
        <w:t>增加以下内容到第1.6.2款：</w:t>
      </w:r>
    </w:p>
    <w:p>
      <w:pPr>
        <w:spacing w:line="360" w:lineRule="auto"/>
        <w:ind w:firstLine="420" w:firstLineChars="200"/>
        <w:rPr>
          <w:szCs w:val="21"/>
        </w:rPr>
      </w:pPr>
      <w:r>
        <w:rPr>
          <w:rFonts w:hint="eastAsia"/>
          <w:szCs w:val="21"/>
        </w:rPr>
        <w:t>委托人向监理人提供开展监理工作所需的有关基础资料的数量和期限：</w:t>
      </w:r>
      <w:permStart w:id="75" w:edGrp="everyone"/>
      <w:r>
        <w:rPr>
          <w:rFonts w:hint="eastAsia"/>
          <w:szCs w:val="21"/>
          <w:u w:val="single"/>
        </w:rPr>
        <w:t xml:space="preserve">            </w:t>
      </w:r>
      <w:r>
        <w:rPr>
          <w:rFonts w:hint="eastAsia"/>
          <w:szCs w:val="21"/>
        </w:rPr>
        <w:t>。</w:t>
      </w:r>
    </w:p>
    <w:permEnd w:id="75"/>
    <w:p>
      <w:pPr>
        <w:pStyle w:val="6"/>
        <w:spacing w:line="240" w:lineRule="auto"/>
        <w:ind w:firstLine="137"/>
        <w:rPr>
          <w:rFonts w:ascii="Times New Roman"/>
        </w:rPr>
      </w:pPr>
      <w:bookmarkStart w:id="204" w:name="_Toc3231"/>
      <w:r>
        <w:rPr>
          <w:rFonts w:ascii="Times New Roman"/>
        </w:rPr>
        <w:t xml:space="preserve">1.7 </w:t>
      </w:r>
      <w:r>
        <w:rPr>
          <w:rFonts w:hint="eastAsia" w:ascii="Times New Roman"/>
        </w:rPr>
        <w:t>联络</w:t>
      </w:r>
      <w:bookmarkEnd w:id="204"/>
    </w:p>
    <w:p>
      <w:pPr>
        <w:spacing w:line="360" w:lineRule="auto"/>
        <w:ind w:firstLine="420" w:firstLineChars="200"/>
      </w:pPr>
      <w:r>
        <w:rPr>
          <w:rFonts w:hint="eastAsia"/>
        </w:rPr>
        <w:t>增加以下内容到第1.7款：</w:t>
      </w:r>
    </w:p>
    <w:p>
      <w:pPr>
        <w:spacing w:line="360" w:lineRule="auto"/>
        <w:ind w:firstLine="420" w:firstLineChars="200"/>
        <w:rPr>
          <w:szCs w:val="21"/>
          <w:lang w:val="zh-CN"/>
        </w:rPr>
      </w:pPr>
      <w:r>
        <w:rPr>
          <w:szCs w:val="21"/>
          <w:lang w:val="zh-CN"/>
        </w:rPr>
        <w:t>1.</w:t>
      </w:r>
      <w:r>
        <w:rPr>
          <w:rFonts w:hint="eastAsia"/>
          <w:szCs w:val="21"/>
          <w:lang w:val="zh-CN"/>
        </w:rPr>
        <w:t>7</w:t>
      </w:r>
      <w:r>
        <w:rPr>
          <w:szCs w:val="21"/>
          <w:lang w:val="zh-CN"/>
        </w:rPr>
        <w:t>.</w:t>
      </w:r>
      <w:r>
        <w:rPr>
          <w:rFonts w:hint="eastAsia"/>
          <w:szCs w:val="21"/>
          <w:lang w:val="zh-CN"/>
        </w:rPr>
        <w:t xml:space="preserve">2 </w:t>
      </w:r>
      <w:r>
        <w:rPr>
          <w:szCs w:val="21"/>
          <w:lang w:val="zh-CN"/>
        </w:rPr>
        <w:t>委托人和</w:t>
      </w:r>
      <w:r>
        <w:rPr>
          <w:rFonts w:hint="eastAsia"/>
          <w:szCs w:val="21"/>
          <w:lang w:val="zh-CN"/>
        </w:rPr>
        <w:t>监理</w:t>
      </w:r>
      <w:r>
        <w:rPr>
          <w:szCs w:val="21"/>
          <w:lang w:val="zh-CN"/>
        </w:rPr>
        <w:t>人应当在</w:t>
      </w:r>
      <w:permStart w:id="76" w:edGrp="everyone"/>
      <w:r>
        <w:rPr>
          <w:rFonts w:hint="eastAsia"/>
          <w:szCs w:val="21"/>
          <w:u w:val="single"/>
          <w:lang w:val="zh-CN"/>
        </w:rPr>
        <w:t xml:space="preserve">   </w:t>
      </w:r>
      <w:r>
        <w:rPr>
          <w:szCs w:val="21"/>
          <w:lang w:val="zh-CN"/>
        </w:rPr>
        <w:t>天</w:t>
      </w:r>
      <w:permEnd w:id="76"/>
      <w:r>
        <w:rPr>
          <w:szCs w:val="21"/>
          <w:lang w:val="zh-CN"/>
        </w:rPr>
        <w:t>内将与合同有关的通知、批准、证明、证书、指示、指令、要求、请求、同意、意见、确定和决定等</w:t>
      </w:r>
      <w:r>
        <w:rPr>
          <w:szCs w:val="21"/>
        </w:rPr>
        <w:t>来往函件</w:t>
      </w:r>
      <w:r>
        <w:rPr>
          <w:szCs w:val="21"/>
          <w:lang w:val="zh-CN"/>
        </w:rPr>
        <w:t>送达</w:t>
      </w:r>
      <w:r>
        <w:rPr>
          <w:szCs w:val="21"/>
        </w:rPr>
        <w:t>指定的地点和指定的接收人，并办理签收手续。</w:t>
      </w:r>
    </w:p>
    <w:p>
      <w:pPr>
        <w:spacing w:line="360" w:lineRule="auto"/>
        <w:ind w:firstLine="420" w:firstLineChars="200"/>
        <w:rPr>
          <w:szCs w:val="21"/>
          <w:lang w:val="zh-CN"/>
        </w:rPr>
      </w:pPr>
      <w:permStart w:id="77" w:edGrp="everyone"/>
      <w:r>
        <w:rPr>
          <w:rFonts w:hint="eastAsia"/>
          <w:szCs w:val="21"/>
          <w:lang w:val="zh-CN"/>
        </w:rPr>
        <w:t>（1）</w:t>
      </w:r>
      <w:r>
        <w:rPr>
          <w:szCs w:val="21"/>
          <w:lang w:val="zh-CN"/>
        </w:rPr>
        <w:t>委托人指定的</w:t>
      </w:r>
      <w:r>
        <w:rPr>
          <w:rFonts w:hint="eastAsia"/>
          <w:szCs w:val="21"/>
          <w:lang w:val="zh-CN"/>
        </w:rPr>
        <w:t>来往函件</w:t>
      </w:r>
      <w:r>
        <w:rPr>
          <w:szCs w:val="21"/>
          <w:lang w:val="zh-CN"/>
        </w:rPr>
        <w:t>接收地点：</w:t>
      </w:r>
      <w:r>
        <w:rPr>
          <w:rFonts w:hint="eastAsia"/>
          <w:szCs w:val="21"/>
          <w:u w:val="single"/>
        </w:rPr>
        <w:t xml:space="preserve">            </w:t>
      </w:r>
      <w:r>
        <w:rPr>
          <w:szCs w:val="21"/>
          <w:lang w:val="zh-CN"/>
        </w:rPr>
        <w:t>；</w:t>
      </w:r>
    </w:p>
    <w:p>
      <w:pPr>
        <w:spacing w:line="360" w:lineRule="auto"/>
        <w:ind w:firstLine="420" w:firstLineChars="200"/>
        <w:rPr>
          <w:szCs w:val="21"/>
          <w:lang w:val="zh-CN"/>
        </w:rPr>
      </w:pPr>
      <w:r>
        <w:rPr>
          <w:rFonts w:hint="eastAsia"/>
          <w:szCs w:val="21"/>
          <w:lang w:val="zh-CN"/>
        </w:rPr>
        <w:t>（2）</w:t>
      </w:r>
      <w:r>
        <w:rPr>
          <w:szCs w:val="21"/>
          <w:lang w:val="zh-CN"/>
        </w:rPr>
        <w:t>委托人指定的</w:t>
      </w:r>
      <w:r>
        <w:rPr>
          <w:rFonts w:hint="eastAsia"/>
          <w:szCs w:val="21"/>
          <w:lang w:val="zh-CN"/>
        </w:rPr>
        <w:t>来往函件</w:t>
      </w:r>
      <w:r>
        <w:rPr>
          <w:szCs w:val="21"/>
          <w:lang w:val="zh-CN"/>
        </w:rPr>
        <w:t>接收人：</w:t>
      </w:r>
      <w:r>
        <w:rPr>
          <w:rFonts w:hint="eastAsia"/>
          <w:szCs w:val="21"/>
          <w:u w:val="single"/>
        </w:rPr>
        <w:t xml:space="preserve">            </w:t>
      </w:r>
      <w:r>
        <w:rPr>
          <w:rFonts w:hint="eastAsia"/>
          <w:szCs w:val="21"/>
          <w:lang w:val="zh-CN"/>
        </w:rPr>
        <w:t>；</w:t>
      </w:r>
    </w:p>
    <w:p>
      <w:pPr>
        <w:spacing w:line="360" w:lineRule="auto"/>
        <w:ind w:firstLine="420" w:firstLineChars="200"/>
        <w:rPr>
          <w:szCs w:val="21"/>
          <w:lang w:val="zh-CN"/>
        </w:rPr>
      </w:pPr>
      <w:r>
        <w:rPr>
          <w:rFonts w:hint="eastAsia"/>
          <w:szCs w:val="21"/>
          <w:lang w:val="zh-CN"/>
        </w:rPr>
        <w:t>（3）委托人指定</w:t>
      </w:r>
      <w:r>
        <w:rPr>
          <w:szCs w:val="21"/>
          <w:lang w:val="zh-CN"/>
        </w:rPr>
        <w:t>的</w:t>
      </w:r>
      <w:r>
        <w:rPr>
          <w:rFonts w:hint="eastAsia"/>
          <w:szCs w:val="21"/>
          <w:lang w:val="zh-CN"/>
        </w:rPr>
        <w:t>来往函件接收电子邮箱：</w:t>
      </w:r>
      <w:r>
        <w:rPr>
          <w:rFonts w:hint="eastAsia"/>
          <w:szCs w:val="21"/>
          <w:u w:val="single"/>
        </w:rPr>
        <w:t xml:space="preserve">            </w:t>
      </w:r>
      <w:r>
        <w:rPr>
          <w:rFonts w:hint="eastAsia"/>
          <w:szCs w:val="21"/>
          <w:lang w:val="zh-CN"/>
        </w:rPr>
        <w:t>；</w:t>
      </w:r>
    </w:p>
    <w:p>
      <w:pPr>
        <w:spacing w:line="360" w:lineRule="auto"/>
        <w:ind w:firstLine="420" w:firstLineChars="200"/>
        <w:rPr>
          <w:szCs w:val="21"/>
          <w:lang w:val="zh-CN"/>
        </w:rPr>
      </w:pPr>
      <w:r>
        <w:rPr>
          <w:rFonts w:hint="eastAsia"/>
          <w:szCs w:val="21"/>
          <w:lang w:val="zh-CN"/>
        </w:rPr>
        <w:t>（4）监理</w:t>
      </w:r>
      <w:r>
        <w:rPr>
          <w:szCs w:val="21"/>
          <w:lang w:val="zh-CN"/>
        </w:rPr>
        <w:t>人的</w:t>
      </w:r>
      <w:r>
        <w:rPr>
          <w:rFonts w:hint="eastAsia"/>
          <w:szCs w:val="21"/>
          <w:lang w:val="zh-CN"/>
        </w:rPr>
        <w:t>来往函件接收</w:t>
      </w:r>
      <w:r>
        <w:rPr>
          <w:szCs w:val="21"/>
          <w:lang w:val="zh-CN"/>
        </w:rPr>
        <w:t>地点：</w:t>
      </w:r>
      <w:r>
        <w:rPr>
          <w:rFonts w:hint="eastAsia"/>
          <w:szCs w:val="21"/>
          <w:u w:val="single"/>
        </w:rPr>
        <w:t xml:space="preserve">            </w:t>
      </w:r>
      <w:r>
        <w:rPr>
          <w:szCs w:val="21"/>
          <w:lang w:val="zh-CN"/>
        </w:rPr>
        <w:t>；</w:t>
      </w:r>
    </w:p>
    <w:p>
      <w:pPr>
        <w:spacing w:line="360" w:lineRule="auto"/>
        <w:ind w:firstLine="420" w:firstLineChars="200"/>
        <w:rPr>
          <w:szCs w:val="21"/>
          <w:lang w:val="zh-CN"/>
        </w:rPr>
      </w:pPr>
      <w:r>
        <w:rPr>
          <w:rFonts w:hint="eastAsia"/>
          <w:szCs w:val="21"/>
          <w:lang w:val="zh-CN"/>
        </w:rPr>
        <w:t>（5）监理</w:t>
      </w:r>
      <w:r>
        <w:rPr>
          <w:szCs w:val="21"/>
          <w:lang w:val="zh-CN"/>
        </w:rPr>
        <w:t>人的</w:t>
      </w:r>
      <w:r>
        <w:rPr>
          <w:rFonts w:hint="eastAsia"/>
          <w:szCs w:val="21"/>
          <w:lang w:val="zh-CN"/>
        </w:rPr>
        <w:t>来往函件</w:t>
      </w:r>
      <w:r>
        <w:rPr>
          <w:szCs w:val="21"/>
          <w:lang w:val="zh-CN"/>
        </w:rPr>
        <w:t>接收人：</w:t>
      </w:r>
      <w:r>
        <w:rPr>
          <w:rFonts w:hint="eastAsia"/>
          <w:szCs w:val="21"/>
          <w:u w:val="single"/>
        </w:rPr>
        <w:t xml:space="preserve">            </w:t>
      </w:r>
      <w:r>
        <w:rPr>
          <w:rFonts w:hint="eastAsia"/>
          <w:szCs w:val="21"/>
          <w:lang w:val="zh-CN"/>
        </w:rPr>
        <w:t>；</w:t>
      </w:r>
    </w:p>
    <w:p>
      <w:pPr>
        <w:spacing w:line="360" w:lineRule="auto"/>
        <w:ind w:firstLine="420" w:firstLineChars="200"/>
        <w:rPr>
          <w:szCs w:val="21"/>
          <w:lang w:val="zh-CN"/>
        </w:rPr>
      </w:pPr>
      <w:r>
        <w:rPr>
          <w:rFonts w:hint="eastAsia"/>
          <w:szCs w:val="21"/>
          <w:lang w:val="zh-CN"/>
        </w:rPr>
        <w:t>（6）监理</w:t>
      </w:r>
      <w:r>
        <w:rPr>
          <w:szCs w:val="21"/>
          <w:lang w:val="zh-CN"/>
        </w:rPr>
        <w:t>人的</w:t>
      </w:r>
      <w:r>
        <w:rPr>
          <w:rFonts w:hint="eastAsia"/>
          <w:szCs w:val="21"/>
          <w:lang w:val="zh-CN"/>
        </w:rPr>
        <w:t>来往函件接收电子邮箱：</w:t>
      </w:r>
      <w:r>
        <w:rPr>
          <w:rFonts w:hint="eastAsia"/>
          <w:szCs w:val="21"/>
          <w:u w:val="single"/>
        </w:rPr>
        <w:t xml:space="preserve">            </w:t>
      </w:r>
      <w:r>
        <w:rPr>
          <w:szCs w:val="21"/>
          <w:lang w:val="zh-CN"/>
        </w:rPr>
        <w:t>。</w:t>
      </w:r>
    </w:p>
    <w:permEnd w:id="77"/>
    <w:p>
      <w:pPr>
        <w:pStyle w:val="6"/>
        <w:spacing w:line="240" w:lineRule="auto"/>
        <w:ind w:firstLine="137"/>
        <w:rPr>
          <w:rFonts w:ascii="Times New Roman"/>
        </w:rPr>
      </w:pPr>
      <w:bookmarkStart w:id="205" w:name="_Toc3690"/>
      <w:r>
        <w:rPr>
          <w:rFonts w:ascii="Times New Roman"/>
        </w:rPr>
        <w:t xml:space="preserve">1.10 </w:t>
      </w:r>
      <w:r>
        <w:rPr>
          <w:rFonts w:hint="eastAsia" w:ascii="Times New Roman"/>
        </w:rPr>
        <w:t>知识产权</w:t>
      </w:r>
      <w:bookmarkEnd w:id="205"/>
    </w:p>
    <w:p>
      <w:pPr>
        <w:spacing w:line="360" w:lineRule="auto"/>
        <w:ind w:firstLine="420" w:firstLineChars="200"/>
      </w:pPr>
      <w:r>
        <w:rPr>
          <w:rFonts w:hint="eastAsia"/>
        </w:rPr>
        <w:t>增加以下内容到第1.10.1款：</w:t>
      </w:r>
    </w:p>
    <w:p>
      <w:pPr>
        <w:spacing w:line="360" w:lineRule="auto"/>
        <w:ind w:firstLine="420" w:firstLineChars="200"/>
        <w:rPr>
          <w:szCs w:val="21"/>
          <w:lang w:val="zh-CN"/>
        </w:rPr>
      </w:pPr>
      <w:r>
        <w:rPr>
          <w:rFonts w:hint="eastAsia"/>
          <w:szCs w:val="21"/>
        </w:rPr>
        <w:t>关于监理</w:t>
      </w:r>
      <w:r>
        <w:rPr>
          <w:szCs w:val="21"/>
        </w:rPr>
        <w:t>人</w:t>
      </w:r>
      <w:r>
        <w:rPr>
          <w:rFonts w:hint="eastAsia"/>
          <w:szCs w:val="21"/>
        </w:rPr>
        <w:t>完成的监理</w:t>
      </w:r>
      <w:r>
        <w:rPr>
          <w:szCs w:val="21"/>
        </w:rPr>
        <w:t>工作成果</w:t>
      </w:r>
      <w:r>
        <w:rPr>
          <w:lang w:val="zh-CN"/>
        </w:rPr>
        <w:t>的著作权</w:t>
      </w:r>
      <w:r>
        <w:rPr>
          <w:szCs w:val="21"/>
        </w:rPr>
        <w:t>和其他知识产权</w:t>
      </w:r>
      <w:r>
        <w:rPr>
          <w:lang w:val="zh-CN"/>
        </w:rPr>
        <w:t>的归属</w:t>
      </w:r>
      <w:r>
        <w:rPr>
          <w:rFonts w:hint="eastAsia"/>
          <w:lang w:val="zh-CN"/>
        </w:rPr>
        <w:t>：</w:t>
      </w:r>
      <w:sdt>
        <w:sdtPr>
          <w:rPr>
            <w:rFonts w:hint="eastAsia" w:ascii="宋体" w:hAnsi="宋体" w:eastAsia="宋体" w:cs="宋体"/>
            <w:kern w:val="2"/>
            <w:sz w:val="21"/>
            <w:szCs w:val="21"/>
            <w:lang w:val="zh-CN" w:eastAsia="zh-CN" w:bidi="ar-SA"/>
          </w:rPr>
          <w:alias w:val="知识产权原则上应约定归属我方"/>
          <w:tag w:val="知识产权归属"/>
          <w:id w:val="147474868"/>
          <w:placeholder>
            <w:docPart w:val="{fa4facf1-cf62-4c2d-a0cb-fc5e91dcb2ab}"/>
          </w:placeholder>
          <w:text w:multiLine="1"/>
        </w:sdtPr>
        <w:sdtEndPr>
          <w:rPr>
            <w:rFonts w:hint="eastAsia" w:ascii="Times New Roman" w:hAnsi="Times New Roman" w:eastAsia="宋体" w:cs="Times New Roman"/>
            <w:kern w:val="2"/>
            <w:sz w:val="28"/>
            <w:szCs w:val="28"/>
            <w:u w:val="single"/>
            <w:lang w:val="en-US" w:eastAsia="zh-CN" w:bidi="ar-SA"/>
          </w:rPr>
        </w:sdtEndPr>
        <w:sdtContent>
          <w:permStart w:id="78" w:edGrp="everyone"/>
          <w:r>
            <w:rPr>
              <w:rFonts w:hint="eastAsia" w:ascii="宋体" w:hAnsi="宋体" w:eastAsia="宋体" w:cs="宋体"/>
              <w:sz w:val="21"/>
              <w:szCs w:val="21"/>
              <w:u w:val="single"/>
            </w:rPr>
            <w:t xml:space="preserve">      </w:t>
          </w:r>
          <w:r>
            <w:rPr>
              <w:rFonts w:hint="eastAsia" w:ascii="宋体" w:hAnsi="宋体" w:eastAsia="宋体" w:cs="宋体"/>
              <w:sz w:val="21"/>
              <w:szCs w:val="21"/>
              <w:u w:val="single"/>
              <w:lang w:eastAsia="zh-CN"/>
            </w:rPr>
            <w:t>。</w:t>
          </w:r>
          <w:permEnd w:id="78"/>
        </w:sdtContent>
      </w:sdt>
    </w:p>
    <w:p>
      <w:pPr>
        <w:spacing w:line="360" w:lineRule="auto"/>
        <w:ind w:firstLine="420" w:firstLineChars="200"/>
        <w:rPr>
          <w:szCs w:val="21"/>
          <w:lang w:val="zh-CN"/>
        </w:rPr>
      </w:pPr>
      <w:r>
        <w:rPr>
          <w:rFonts w:hint="eastAsia"/>
          <w:szCs w:val="21"/>
        </w:rPr>
        <w:t>关于监理</w:t>
      </w:r>
      <w:r>
        <w:rPr>
          <w:szCs w:val="21"/>
        </w:rPr>
        <w:t>人</w:t>
      </w:r>
      <w:r>
        <w:rPr>
          <w:rFonts w:hint="eastAsia"/>
          <w:szCs w:val="21"/>
        </w:rPr>
        <w:t>完成的监理</w:t>
      </w:r>
      <w:r>
        <w:rPr>
          <w:szCs w:val="21"/>
        </w:rPr>
        <w:t>工作成果</w:t>
      </w:r>
      <w:r>
        <w:rPr>
          <w:lang w:val="zh-CN"/>
        </w:rPr>
        <w:t>的使用限制的要求</w:t>
      </w:r>
      <w:r>
        <w:rPr>
          <w:rFonts w:hint="eastAsia"/>
          <w:lang w:val="zh-CN"/>
        </w:rPr>
        <w:t>：</w:t>
      </w:r>
      <w:permStart w:id="79" w:edGrp="everyone"/>
      <w:r>
        <w:rPr>
          <w:rFonts w:hint="eastAsia"/>
          <w:szCs w:val="21"/>
          <w:u w:val="single"/>
        </w:rPr>
        <w:t xml:space="preserve">            </w:t>
      </w:r>
      <w:r>
        <w:rPr>
          <w:szCs w:val="21"/>
          <w:lang w:val="zh-CN"/>
        </w:rPr>
        <w:t>。</w:t>
      </w:r>
      <w:permEnd w:id="79"/>
    </w:p>
    <w:p>
      <w:pPr>
        <w:spacing w:line="360" w:lineRule="auto"/>
        <w:ind w:firstLine="420" w:firstLineChars="200"/>
        <w:rPr>
          <w:szCs w:val="21"/>
        </w:rPr>
      </w:pPr>
      <w:bookmarkStart w:id="206" w:name="_Toc13634"/>
      <w:r>
        <w:rPr>
          <w:rFonts w:hint="eastAsia" w:hAnsi="宋体" w:cs="宋体"/>
          <w:kern w:val="0"/>
          <w:szCs w:val="21"/>
          <w:lang w:val="zh-CN"/>
        </w:rPr>
        <w:t>经委托人的批准，监理人可单独或与他人联合出版与工程和服务有关的材料，出版应符合保密规定。</w:t>
      </w:r>
    </w:p>
    <w:p>
      <w:pPr>
        <w:pStyle w:val="6"/>
        <w:spacing w:line="240" w:lineRule="auto"/>
        <w:ind w:firstLine="137"/>
        <w:rPr>
          <w:rFonts w:ascii="Times New Roman"/>
        </w:rPr>
      </w:pPr>
      <w:r>
        <w:rPr>
          <w:rFonts w:ascii="Times New Roman"/>
        </w:rPr>
        <w:t xml:space="preserve">1.12 </w:t>
      </w:r>
      <w:r>
        <w:rPr>
          <w:rFonts w:hint="eastAsia" w:ascii="Times New Roman"/>
        </w:rPr>
        <w:t>委托人要求</w:t>
      </w:r>
      <w:bookmarkEnd w:id="206"/>
    </w:p>
    <w:p>
      <w:pPr>
        <w:spacing w:line="360" w:lineRule="auto"/>
        <w:ind w:firstLine="420" w:firstLineChars="200"/>
      </w:pPr>
      <w:r>
        <w:rPr>
          <w:rFonts w:hint="eastAsia"/>
        </w:rPr>
        <w:t>替换以下内容到第1.12.1款：</w:t>
      </w:r>
    </w:p>
    <w:p>
      <w:pPr>
        <w:spacing w:line="360" w:lineRule="auto"/>
        <w:ind w:firstLine="420"/>
        <w:rPr>
          <w:szCs w:val="21"/>
        </w:rPr>
      </w:pPr>
      <w:r>
        <w:rPr>
          <w:rFonts w:hint="eastAsia"/>
          <w:szCs w:val="21"/>
        </w:rPr>
        <w:t>1.12.1 监理</w:t>
      </w:r>
      <w:r>
        <w:rPr>
          <w:szCs w:val="21"/>
        </w:rPr>
        <w:t>人应认真阅读、复核委托人要求，</w:t>
      </w:r>
      <w:r>
        <w:t>发现错误的，应及时书面通知委托人。无论是否存在错误，委托人均有权修改委托人要求，并在修改后3日内通知</w:t>
      </w:r>
      <w:r>
        <w:rPr>
          <w:rFonts w:hint="eastAsia"/>
          <w:szCs w:val="21"/>
        </w:rPr>
        <w:t>监理</w:t>
      </w:r>
      <w:r>
        <w:t>人。由此</w:t>
      </w:r>
      <w:r>
        <w:rPr>
          <w:szCs w:val="21"/>
        </w:rPr>
        <w:t>导致</w:t>
      </w:r>
      <w:r>
        <w:rPr>
          <w:rFonts w:hint="eastAsia"/>
          <w:szCs w:val="21"/>
        </w:rPr>
        <w:t>监理</w:t>
      </w:r>
      <w:r>
        <w:rPr>
          <w:szCs w:val="21"/>
        </w:rPr>
        <w:t>人费用增加和(或)周期延误的，</w:t>
      </w:r>
      <w:r>
        <w:rPr>
          <w:rFonts w:hint="eastAsia"/>
          <w:szCs w:val="21"/>
        </w:rPr>
        <w:t>按第8条执行</w:t>
      </w:r>
      <w:r>
        <w:rPr>
          <w:szCs w:val="21"/>
        </w:rPr>
        <w:t>。</w:t>
      </w:r>
    </w:p>
    <w:p>
      <w:pPr>
        <w:spacing w:line="360" w:lineRule="auto"/>
        <w:ind w:firstLine="420" w:firstLineChars="200"/>
      </w:pPr>
      <w:r>
        <w:rPr>
          <w:rFonts w:hint="eastAsia"/>
        </w:rPr>
        <w:t>增加以下内容到第1.12.3款：</w:t>
      </w:r>
    </w:p>
    <w:p>
      <w:pPr>
        <w:spacing w:line="360" w:lineRule="auto"/>
        <w:ind w:firstLine="420" w:firstLineChars="200"/>
        <w:rPr>
          <w:szCs w:val="21"/>
        </w:rPr>
      </w:pPr>
      <w:r>
        <w:rPr>
          <w:rFonts w:hint="eastAsia"/>
          <w:szCs w:val="21"/>
        </w:rPr>
        <w:t>1.12.3 委托人要求采用国外规范和标准的名称：</w:t>
      </w:r>
      <w:permStart w:id="80" w:edGrp="everyone"/>
      <w:r>
        <w:rPr>
          <w:rFonts w:hint="eastAsia"/>
          <w:szCs w:val="21"/>
          <w:u w:val="single"/>
        </w:rPr>
        <w:t xml:space="preserve">            </w:t>
      </w:r>
      <w:r>
        <w:rPr>
          <w:szCs w:val="21"/>
        </w:rPr>
        <w:t>。</w:t>
      </w:r>
    </w:p>
    <w:p>
      <w:pPr>
        <w:spacing w:line="360" w:lineRule="auto"/>
        <w:ind w:firstLine="420" w:firstLineChars="200"/>
        <w:rPr>
          <w:szCs w:val="21"/>
        </w:rPr>
      </w:pPr>
      <w:r>
        <w:rPr>
          <w:rFonts w:hint="eastAsia"/>
          <w:szCs w:val="21"/>
        </w:rPr>
        <w:t>（1）提供的时间：</w:t>
      </w:r>
      <w:r>
        <w:rPr>
          <w:rFonts w:hint="eastAsia"/>
          <w:szCs w:val="21"/>
          <w:u w:val="single"/>
        </w:rPr>
        <w:t xml:space="preserve">            </w:t>
      </w:r>
      <w:r>
        <w:rPr>
          <w:szCs w:val="21"/>
        </w:rPr>
        <w:t>。</w:t>
      </w:r>
    </w:p>
    <w:p>
      <w:pPr>
        <w:spacing w:line="360" w:lineRule="auto"/>
        <w:ind w:firstLine="420" w:firstLineChars="200"/>
        <w:rPr>
          <w:szCs w:val="21"/>
        </w:rPr>
      </w:pPr>
      <w:r>
        <w:rPr>
          <w:rFonts w:hint="eastAsia"/>
          <w:szCs w:val="21"/>
        </w:rPr>
        <w:t>（2）提供的份数：</w:t>
      </w:r>
      <w:r>
        <w:rPr>
          <w:rFonts w:hint="eastAsia"/>
          <w:szCs w:val="21"/>
          <w:u w:val="single"/>
        </w:rPr>
        <w:t xml:space="preserve">            </w:t>
      </w:r>
      <w:r>
        <w:rPr>
          <w:szCs w:val="21"/>
        </w:rPr>
        <w:t>。</w:t>
      </w:r>
    </w:p>
    <w:p>
      <w:pPr>
        <w:spacing w:line="360" w:lineRule="auto"/>
        <w:ind w:firstLine="420" w:firstLineChars="200"/>
        <w:rPr>
          <w:szCs w:val="21"/>
        </w:rPr>
      </w:pPr>
      <w:r>
        <w:rPr>
          <w:rFonts w:hint="eastAsia"/>
          <w:szCs w:val="21"/>
        </w:rPr>
        <w:t>（3）其他要求：</w:t>
      </w:r>
      <w:r>
        <w:rPr>
          <w:rFonts w:hint="eastAsia"/>
          <w:szCs w:val="21"/>
          <w:u w:val="single"/>
        </w:rPr>
        <w:t xml:space="preserve">            </w:t>
      </w:r>
      <w:r>
        <w:rPr>
          <w:szCs w:val="21"/>
        </w:rPr>
        <w:t>。</w:t>
      </w:r>
    </w:p>
    <w:permEnd w:id="80"/>
    <w:p>
      <w:pPr>
        <w:pStyle w:val="5"/>
        <w:rPr>
          <w:rFonts w:ascii="Times New Roman" w:hAnsi="Times New Roman"/>
        </w:rPr>
      </w:pPr>
      <w:bookmarkStart w:id="207" w:name="_Toc27906"/>
      <w:r>
        <w:rPr>
          <w:rFonts w:ascii="Times New Roman" w:hAnsi="Times New Roman"/>
        </w:rPr>
        <w:t>2. 委托人义务</w:t>
      </w:r>
      <w:bookmarkEnd w:id="207"/>
    </w:p>
    <w:p>
      <w:pPr>
        <w:pStyle w:val="6"/>
        <w:spacing w:line="240" w:lineRule="auto"/>
        <w:ind w:firstLine="137"/>
        <w:rPr>
          <w:rFonts w:ascii="Times New Roman"/>
        </w:rPr>
      </w:pPr>
      <w:bookmarkStart w:id="208" w:name="_Toc28182"/>
      <w:r>
        <w:rPr>
          <w:rFonts w:ascii="Times New Roman"/>
        </w:rPr>
        <w:t xml:space="preserve">2.6 </w:t>
      </w:r>
      <w:r>
        <w:rPr>
          <w:rFonts w:hint="eastAsia" w:ascii="Times New Roman"/>
        </w:rPr>
        <w:t>其他义务</w:t>
      </w:r>
      <w:bookmarkEnd w:id="208"/>
    </w:p>
    <w:p>
      <w:pPr>
        <w:spacing w:line="360" w:lineRule="auto"/>
        <w:ind w:firstLine="420" w:firstLineChars="200"/>
        <w:rPr>
          <w:szCs w:val="21"/>
        </w:rPr>
      </w:pPr>
      <w:r>
        <w:rPr>
          <w:rFonts w:hint="eastAsia"/>
        </w:rPr>
        <w:t>增加以下内容到第2.6款：</w:t>
      </w:r>
    </w:p>
    <w:p>
      <w:pPr>
        <w:spacing w:line="360" w:lineRule="auto"/>
        <w:ind w:firstLine="420" w:firstLineChars="200"/>
        <w:rPr>
          <w:szCs w:val="21"/>
        </w:rPr>
      </w:pPr>
      <w:r>
        <w:rPr>
          <w:rFonts w:hint="eastAsia"/>
          <w:szCs w:val="21"/>
        </w:rPr>
        <w:t>委托人对监理人的合同履约情况将进行评价，评价结果将作为监理人在南方电网公司履约评分组成部分，并应用于南方电网公司对承包商的评标。</w:t>
      </w:r>
    </w:p>
    <w:p>
      <w:pPr>
        <w:spacing w:line="360" w:lineRule="auto"/>
        <w:ind w:firstLine="420" w:firstLineChars="200"/>
        <w:rPr>
          <w:szCs w:val="21"/>
        </w:rPr>
      </w:pPr>
      <w:r>
        <w:rPr>
          <w:rFonts w:hint="eastAsia"/>
          <w:szCs w:val="21"/>
        </w:rPr>
        <w:t>委托人应为服务的需要，免费向监理人提供</w:t>
      </w:r>
      <w:permStart w:id="81" w:edGrp="everyone"/>
      <w:r>
        <w:rPr>
          <w:rFonts w:hint="eastAsia"/>
          <w:szCs w:val="21"/>
          <w:u w:val="single"/>
        </w:rPr>
        <w:t>“合同附件格式”附件</w:t>
      </w:r>
      <w:r>
        <w:rPr>
          <w:rFonts w:hint="eastAsia"/>
          <w:szCs w:val="21"/>
          <w:u w:val="single"/>
          <w:lang w:val="en-US" w:eastAsia="zh-CN"/>
        </w:rPr>
        <w:t>二</w:t>
      </w:r>
      <w:permEnd w:id="81"/>
      <w:r>
        <w:rPr>
          <w:rFonts w:hint="eastAsia"/>
          <w:szCs w:val="21"/>
        </w:rPr>
        <w:t>中规定的设备和设施。</w:t>
      </w:r>
    </w:p>
    <w:p>
      <w:pPr>
        <w:pStyle w:val="5"/>
        <w:rPr>
          <w:rFonts w:ascii="Times New Roman" w:hAnsi="Times New Roman"/>
        </w:rPr>
      </w:pPr>
      <w:bookmarkStart w:id="209" w:name="_Toc10833"/>
      <w:r>
        <w:rPr>
          <w:rFonts w:ascii="Times New Roman" w:hAnsi="Times New Roman"/>
        </w:rPr>
        <w:t>3. 委托人管理</w:t>
      </w:r>
      <w:bookmarkEnd w:id="209"/>
    </w:p>
    <w:p>
      <w:pPr>
        <w:pStyle w:val="6"/>
        <w:spacing w:line="240" w:lineRule="auto"/>
        <w:ind w:firstLine="137"/>
        <w:rPr>
          <w:rFonts w:ascii="Times New Roman"/>
        </w:rPr>
      </w:pPr>
      <w:bookmarkStart w:id="210" w:name="_Toc19950"/>
      <w:r>
        <w:rPr>
          <w:rFonts w:ascii="Times New Roman"/>
        </w:rPr>
        <w:t xml:space="preserve">3.1 </w:t>
      </w:r>
      <w:r>
        <w:rPr>
          <w:rFonts w:hint="eastAsia" w:ascii="Times New Roman"/>
        </w:rPr>
        <w:t>委托人代表</w:t>
      </w:r>
      <w:bookmarkEnd w:id="210"/>
    </w:p>
    <w:p>
      <w:pPr>
        <w:spacing w:line="360" w:lineRule="auto"/>
        <w:ind w:firstLine="420" w:firstLineChars="200"/>
        <w:rPr>
          <w:szCs w:val="21"/>
        </w:rPr>
      </w:pPr>
      <w:r>
        <w:rPr>
          <w:rFonts w:hint="eastAsia"/>
        </w:rPr>
        <w:t>增加以下内容到第3.1.1款：</w:t>
      </w:r>
    </w:p>
    <w:p>
      <w:pPr>
        <w:spacing w:line="360" w:lineRule="auto"/>
        <w:ind w:firstLine="420" w:firstLineChars="200"/>
        <w:rPr>
          <w:szCs w:val="21"/>
        </w:rPr>
      </w:pPr>
      <w:permStart w:id="82" w:edGrp="everyone"/>
      <w:r>
        <w:rPr>
          <w:rFonts w:hint="eastAsia"/>
        </w:rPr>
        <w:t>委托人代表</w:t>
      </w:r>
      <w:r>
        <w:rPr>
          <w:rFonts w:hint="eastAsia"/>
          <w:szCs w:val="21"/>
        </w:rPr>
        <w:t>：</w:t>
      </w:r>
      <w:r>
        <w:rPr>
          <w:rFonts w:hint="eastAsia"/>
          <w:szCs w:val="21"/>
          <w:u w:val="single"/>
        </w:rPr>
        <w:t xml:space="preserve">            </w:t>
      </w:r>
      <w:r>
        <w:rPr>
          <w:szCs w:val="21"/>
        </w:rPr>
        <w:t>。</w:t>
      </w:r>
    </w:p>
    <w:p>
      <w:pPr>
        <w:spacing w:line="360" w:lineRule="auto"/>
        <w:ind w:firstLine="420" w:firstLineChars="200"/>
        <w:rPr>
          <w:szCs w:val="21"/>
        </w:rPr>
      </w:pPr>
      <w:r>
        <w:rPr>
          <w:rFonts w:hint="eastAsia"/>
        </w:rPr>
        <w:t>姓    名：</w:t>
      </w:r>
      <w:r>
        <w:rPr>
          <w:rFonts w:hint="eastAsia"/>
          <w:szCs w:val="21"/>
          <w:u w:val="single"/>
        </w:rPr>
        <w:t xml:space="preserve">            </w:t>
      </w:r>
      <w:r>
        <w:rPr>
          <w:szCs w:val="21"/>
        </w:rPr>
        <w:t>。</w:t>
      </w:r>
    </w:p>
    <w:p>
      <w:pPr>
        <w:spacing w:line="360" w:lineRule="auto"/>
        <w:ind w:firstLine="420" w:firstLineChars="200"/>
        <w:rPr>
          <w:szCs w:val="21"/>
        </w:rPr>
      </w:pPr>
      <w:r>
        <w:rPr>
          <w:rFonts w:hint="eastAsia"/>
        </w:rPr>
        <w:t>身份证号：</w:t>
      </w:r>
      <w:r>
        <w:rPr>
          <w:rFonts w:hint="eastAsia"/>
          <w:szCs w:val="21"/>
          <w:u w:val="single"/>
        </w:rPr>
        <w:t xml:space="preserve">            </w:t>
      </w:r>
      <w:r>
        <w:rPr>
          <w:szCs w:val="21"/>
        </w:rPr>
        <w:t>。</w:t>
      </w:r>
    </w:p>
    <w:p>
      <w:pPr>
        <w:spacing w:line="360" w:lineRule="auto"/>
        <w:ind w:firstLine="420" w:firstLineChars="200"/>
        <w:rPr>
          <w:szCs w:val="21"/>
        </w:rPr>
      </w:pPr>
      <w:r>
        <w:rPr>
          <w:rFonts w:hint="eastAsia"/>
        </w:rPr>
        <w:t>职    务：</w:t>
      </w:r>
      <w:r>
        <w:rPr>
          <w:rFonts w:hint="eastAsia"/>
          <w:szCs w:val="21"/>
          <w:u w:val="single"/>
        </w:rPr>
        <w:t xml:space="preserve">            </w:t>
      </w:r>
      <w:r>
        <w:rPr>
          <w:szCs w:val="21"/>
        </w:rPr>
        <w:t>。</w:t>
      </w:r>
    </w:p>
    <w:p>
      <w:pPr>
        <w:spacing w:line="360" w:lineRule="auto"/>
        <w:ind w:firstLine="420" w:firstLineChars="200"/>
        <w:rPr>
          <w:szCs w:val="21"/>
        </w:rPr>
      </w:pPr>
      <w:r>
        <w:rPr>
          <w:rFonts w:hint="eastAsia"/>
        </w:rPr>
        <w:t>联系电话：</w:t>
      </w:r>
      <w:r>
        <w:rPr>
          <w:rFonts w:hint="eastAsia"/>
          <w:szCs w:val="21"/>
          <w:u w:val="single"/>
        </w:rPr>
        <w:t xml:space="preserve">            </w:t>
      </w:r>
      <w:r>
        <w:rPr>
          <w:szCs w:val="21"/>
        </w:rPr>
        <w:t>。</w:t>
      </w:r>
    </w:p>
    <w:p>
      <w:pPr>
        <w:spacing w:line="360" w:lineRule="auto"/>
        <w:ind w:firstLine="420" w:firstLineChars="200"/>
        <w:rPr>
          <w:szCs w:val="21"/>
        </w:rPr>
      </w:pPr>
      <w:r>
        <w:rPr>
          <w:rFonts w:hint="eastAsia"/>
        </w:rPr>
        <w:t>电子信箱：</w:t>
      </w:r>
      <w:r>
        <w:rPr>
          <w:rFonts w:hint="eastAsia"/>
          <w:szCs w:val="21"/>
          <w:u w:val="single"/>
        </w:rPr>
        <w:t xml:space="preserve">            </w:t>
      </w:r>
      <w:r>
        <w:rPr>
          <w:szCs w:val="21"/>
        </w:rPr>
        <w:t>。</w:t>
      </w:r>
    </w:p>
    <w:p>
      <w:pPr>
        <w:spacing w:line="360" w:lineRule="auto"/>
        <w:ind w:firstLine="420" w:firstLineChars="200"/>
        <w:rPr>
          <w:szCs w:val="21"/>
        </w:rPr>
      </w:pPr>
      <w:r>
        <w:rPr>
          <w:rFonts w:hint="eastAsia"/>
        </w:rPr>
        <w:t>通信地址：</w:t>
      </w:r>
      <w:r>
        <w:rPr>
          <w:rFonts w:hint="eastAsia"/>
          <w:szCs w:val="21"/>
          <w:u w:val="single"/>
        </w:rPr>
        <w:t xml:space="preserve">            </w:t>
      </w:r>
      <w:r>
        <w:rPr>
          <w:szCs w:val="21"/>
        </w:rPr>
        <w:t>。</w:t>
      </w:r>
    </w:p>
    <w:p>
      <w:pPr>
        <w:spacing w:line="360" w:lineRule="auto"/>
        <w:ind w:firstLine="420" w:firstLineChars="200"/>
        <w:rPr>
          <w:szCs w:val="21"/>
        </w:rPr>
      </w:pPr>
      <w:r>
        <w:rPr>
          <w:rFonts w:hint="eastAsia"/>
        </w:rPr>
        <w:t>委托人对委托人代表的授权范围如下：</w:t>
      </w:r>
      <w:r>
        <w:rPr>
          <w:rFonts w:hint="eastAsia"/>
          <w:szCs w:val="21"/>
          <w:u w:val="single"/>
        </w:rPr>
        <w:t xml:space="preserve">            </w:t>
      </w:r>
      <w:r>
        <w:rPr>
          <w:szCs w:val="21"/>
        </w:rPr>
        <w:t>。</w:t>
      </w:r>
      <w:permEnd w:id="82"/>
    </w:p>
    <w:p>
      <w:pPr>
        <w:pStyle w:val="6"/>
        <w:spacing w:line="240" w:lineRule="auto"/>
        <w:ind w:firstLine="137"/>
        <w:rPr>
          <w:rFonts w:ascii="Times New Roman"/>
        </w:rPr>
      </w:pPr>
      <w:bookmarkStart w:id="211" w:name="_Toc22043"/>
      <w:r>
        <w:rPr>
          <w:rFonts w:ascii="Times New Roman"/>
        </w:rPr>
        <w:t>3.</w:t>
      </w:r>
      <w:r>
        <w:rPr>
          <w:rFonts w:hint="eastAsia" w:ascii="Times New Roman"/>
        </w:rPr>
        <w:t>3</w:t>
      </w:r>
      <w:r>
        <w:rPr>
          <w:rFonts w:ascii="Times New Roman"/>
        </w:rPr>
        <w:t xml:space="preserve"> </w:t>
      </w:r>
      <w:r>
        <w:rPr>
          <w:rFonts w:hint="eastAsia" w:ascii="Times New Roman"/>
        </w:rPr>
        <w:t>决定或答复</w:t>
      </w:r>
      <w:bookmarkEnd w:id="211"/>
    </w:p>
    <w:p>
      <w:pPr>
        <w:spacing w:line="360" w:lineRule="auto"/>
        <w:ind w:firstLine="420" w:firstLineChars="200"/>
        <w:rPr>
          <w:szCs w:val="21"/>
        </w:rPr>
      </w:pPr>
      <w:r>
        <w:rPr>
          <w:rFonts w:hint="eastAsia"/>
        </w:rPr>
        <w:t>替换以下内容到第3.3.2款：</w:t>
      </w:r>
    </w:p>
    <w:p>
      <w:pPr>
        <w:spacing w:line="360" w:lineRule="auto"/>
        <w:ind w:firstLine="420" w:firstLineChars="200"/>
        <w:rPr>
          <w:szCs w:val="21"/>
        </w:rPr>
      </w:pPr>
      <w:r>
        <w:rPr>
          <w:szCs w:val="21"/>
        </w:rPr>
        <w:t>3.</w:t>
      </w:r>
      <w:r>
        <w:rPr>
          <w:rFonts w:hint="eastAsia"/>
          <w:szCs w:val="21"/>
        </w:rPr>
        <w:t>3</w:t>
      </w:r>
      <w:r>
        <w:rPr>
          <w:szCs w:val="21"/>
        </w:rPr>
        <w:t>.2 委托人应在</w:t>
      </w:r>
      <w:permStart w:id="83" w:edGrp="everyone"/>
      <w:r>
        <w:rPr>
          <w:rFonts w:hint="eastAsia"/>
          <w:szCs w:val="21"/>
          <w:u w:val="single"/>
          <w:lang w:val="zh-CN"/>
        </w:rPr>
        <w:t xml:space="preserve">   </w:t>
      </w:r>
      <w:r>
        <w:rPr>
          <w:szCs w:val="21"/>
          <w:lang w:val="zh-CN"/>
        </w:rPr>
        <w:t>天</w:t>
      </w:r>
      <w:permEnd w:id="83"/>
      <w:r>
        <w:rPr>
          <w:szCs w:val="21"/>
        </w:rPr>
        <w:t>内，对</w:t>
      </w:r>
      <w:r>
        <w:rPr>
          <w:rFonts w:hint="eastAsia"/>
          <w:szCs w:val="21"/>
        </w:rPr>
        <w:t>监理</w:t>
      </w:r>
      <w:r>
        <w:rPr>
          <w:szCs w:val="21"/>
        </w:rPr>
        <w:t>人书面提出的事项作出书面答复；逾期没有做出答复的，视为已获得委托人的批准。</w:t>
      </w:r>
    </w:p>
    <w:p>
      <w:pPr>
        <w:spacing w:line="360" w:lineRule="auto"/>
        <w:ind w:firstLine="420" w:firstLineChars="200"/>
        <w:rPr>
          <w:szCs w:val="21"/>
        </w:rPr>
      </w:pPr>
      <w:r>
        <w:rPr>
          <w:rFonts w:hint="eastAsia"/>
          <w:szCs w:val="21"/>
        </w:rPr>
        <w:t>增加以下内容到第3款：</w:t>
      </w:r>
    </w:p>
    <w:p>
      <w:pPr>
        <w:pStyle w:val="6"/>
        <w:spacing w:line="240" w:lineRule="auto"/>
        <w:ind w:firstLine="137"/>
        <w:rPr>
          <w:rFonts w:ascii="Times New Roman"/>
        </w:rPr>
      </w:pPr>
      <w:bookmarkStart w:id="212" w:name="_Toc12469"/>
      <w:r>
        <w:rPr>
          <w:rFonts w:ascii="Times New Roman"/>
        </w:rPr>
        <w:t>3.</w:t>
      </w:r>
      <w:r>
        <w:rPr>
          <w:rFonts w:hint="eastAsia" w:ascii="Times New Roman"/>
        </w:rPr>
        <w:t>4</w:t>
      </w:r>
      <w:r>
        <w:rPr>
          <w:rFonts w:ascii="Times New Roman"/>
        </w:rPr>
        <w:t xml:space="preserve"> </w:t>
      </w:r>
      <w:r>
        <w:rPr>
          <w:rFonts w:hint="eastAsia" w:ascii="Times New Roman"/>
        </w:rPr>
        <w:t>其他</w:t>
      </w:r>
      <w:bookmarkEnd w:id="212"/>
    </w:p>
    <w:p>
      <w:pPr>
        <w:spacing w:line="360" w:lineRule="auto"/>
        <w:ind w:firstLine="420" w:firstLineChars="200"/>
        <w:rPr>
          <w:szCs w:val="21"/>
        </w:rPr>
      </w:pPr>
      <w:r>
        <w:rPr>
          <w:rFonts w:hint="eastAsia"/>
          <w:szCs w:val="21"/>
        </w:rPr>
        <w:t>3.4.1 如果委托人不能提供其应负责提供的委托人人员或其他人员，且双方均认为此类事项对圆满履行服务必需时，监理人应作为附加服务安排提供。</w:t>
      </w:r>
    </w:p>
    <w:p>
      <w:pPr>
        <w:spacing w:line="360" w:lineRule="auto"/>
        <w:ind w:firstLine="420" w:firstLineChars="200"/>
        <w:rPr>
          <w:szCs w:val="21"/>
        </w:rPr>
      </w:pPr>
      <w:r>
        <w:rPr>
          <w:rFonts w:hint="eastAsia"/>
          <w:szCs w:val="21"/>
        </w:rPr>
        <w:t>3.4.2 遇紧急情况，委托人对监理人发出的全部或部分暂停服务或终止本合同的通如的时限可另行约定。</w:t>
      </w:r>
    </w:p>
    <w:p>
      <w:pPr>
        <w:spacing w:line="360" w:lineRule="auto"/>
        <w:ind w:firstLine="420" w:firstLineChars="200"/>
        <w:rPr>
          <w:szCs w:val="21"/>
        </w:rPr>
      </w:pPr>
      <w:r>
        <w:rPr>
          <w:rFonts w:hint="eastAsia"/>
          <w:szCs w:val="21"/>
        </w:rPr>
        <w:t xml:space="preserve">3.4.3 </w:t>
      </w:r>
      <w:r>
        <w:rPr>
          <w:rFonts w:hint="eastAsia" w:ascii="宋体" w:hAnsi="宋体" w:cs="宋体"/>
          <w:kern w:val="0"/>
          <w:szCs w:val="21"/>
          <w:lang w:val="zh-CN"/>
        </w:rPr>
        <w:t>委托人有对工程规模、设计标准、规划设计、生产工艺设计和设计使用功能要求的认定权，以及对工程设计变更的审批权。</w:t>
      </w:r>
    </w:p>
    <w:p>
      <w:pPr>
        <w:pStyle w:val="5"/>
        <w:numPr>
          <w:ilvl w:val="0"/>
          <w:numId w:val="1"/>
        </w:numPr>
        <w:rPr>
          <w:rFonts w:ascii="Times New Roman" w:hAnsi="Times New Roman"/>
        </w:rPr>
      </w:pPr>
      <w:bookmarkStart w:id="213" w:name="_Toc8951"/>
      <w:r>
        <w:rPr>
          <w:rFonts w:hint="eastAsia" w:ascii="Times New Roman" w:hAnsi="Times New Roman"/>
          <w:szCs w:val="21"/>
        </w:rPr>
        <w:t>监理</w:t>
      </w:r>
      <w:r>
        <w:rPr>
          <w:rFonts w:ascii="Times New Roman" w:hAnsi="Times New Roman"/>
        </w:rPr>
        <w:t>人义务</w:t>
      </w:r>
      <w:bookmarkEnd w:id="213"/>
    </w:p>
    <w:p>
      <w:pPr>
        <w:pStyle w:val="6"/>
        <w:spacing w:line="240" w:lineRule="auto"/>
        <w:ind w:firstLine="137"/>
        <w:rPr>
          <w:rFonts w:ascii="Times New Roman"/>
        </w:rPr>
      </w:pPr>
      <w:bookmarkStart w:id="214" w:name="_Toc29619"/>
      <w:r>
        <w:rPr>
          <w:rFonts w:ascii="Times New Roman"/>
        </w:rPr>
        <w:t xml:space="preserve">4.1 </w:t>
      </w:r>
      <w:r>
        <w:rPr>
          <w:rFonts w:hint="eastAsia" w:ascii="Times New Roman"/>
          <w:szCs w:val="21"/>
        </w:rPr>
        <w:t>监理</w:t>
      </w:r>
      <w:r>
        <w:rPr>
          <w:rFonts w:hint="eastAsia" w:ascii="Times New Roman"/>
        </w:rPr>
        <w:t>人的一般义务</w:t>
      </w:r>
      <w:bookmarkEnd w:id="214"/>
    </w:p>
    <w:p>
      <w:pPr>
        <w:spacing w:line="360" w:lineRule="auto"/>
        <w:ind w:firstLine="420" w:firstLineChars="200"/>
        <w:rPr>
          <w:szCs w:val="21"/>
        </w:rPr>
      </w:pPr>
      <w:r>
        <w:rPr>
          <w:rFonts w:hint="eastAsia"/>
        </w:rPr>
        <w:t>增加以下内容到第4.1.3款：</w:t>
      </w:r>
    </w:p>
    <w:p>
      <w:pPr>
        <w:spacing w:line="360" w:lineRule="auto"/>
        <w:ind w:firstLine="420" w:firstLineChars="200"/>
        <w:rPr>
          <w:rFonts w:ascii="宋体" w:hAnsi="宋体" w:cs="宋体"/>
          <w:kern w:val="0"/>
          <w:szCs w:val="21"/>
          <w:lang w:val="zh-CN"/>
        </w:rPr>
      </w:pPr>
      <w:r>
        <w:rPr>
          <w:rFonts w:hint="eastAsia"/>
          <w:szCs w:val="21"/>
        </w:rPr>
        <w:t>4.1.3</w:t>
      </w:r>
      <w:r>
        <w:rPr>
          <w:szCs w:val="21"/>
        </w:rPr>
        <w:t xml:space="preserve"> </w:t>
      </w:r>
      <w:r>
        <w:rPr>
          <w:rFonts w:hint="eastAsia" w:ascii="宋体" w:hAnsi="宋体" w:cs="宋体"/>
          <w:kern w:val="0"/>
          <w:szCs w:val="21"/>
          <w:lang w:val="zh-CN"/>
        </w:rPr>
        <w:t>监理人应履行与项目有关的服务。服务范围、内容和要求见</w:t>
      </w:r>
      <w:r>
        <w:rPr>
          <w:rFonts w:hint="eastAsia"/>
          <w:szCs w:val="21"/>
        </w:rPr>
        <w:t>“合同附件格式”附件二</w:t>
      </w:r>
      <w:r>
        <w:rPr>
          <w:rFonts w:hint="eastAsia" w:ascii="宋体" w:hAnsi="宋体" w:cs="宋体"/>
          <w:kern w:val="0"/>
          <w:szCs w:val="21"/>
          <w:lang w:val="zh-CN"/>
        </w:rPr>
        <w:t>。</w:t>
      </w:r>
    </w:p>
    <w:p>
      <w:pPr>
        <w:spacing w:line="360" w:lineRule="auto"/>
        <w:ind w:firstLine="420" w:firstLineChars="200"/>
        <w:rPr>
          <w:szCs w:val="21"/>
        </w:rPr>
      </w:pPr>
      <w:r>
        <w:rPr>
          <w:rFonts w:hint="eastAsia"/>
          <w:szCs w:val="21"/>
        </w:rPr>
        <w:t>增加以下内容到4.1款：</w:t>
      </w:r>
    </w:p>
    <w:p>
      <w:pPr>
        <w:spacing w:line="360" w:lineRule="auto"/>
        <w:ind w:firstLine="422" w:firstLineChars="200"/>
        <w:rPr>
          <w:b/>
        </w:rPr>
      </w:pPr>
      <w:r>
        <w:rPr>
          <w:rFonts w:hint="eastAsia"/>
          <w:b/>
        </w:rPr>
        <w:t xml:space="preserve">4.1.5 </w:t>
      </w:r>
      <w:r>
        <w:rPr>
          <w:b/>
        </w:rPr>
        <w:t>正常、附加和额外的服务</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（1）正常服务系指</w:t>
      </w:r>
      <w:r>
        <w:rPr>
          <w:rFonts w:hint="eastAsia"/>
          <w:szCs w:val="21"/>
        </w:rPr>
        <w:t>“合同附件格式”附件二</w:t>
      </w:r>
      <w:r>
        <w:rPr>
          <w:rFonts w:hint="eastAsia" w:ascii="宋体" w:hAnsi="宋体" w:cs="宋体"/>
          <w:kern w:val="0"/>
          <w:szCs w:val="21"/>
          <w:lang w:val="zh-CN"/>
        </w:rPr>
        <w:t>中描述的此类服务。</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（2）附加服务</w:t>
      </w:r>
    </w:p>
    <w:p>
      <w:pPr>
        <w:spacing w:line="360" w:lineRule="auto"/>
        <w:ind w:firstLine="420" w:firstLineChars="200"/>
        <w:rPr>
          <w:rFonts w:ascii="宋体" w:hAnsi="宋体" w:cs="宋体"/>
          <w:kern w:val="0"/>
          <w:szCs w:val="21"/>
        </w:rPr>
      </w:pPr>
      <w:r>
        <w:rPr>
          <w:rFonts w:hint="eastAsia" w:ascii="宋体" w:hAnsi="宋体" w:cs="宋体"/>
          <w:kern w:val="0"/>
          <w:szCs w:val="21"/>
          <w:lang w:val="zh-CN"/>
        </w:rPr>
        <w:t>①</w:t>
      </w:r>
      <w:r>
        <w:rPr>
          <w:rFonts w:hint="eastAsia" w:ascii="宋体" w:hAnsi="宋体" w:cs="宋体"/>
          <w:kern w:val="0"/>
          <w:szCs w:val="21"/>
        </w:rPr>
        <w:t>附加服务系指</w:t>
      </w:r>
      <w:r>
        <w:rPr>
          <w:rFonts w:hint="eastAsia"/>
          <w:szCs w:val="21"/>
        </w:rPr>
        <w:t>“合同附件格式”附件二</w:t>
      </w:r>
      <w:r>
        <w:rPr>
          <w:rFonts w:hint="eastAsia" w:ascii="宋体" w:hAnsi="宋体" w:cs="宋体"/>
          <w:kern w:val="0"/>
          <w:szCs w:val="21"/>
        </w:rPr>
        <w:t>中描述的此类服务，或双方书面协议在正常服务之外附加的服务内容；</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②</w:t>
      </w:r>
      <w:r>
        <w:rPr>
          <w:rFonts w:hint="eastAsia" w:ascii="宋体" w:hAnsi="宋体" w:cs="宋体"/>
          <w:kern w:val="0"/>
          <w:szCs w:val="21"/>
        </w:rPr>
        <w:t>由于委托人或其他非监理人原因，使监理工作受到阻碍或延误，因增加工作量或持续时间而增加的服务。</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额外服务系指既不是正常的也不是附加的服务，而是按照约定必须由监理人履行的服务：当以下第（a）款所述情况发生时，或撤销或暂停或恢复服务时，或并不是根据以下第（b）款终止本合同时，除正常的或附加的服务之外，监理人需做的任何工作或支出的费用，应被视为额外的服务。履行额外服务使监理人有权得到所需的额外时间和为履行它们的付款。</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（a）情况的改变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如果出现按照本合同监理人不应负责的情况，以及该情况使监理人不能负责或不能履行全部或部分服务时，应立即通知委托人。</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在此情况下，如果不得不暂停某些服务时，则该类服务的完成期限应予以延长，直到此种情况不再持续。还应加上不超过42天的合理期限用于恢复服务。</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如果履行某些服务的速度不得不减慢，则该类服务的完成期限由于此种情况必须给予延长。</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（b）如委托人认为监理人无正当理由而未履行其义务时，可通知监理人，说明发出该通知的原委。若委托人在</w:t>
      </w:r>
      <w:r>
        <w:rPr>
          <w:rFonts w:ascii="宋体" w:hAnsi="宋体" w:cs="宋体"/>
          <w:kern w:val="0"/>
          <w:szCs w:val="21"/>
          <w:lang w:val="zh-CN"/>
        </w:rPr>
        <w:t>21</w:t>
      </w:r>
      <w:r>
        <w:rPr>
          <w:rFonts w:hint="eastAsia" w:ascii="宋体" w:hAnsi="宋体" w:cs="宋体"/>
          <w:kern w:val="0"/>
          <w:szCs w:val="21"/>
          <w:lang w:val="zh-CN"/>
        </w:rPr>
        <w:t>日内没有收到满意的答复，可发出进一步的通知，终止本合同，但该通知应在委托人第一个通知发出后</w:t>
      </w:r>
      <w:r>
        <w:rPr>
          <w:rFonts w:ascii="宋体" w:hAnsi="宋体" w:cs="宋体"/>
          <w:kern w:val="0"/>
          <w:szCs w:val="21"/>
          <w:lang w:val="zh-CN"/>
        </w:rPr>
        <w:t>35</w:t>
      </w:r>
      <w:r>
        <w:rPr>
          <w:rFonts w:hint="eastAsia" w:ascii="宋体" w:hAnsi="宋体" w:cs="宋体"/>
          <w:kern w:val="0"/>
          <w:szCs w:val="21"/>
          <w:lang w:val="zh-CN"/>
        </w:rPr>
        <w:t>日内发出。</w:t>
      </w:r>
    </w:p>
    <w:p>
      <w:pPr>
        <w:spacing w:line="360" w:lineRule="auto"/>
        <w:ind w:firstLine="422" w:firstLineChars="200"/>
        <w:rPr>
          <w:rFonts w:ascii="宋体" w:hAnsi="宋体" w:cs="宋体"/>
          <w:kern w:val="0"/>
          <w:szCs w:val="21"/>
          <w:lang w:val="zh-CN"/>
        </w:rPr>
      </w:pPr>
      <w:r>
        <w:rPr>
          <w:rFonts w:hint="eastAsia"/>
          <w:b/>
        </w:rPr>
        <w:t xml:space="preserve">4.1.6 </w:t>
      </w:r>
      <w:r>
        <w:rPr>
          <w:b/>
        </w:rPr>
        <w:t>认真地尽职和行使职权</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（1）监理人在根据本合同履行其义务时，应运用合理的技能，谨慎而勤奋地工作。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（2）当服务包括根据委托人与任何第三方签订的合同条款的授权或要求行使权利或履行职责时，监理人应：</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lang w:val="zh-CN"/>
        </w:rPr>
        <w:t>①根据委托人和第三方签订的合同进行工作，如果未在监理合同中对该权利和职责的详细加以说明，则补充的详细规定监理人必须接受。</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②如果委托人授权，可在委托人和第三方之间公正地证明、决定或行使自己的处理权。但不作为仲裁人而是根据自己的技能和判断，作为独立的专业人员进行工作。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③如果委托人授权，可变更任何第三方的义务。但对于可能对费用或质量或时间有重大影响的任何变更，须从委托人处得到事先批准（除非发生任何紧急情况，此时监理人应尽可能快地通知委托人）。要求须从委托人处得到事先批准的变更的详细规定，有时在委托人与第三方的合同中加以说明。</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④监理人的任何成员不得与第三方有任何直接的经济合作关系。</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⑤监理人应通过提供的服务使委托人尽可能免除受到任何第三方要求索赔、补偿而造成损失。</w:t>
      </w:r>
    </w:p>
    <w:p>
      <w:pPr>
        <w:spacing w:line="360" w:lineRule="auto"/>
        <w:ind w:firstLine="422" w:firstLineChars="200"/>
        <w:rPr>
          <w:b/>
        </w:rPr>
      </w:pPr>
      <w:r>
        <w:rPr>
          <w:rFonts w:hint="eastAsia"/>
          <w:b/>
        </w:rPr>
        <w:t>4.1.7 委托人的财产</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所有由委托人提供或支付费用，供监理人使用的物品均属于委托人的财产，实际可行时都应加以标记。当服务完成或终止时，监理人应将履行服务中未使用的剩余物品清单交给委托人，并按委托人的指示移交此类物品。此类移交应视为附加服务。</w:t>
      </w:r>
    </w:p>
    <w:p>
      <w:pPr>
        <w:spacing w:line="360" w:lineRule="auto"/>
        <w:ind w:firstLine="422" w:firstLineChars="200"/>
        <w:rPr>
          <w:b/>
        </w:rPr>
      </w:pPr>
      <w:r>
        <w:rPr>
          <w:rFonts w:hint="eastAsia"/>
          <w:b/>
        </w:rPr>
        <w:t>4.1.8 资源配置</w:t>
      </w:r>
    </w:p>
    <w:p>
      <w:pPr>
        <w:spacing w:line="360" w:lineRule="auto"/>
        <w:ind w:firstLine="420" w:firstLineChars="200"/>
        <w:rPr>
          <w:rFonts w:ascii="宋体" w:hAnsi="宋体" w:cs="宋体"/>
          <w:kern w:val="0"/>
          <w:szCs w:val="21"/>
        </w:rPr>
      </w:pPr>
      <w:r>
        <w:rPr>
          <w:rFonts w:hint="eastAsia" w:ascii="宋体" w:hAnsi="宋体" w:cs="宋体"/>
          <w:kern w:val="0"/>
          <w:szCs w:val="21"/>
        </w:rPr>
        <w:t>监理人需为本项目现场服务配置必要的资源，详见</w:t>
      </w:r>
      <w:r>
        <w:rPr>
          <w:rFonts w:hint="eastAsia"/>
          <w:szCs w:val="21"/>
        </w:rPr>
        <w:t>“合同附件格式”</w:t>
      </w:r>
      <w:r>
        <w:rPr>
          <w:rFonts w:hint="eastAsia" w:ascii="宋体" w:hAnsi="宋体" w:cs="宋体"/>
          <w:kern w:val="0"/>
          <w:szCs w:val="21"/>
        </w:rPr>
        <w:t>附件二和附件四的要求。</w:t>
      </w:r>
    </w:p>
    <w:p>
      <w:pPr>
        <w:spacing w:line="360" w:lineRule="auto"/>
        <w:ind w:firstLine="420" w:firstLineChars="200"/>
        <w:rPr>
          <w:bCs/>
        </w:rPr>
      </w:pPr>
      <w:r>
        <w:rPr>
          <w:rFonts w:hint="eastAsia"/>
          <w:bCs/>
        </w:rPr>
        <w:t xml:space="preserve">4.1.9 </w:t>
      </w:r>
      <w:r>
        <w:rPr>
          <w:rFonts w:hint="eastAsia"/>
          <w:bCs/>
          <w:lang w:val="zh-CN"/>
        </w:rPr>
        <w:t>监理人在履行服务工作时，应执行南</w:t>
      </w:r>
      <w:r>
        <w:rPr>
          <w:rFonts w:hint="eastAsia"/>
          <w:bCs/>
          <w:lang w:val="en-US" w:eastAsia="zh-CN"/>
        </w:rPr>
        <w:t>方电</w:t>
      </w:r>
      <w:r>
        <w:rPr>
          <w:rFonts w:hint="eastAsia"/>
          <w:bCs/>
          <w:lang w:val="zh-CN"/>
        </w:rPr>
        <w:t>网</w:t>
      </w:r>
      <w:r>
        <w:rPr>
          <w:rFonts w:hint="eastAsia"/>
          <w:bCs/>
        </w:rPr>
        <w:t>管理规范和技术（规范）标准</w:t>
      </w:r>
      <w:r>
        <w:rPr>
          <w:rFonts w:hint="eastAsia"/>
          <w:bCs/>
          <w:lang w:val="zh-CN"/>
        </w:rPr>
        <w:t>，详见</w:t>
      </w:r>
      <w:r>
        <w:rPr>
          <w:rFonts w:hint="eastAsia"/>
          <w:bCs/>
          <w:szCs w:val="21"/>
        </w:rPr>
        <w:t>“合同附件格式”</w:t>
      </w:r>
      <w:r>
        <w:rPr>
          <w:rFonts w:hint="eastAsia" w:ascii="宋体" w:hAnsi="宋体" w:cs="宋体"/>
          <w:bCs/>
          <w:kern w:val="0"/>
          <w:szCs w:val="21"/>
        </w:rPr>
        <w:t>附件十</w:t>
      </w:r>
      <w:r>
        <w:rPr>
          <w:rFonts w:hint="eastAsia"/>
          <w:bCs/>
          <w:lang w:val="zh-CN"/>
        </w:rPr>
        <w:t>。</w:t>
      </w:r>
    </w:p>
    <w:p>
      <w:pPr>
        <w:pStyle w:val="6"/>
        <w:spacing w:line="240" w:lineRule="auto"/>
        <w:ind w:firstLine="137"/>
        <w:rPr>
          <w:rFonts w:ascii="Times New Roman"/>
        </w:rPr>
      </w:pPr>
      <w:bookmarkStart w:id="215" w:name="_Toc16875"/>
      <w:r>
        <w:rPr>
          <w:rFonts w:ascii="Times New Roman"/>
        </w:rPr>
        <w:t xml:space="preserve">4.2 </w:t>
      </w:r>
      <w:r>
        <w:rPr>
          <w:rFonts w:hint="eastAsia" w:ascii="Times New Roman"/>
        </w:rPr>
        <w:t>履约保证金</w:t>
      </w:r>
      <w:bookmarkEnd w:id="215"/>
    </w:p>
    <w:p>
      <w:pPr>
        <w:spacing w:line="360" w:lineRule="auto"/>
        <w:ind w:firstLine="420" w:firstLineChars="200"/>
      </w:pPr>
      <w:r>
        <w:rPr>
          <w:rFonts w:hint="eastAsia"/>
        </w:rPr>
        <w:t>替换以下内容到第4.2款：</w:t>
      </w:r>
    </w:p>
    <w:p>
      <w:pPr>
        <w:spacing w:line="360" w:lineRule="auto"/>
        <w:ind w:firstLine="420" w:firstLineChars="200"/>
        <w:rPr>
          <w:szCs w:val="21"/>
        </w:rPr>
      </w:pPr>
      <w:r>
        <w:rPr>
          <w:rFonts w:hint="eastAsia"/>
          <w:szCs w:val="21"/>
        </w:rPr>
        <w:t>监理</w:t>
      </w:r>
      <w:r>
        <w:rPr>
          <w:szCs w:val="21"/>
        </w:rPr>
        <w:t>人</w:t>
      </w:r>
      <w:r>
        <w:rPr>
          <w:rFonts w:hint="eastAsia"/>
          <w:szCs w:val="21"/>
        </w:rPr>
        <w:t>在合同签订后</w:t>
      </w:r>
      <w:r>
        <w:rPr>
          <w:rFonts w:hint="eastAsia"/>
          <w:szCs w:val="21"/>
          <w:u w:val="single"/>
        </w:rPr>
        <w:t>28</w:t>
      </w:r>
      <w:r>
        <w:rPr>
          <w:rFonts w:hint="eastAsia"/>
          <w:szCs w:val="21"/>
        </w:rPr>
        <w:t>日内按照合同价的</w:t>
      </w:r>
      <w:r>
        <w:rPr>
          <w:rFonts w:hint="eastAsia"/>
          <w:szCs w:val="21"/>
          <w:u w:val="single"/>
        </w:rPr>
        <w:t>10%</w:t>
      </w:r>
      <w:r>
        <w:rPr>
          <w:rFonts w:hint="eastAsia"/>
          <w:szCs w:val="21"/>
        </w:rPr>
        <w:t>向发包人提交履约担保。</w:t>
      </w:r>
      <w:r>
        <w:rPr>
          <w:szCs w:val="21"/>
        </w:rPr>
        <w:t>履约</w:t>
      </w:r>
      <w:r>
        <w:rPr>
          <w:rFonts w:hint="eastAsia"/>
          <w:szCs w:val="21"/>
          <w:lang w:val="en-US" w:eastAsia="zh-CN"/>
        </w:rPr>
        <w:t>担保</w:t>
      </w:r>
      <w:r>
        <w:rPr>
          <w:szCs w:val="21"/>
        </w:rPr>
        <w:t>自</w:t>
      </w:r>
      <w:r>
        <w:rPr>
          <w:rFonts w:hint="eastAsia"/>
          <w:szCs w:val="21"/>
          <w:lang w:val="en-US" w:eastAsia="zh-CN"/>
        </w:rPr>
        <w:t>合同生效</w:t>
      </w:r>
      <w:r>
        <w:rPr>
          <w:szCs w:val="21"/>
        </w:rPr>
        <w:t>之日起生效，</w:t>
      </w:r>
      <w:r>
        <w:rPr>
          <w:rFonts w:hint="eastAsia"/>
          <w:szCs w:val="21"/>
        </w:rPr>
        <w:t>在工程接收证书颁发</w:t>
      </w:r>
      <w:r>
        <w:rPr>
          <w:szCs w:val="21"/>
        </w:rPr>
        <w:t>之日起28日后失效。如果</w:t>
      </w:r>
      <w:r>
        <w:rPr>
          <w:rFonts w:hint="eastAsia"/>
          <w:szCs w:val="21"/>
        </w:rPr>
        <w:t>监理</w:t>
      </w:r>
      <w:r>
        <w:rPr>
          <w:szCs w:val="21"/>
        </w:rPr>
        <w:t>人不履行合同约定的义务或其履行不符合合同的约定，委托人有权扣划相应金额的履约保证金。</w:t>
      </w:r>
    </w:p>
    <w:p>
      <w:pPr>
        <w:pStyle w:val="6"/>
        <w:spacing w:line="240" w:lineRule="auto"/>
        <w:ind w:firstLine="137"/>
        <w:rPr>
          <w:rFonts w:ascii="Times New Roman"/>
        </w:rPr>
      </w:pPr>
      <w:bookmarkStart w:id="216" w:name="_Toc12587"/>
      <w:r>
        <w:rPr>
          <w:rFonts w:ascii="Times New Roman"/>
        </w:rPr>
        <w:t>4.</w:t>
      </w:r>
      <w:r>
        <w:rPr>
          <w:rFonts w:hint="eastAsia" w:ascii="Times New Roman"/>
        </w:rPr>
        <w:t>4</w:t>
      </w:r>
      <w:r>
        <w:rPr>
          <w:rFonts w:ascii="Times New Roman"/>
        </w:rPr>
        <w:t xml:space="preserve"> </w:t>
      </w:r>
      <w:r>
        <w:rPr>
          <w:rFonts w:hint="eastAsia" w:ascii="Times New Roman"/>
        </w:rPr>
        <w:t>总监理工程师</w:t>
      </w:r>
      <w:bookmarkEnd w:id="216"/>
    </w:p>
    <w:p>
      <w:pPr>
        <w:spacing w:line="360" w:lineRule="auto"/>
        <w:ind w:firstLine="420" w:firstLineChars="200"/>
        <w:rPr>
          <w:szCs w:val="21"/>
        </w:rPr>
      </w:pPr>
      <w:r>
        <w:rPr>
          <w:rFonts w:hint="eastAsia"/>
        </w:rPr>
        <w:t>增加以下内容到第4.4.1款：</w:t>
      </w:r>
    </w:p>
    <w:p>
      <w:pPr>
        <w:spacing w:line="360" w:lineRule="auto"/>
        <w:ind w:firstLine="420" w:firstLineChars="200"/>
        <w:rPr>
          <w:szCs w:val="21"/>
          <w:lang w:val="zh-CN"/>
        </w:rPr>
      </w:pPr>
      <w:r>
        <w:rPr>
          <w:rFonts w:hint="eastAsia"/>
          <w:szCs w:val="21"/>
          <w:lang w:val="zh-CN"/>
        </w:rPr>
        <w:t>（1）</w:t>
      </w:r>
      <w:r>
        <w:rPr>
          <w:szCs w:val="21"/>
          <w:lang w:val="zh-CN"/>
        </w:rPr>
        <w:t>总监理工程师：</w:t>
      </w:r>
    </w:p>
    <w:p>
      <w:pPr>
        <w:spacing w:line="360" w:lineRule="auto"/>
        <w:ind w:firstLine="420" w:firstLineChars="200"/>
        <w:rPr>
          <w:szCs w:val="21"/>
          <w:lang w:val="zh-CN"/>
        </w:rPr>
      </w:pPr>
      <w:permStart w:id="84" w:edGrp="everyone"/>
      <w:r>
        <w:rPr>
          <w:szCs w:val="21"/>
          <w:lang w:val="zh-CN"/>
        </w:rPr>
        <w:t>姓    名：</w:t>
      </w:r>
      <w:r>
        <w:rPr>
          <w:rFonts w:hint="eastAsia"/>
          <w:szCs w:val="21"/>
          <w:u w:val="single"/>
        </w:rPr>
        <w:t xml:space="preserve">            </w:t>
      </w:r>
      <w:r>
        <w:rPr>
          <w:szCs w:val="21"/>
        </w:rPr>
        <w:t>。</w:t>
      </w:r>
    </w:p>
    <w:p>
      <w:pPr>
        <w:spacing w:line="360" w:lineRule="auto"/>
        <w:ind w:firstLine="420" w:firstLineChars="200"/>
        <w:rPr>
          <w:szCs w:val="21"/>
          <w:lang w:val="zh-CN"/>
        </w:rPr>
      </w:pPr>
      <w:r>
        <w:rPr>
          <w:szCs w:val="21"/>
          <w:lang w:val="zh-CN"/>
        </w:rPr>
        <w:t>执业资格</w:t>
      </w:r>
      <w:r>
        <w:rPr>
          <w:rFonts w:hint="eastAsia"/>
          <w:szCs w:val="21"/>
          <w:lang w:val="zh-CN"/>
        </w:rPr>
        <w:t>及</w:t>
      </w:r>
      <w:r>
        <w:rPr>
          <w:szCs w:val="21"/>
          <w:lang w:val="zh-CN"/>
        </w:rPr>
        <w:t>等级：</w:t>
      </w:r>
      <w:r>
        <w:rPr>
          <w:rFonts w:hint="eastAsia"/>
          <w:szCs w:val="21"/>
          <w:u w:val="single"/>
        </w:rPr>
        <w:t xml:space="preserve">            </w:t>
      </w:r>
      <w:r>
        <w:rPr>
          <w:szCs w:val="21"/>
        </w:rPr>
        <w:t>。</w:t>
      </w:r>
    </w:p>
    <w:p>
      <w:pPr>
        <w:spacing w:line="360" w:lineRule="auto"/>
        <w:ind w:firstLine="420" w:firstLineChars="200"/>
        <w:rPr>
          <w:szCs w:val="21"/>
          <w:lang w:val="zh-CN"/>
        </w:rPr>
      </w:pPr>
      <w:r>
        <w:rPr>
          <w:szCs w:val="21"/>
          <w:lang w:val="zh-CN"/>
        </w:rPr>
        <w:t>注册证书号：</w:t>
      </w:r>
      <w:r>
        <w:rPr>
          <w:rFonts w:hint="eastAsia"/>
          <w:szCs w:val="21"/>
          <w:u w:val="single"/>
        </w:rPr>
        <w:t xml:space="preserve">            </w:t>
      </w:r>
      <w:r>
        <w:rPr>
          <w:szCs w:val="21"/>
        </w:rPr>
        <w:t>。</w:t>
      </w:r>
    </w:p>
    <w:p>
      <w:pPr>
        <w:spacing w:line="360" w:lineRule="auto"/>
        <w:ind w:firstLine="420" w:firstLineChars="200"/>
        <w:rPr>
          <w:szCs w:val="21"/>
          <w:lang w:val="zh-CN"/>
        </w:rPr>
      </w:pPr>
      <w:r>
        <w:rPr>
          <w:szCs w:val="21"/>
          <w:lang w:val="zh-CN"/>
        </w:rPr>
        <w:t>联系电话：</w:t>
      </w:r>
      <w:r>
        <w:rPr>
          <w:rFonts w:hint="eastAsia"/>
          <w:szCs w:val="21"/>
          <w:u w:val="single"/>
        </w:rPr>
        <w:t xml:space="preserve">            </w:t>
      </w:r>
      <w:r>
        <w:rPr>
          <w:szCs w:val="21"/>
        </w:rPr>
        <w:t>。</w:t>
      </w:r>
    </w:p>
    <w:p>
      <w:pPr>
        <w:spacing w:line="360" w:lineRule="auto"/>
        <w:ind w:firstLine="420" w:firstLineChars="200"/>
        <w:rPr>
          <w:szCs w:val="21"/>
          <w:lang w:val="zh-CN"/>
        </w:rPr>
      </w:pPr>
      <w:r>
        <w:rPr>
          <w:szCs w:val="21"/>
          <w:lang w:val="zh-CN"/>
        </w:rPr>
        <w:t>电子信箱：</w:t>
      </w:r>
      <w:r>
        <w:rPr>
          <w:rFonts w:hint="eastAsia"/>
          <w:szCs w:val="21"/>
          <w:u w:val="single"/>
        </w:rPr>
        <w:t xml:space="preserve">            </w:t>
      </w:r>
      <w:r>
        <w:rPr>
          <w:szCs w:val="21"/>
        </w:rPr>
        <w:t>。</w:t>
      </w:r>
    </w:p>
    <w:p>
      <w:pPr>
        <w:spacing w:line="360" w:lineRule="auto"/>
        <w:ind w:firstLine="420" w:firstLineChars="200"/>
        <w:rPr>
          <w:szCs w:val="21"/>
          <w:lang w:val="zh-CN"/>
        </w:rPr>
      </w:pPr>
      <w:r>
        <w:rPr>
          <w:szCs w:val="21"/>
          <w:lang w:val="zh-CN"/>
        </w:rPr>
        <w:t>通信地址：</w:t>
      </w:r>
      <w:r>
        <w:rPr>
          <w:rFonts w:hint="eastAsia"/>
          <w:szCs w:val="21"/>
          <w:u w:val="single"/>
        </w:rPr>
        <w:t xml:space="preserve">            </w:t>
      </w:r>
      <w:r>
        <w:rPr>
          <w:szCs w:val="21"/>
        </w:rPr>
        <w:t>。</w:t>
      </w:r>
    </w:p>
    <w:p>
      <w:pPr>
        <w:spacing w:line="360" w:lineRule="auto"/>
        <w:ind w:firstLine="420" w:firstLineChars="200"/>
        <w:rPr>
          <w:szCs w:val="21"/>
          <w:lang w:val="zh-CN"/>
        </w:rPr>
      </w:pPr>
      <w:r>
        <w:rPr>
          <w:rFonts w:hint="eastAsia"/>
          <w:szCs w:val="21"/>
          <w:lang w:val="zh-CN"/>
        </w:rPr>
        <w:t>监理</w:t>
      </w:r>
      <w:r>
        <w:rPr>
          <w:szCs w:val="21"/>
          <w:lang w:val="zh-CN"/>
        </w:rPr>
        <w:t>人对总监理工程师的授权范围如下：</w:t>
      </w:r>
      <w:r>
        <w:rPr>
          <w:rFonts w:hint="eastAsia"/>
          <w:szCs w:val="21"/>
          <w:u w:val="single"/>
        </w:rPr>
        <w:t xml:space="preserve">            </w:t>
      </w:r>
      <w:r>
        <w:rPr>
          <w:szCs w:val="21"/>
        </w:rPr>
        <w:t>。</w:t>
      </w:r>
      <w:permEnd w:id="84"/>
    </w:p>
    <w:p>
      <w:pPr>
        <w:spacing w:line="360" w:lineRule="auto"/>
        <w:ind w:firstLine="420" w:firstLineChars="200"/>
        <w:rPr>
          <w:szCs w:val="21"/>
        </w:rPr>
      </w:pPr>
      <w:r>
        <w:rPr>
          <w:rFonts w:hint="eastAsia"/>
          <w:szCs w:val="21"/>
          <w:lang w:val="zh-CN"/>
        </w:rPr>
        <w:t>（2）监理</w:t>
      </w:r>
      <w:r>
        <w:rPr>
          <w:rFonts w:hAnsi="宋体"/>
          <w:szCs w:val="21"/>
        </w:rPr>
        <w:t>人擅自更换总监理工程师的违约责任：</w:t>
      </w:r>
      <w:permStart w:id="85" w:edGrp="everyone"/>
      <w:r>
        <w:rPr>
          <w:rFonts w:hint="eastAsia"/>
          <w:szCs w:val="21"/>
          <w:u w:val="single"/>
        </w:rPr>
        <w:t xml:space="preserve">            </w:t>
      </w:r>
      <w:r>
        <w:rPr>
          <w:szCs w:val="21"/>
        </w:rPr>
        <w:t>。</w:t>
      </w:r>
      <w:permEnd w:id="85"/>
    </w:p>
    <w:p>
      <w:pPr>
        <w:spacing w:line="360" w:lineRule="auto"/>
        <w:ind w:firstLine="420" w:firstLineChars="200"/>
        <w:rPr>
          <w:szCs w:val="21"/>
        </w:rPr>
      </w:pPr>
      <w:r>
        <w:rPr>
          <w:rFonts w:hint="eastAsia"/>
          <w:szCs w:val="21"/>
        </w:rPr>
        <w:t>（3）监理</w:t>
      </w:r>
      <w:r>
        <w:rPr>
          <w:rFonts w:hAnsi="宋体"/>
          <w:szCs w:val="21"/>
        </w:rPr>
        <w:t>人无正当理由拒绝更换</w:t>
      </w:r>
      <w:r>
        <w:rPr>
          <w:rFonts w:hint="eastAsia" w:hAnsi="宋体"/>
          <w:szCs w:val="21"/>
        </w:rPr>
        <w:t>总监理工程师</w:t>
      </w:r>
      <w:r>
        <w:rPr>
          <w:rFonts w:hAnsi="宋体"/>
          <w:szCs w:val="21"/>
        </w:rPr>
        <w:t>的违约责任：</w:t>
      </w:r>
      <w:permStart w:id="86" w:edGrp="everyone"/>
      <w:r>
        <w:rPr>
          <w:rFonts w:hint="eastAsia"/>
          <w:szCs w:val="21"/>
          <w:u w:val="single"/>
        </w:rPr>
        <w:t xml:space="preserve">            </w:t>
      </w:r>
      <w:r>
        <w:rPr>
          <w:szCs w:val="21"/>
        </w:rPr>
        <w:t>。</w:t>
      </w:r>
    </w:p>
    <w:permEnd w:id="86"/>
    <w:p>
      <w:pPr>
        <w:pStyle w:val="6"/>
        <w:spacing w:line="240" w:lineRule="auto"/>
        <w:ind w:firstLine="137"/>
        <w:rPr>
          <w:rFonts w:ascii="Times New Roman"/>
        </w:rPr>
      </w:pPr>
      <w:bookmarkStart w:id="217" w:name="_Toc17441"/>
      <w:r>
        <w:rPr>
          <w:rFonts w:ascii="Times New Roman"/>
        </w:rPr>
        <w:t>4.</w:t>
      </w:r>
      <w:r>
        <w:rPr>
          <w:rFonts w:hint="eastAsia" w:ascii="Times New Roman"/>
        </w:rPr>
        <w:t>5</w:t>
      </w:r>
      <w:r>
        <w:rPr>
          <w:rFonts w:ascii="Times New Roman"/>
        </w:rPr>
        <w:t xml:space="preserve"> </w:t>
      </w:r>
      <w:r>
        <w:rPr>
          <w:rFonts w:hint="eastAsia" w:ascii="Times New Roman"/>
          <w:szCs w:val="21"/>
        </w:rPr>
        <w:t>监理</w:t>
      </w:r>
      <w:r>
        <w:rPr>
          <w:rFonts w:hint="eastAsia" w:ascii="Times New Roman"/>
        </w:rPr>
        <w:t>人员的管理</w:t>
      </w:r>
      <w:bookmarkEnd w:id="217"/>
    </w:p>
    <w:p>
      <w:pPr>
        <w:spacing w:line="360" w:lineRule="auto"/>
        <w:ind w:firstLine="420" w:firstLineChars="200"/>
      </w:pPr>
      <w:r>
        <w:rPr>
          <w:rFonts w:hint="eastAsia"/>
        </w:rPr>
        <w:t>替换以下内容到第4.5.1款：</w:t>
      </w:r>
    </w:p>
    <w:p>
      <w:pPr>
        <w:spacing w:line="360" w:lineRule="auto"/>
        <w:ind w:firstLine="420" w:firstLineChars="200"/>
      </w:pPr>
      <w:r>
        <w:t>监理人应在</w:t>
      </w:r>
      <w:r>
        <w:rPr>
          <w:rFonts w:hint="eastAsia"/>
        </w:rPr>
        <w:t>合同签订后第7日</w:t>
      </w:r>
      <w:r>
        <w:t>内，向委托人提交监理项目机构以及人员安排的报告，其内容应包括项目机构设置、主要监理人员和作业人员的名单及资格条件</w:t>
      </w:r>
      <w:r>
        <w:rPr>
          <w:rFonts w:hint="eastAsia"/>
        </w:rPr>
        <w:t>，并在得到委托人认可后派驻。</w:t>
      </w:r>
    </w:p>
    <w:p>
      <w:pPr>
        <w:spacing w:line="360" w:lineRule="auto"/>
        <w:ind w:firstLine="420" w:firstLineChars="200"/>
      </w:pPr>
      <w:r>
        <w:t>主要监理人员应相对稳定，更换主要监理人员的，应取得委托人的同意</w:t>
      </w:r>
      <w:r>
        <w:rPr>
          <w:rFonts w:hint="eastAsia"/>
        </w:rPr>
        <w:t>，</w:t>
      </w:r>
      <w:r>
        <w:t>并向委托人提交继任人员的资格、管理经验等资料。总监理工程师的更换，应按照本章第 4.4.1 项规定执行。</w:t>
      </w:r>
    </w:p>
    <w:p>
      <w:pPr>
        <w:pStyle w:val="6"/>
        <w:spacing w:line="240" w:lineRule="auto"/>
        <w:ind w:firstLine="137"/>
        <w:rPr>
          <w:rFonts w:ascii="Times New Roman"/>
        </w:rPr>
      </w:pPr>
      <w:bookmarkStart w:id="218" w:name="_Toc24016"/>
      <w:r>
        <w:rPr>
          <w:rFonts w:ascii="Times New Roman"/>
        </w:rPr>
        <w:t>4.</w:t>
      </w:r>
      <w:r>
        <w:rPr>
          <w:rFonts w:hint="eastAsia" w:ascii="Times New Roman"/>
        </w:rPr>
        <w:t>6</w:t>
      </w:r>
      <w:r>
        <w:rPr>
          <w:rFonts w:ascii="Times New Roman"/>
        </w:rPr>
        <w:t xml:space="preserve"> </w:t>
      </w:r>
      <w:r>
        <w:rPr>
          <w:rFonts w:hint="eastAsia" w:ascii="Times New Roman"/>
          <w:szCs w:val="21"/>
        </w:rPr>
        <w:t>撤换总监理工程师和其他人员</w:t>
      </w:r>
      <w:bookmarkEnd w:id="218"/>
    </w:p>
    <w:p>
      <w:pPr>
        <w:spacing w:line="360" w:lineRule="auto"/>
        <w:ind w:firstLine="420" w:firstLineChars="200"/>
      </w:pPr>
      <w:r>
        <w:rPr>
          <w:rFonts w:hint="eastAsia"/>
        </w:rPr>
        <w:t>增加以下内容到第4.6款：</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如果渎职或不能圆满地执行任务不能作为理由成立的话，则应由提出要求的一方承担更换费用。</w:t>
      </w:r>
    </w:p>
    <w:p>
      <w:pPr>
        <w:spacing w:line="360" w:lineRule="auto"/>
        <w:ind w:firstLine="420" w:firstLineChars="200"/>
      </w:pPr>
      <w:r>
        <w:rPr>
          <w:rFonts w:hint="eastAsia"/>
        </w:rPr>
        <w:t>增加以下内容到第4款：</w:t>
      </w:r>
    </w:p>
    <w:p>
      <w:pPr>
        <w:pStyle w:val="6"/>
        <w:spacing w:line="240" w:lineRule="auto"/>
        <w:ind w:firstLine="137"/>
        <w:rPr>
          <w:rFonts w:ascii="Times New Roman"/>
        </w:rPr>
      </w:pPr>
      <w:bookmarkStart w:id="219" w:name="_Toc31491"/>
      <w:r>
        <w:rPr>
          <w:rFonts w:ascii="Times New Roman"/>
        </w:rPr>
        <w:t>4.</w:t>
      </w:r>
      <w:r>
        <w:rPr>
          <w:rFonts w:hint="eastAsia" w:ascii="Times New Roman"/>
        </w:rPr>
        <w:t>7 其他</w:t>
      </w:r>
      <w:bookmarkEnd w:id="219"/>
    </w:p>
    <w:p/>
    <w:p>
      <w:pPr>
        <w:spacing w:line="360" w:lineRule="auto"/>
        <w:ind w:firstLine="420" w:firstLineChars="200"/>
        <w:rPr>
          <w:lang w:val="zh-CN"/>
        </w:rPr>
      </w:pPr>
      <w:r>
        <w:rPr>
          <w:rFonts w:hint="eastAsia"/>
          <w:lang w:val="zh-CN"/>
        </w:rPr>
        <w:t>监理人在委托人委托的服务范围内，享有以下权利：</w:t>
      </w:r>
    </w:p>
    <w:p>
      <w:pPr>
        <w:spacing w:line="360" w:lineRule="auto"/>
        <w:ind w:firstLine="420" w:firstLineChars="200"/>
        <w:rPr>
          <w:lang w:val="zh-CN"/>
        </w:rPr>
      </w:pPr>
      <w:r>
        <w:rPr>
          <w:rFonts w:hint="eastAsia"/>
          <w:lang w:val="zh-CN"/>
        </w:rPr>
        <w:t>（1）对施工承包商选择工程分包人的审查权。</w:t>
      </w:r>
    </w:p>
    <w:p>
      <w:pPr>
        <w:spacing w:line="360" w:lineRule="auto"/>
        <w:ind w:firstLine="420" w:firstLineChars="200"/>
        <w:rPr>
          <w:lang w:val="zh-CN"/>
        </w:rPr>
      </w:pPr>
      <w:r>
        <w:rPr>
          <w:rFonts w:hint="eastAsia"/>
          <w:lang w:val="zh-CN"/>
        </w:rPr>
        <w:t>（2）对工程建设有关事项包括工程规模、设计标准、规划设计、生产工艺设计和使用功能要求，向委托人的建议权。</w:t>
      </w:r>
    </w:p>
    <w:p>
      <w:pPr>
        <w:spacing w:line="360" w:lineRule="auto"/>
        <w:ind w:firstLine="420" w:firstLineChars="200"/>
        <w:rPr>
          <w:lang w:val="zh-CN"/>
        </w:rPr>
      </w:pPr>
      <w:r>
        <w:rPr>
          <w:rFonts w:hint="eastAsia"/>
          <w:lang w:val="zh-CN"/>
        </w:rPr>
        <w:t>（3）对工程设计中的技术问题，按照安全和优化的原则，向设计单位提出建议；如果拟提出的建议可能会提高工程造价或延长工期，应当事先征得委托人的同意。当发现工程设计不符合国家颁发的建设工程质量标准或设计合同约定的质量标准时，监理人应当书面报告委托人并要求设计单位更正。</w:t>
      </w:r>
    </w:p>
    <w:p>
      <w:pPr>
        <w:spacing w:line="360" w:lineRule="auto"/>
        <w:ind w:firstLine="420" w:firstLineChars="200"/>
        <w:rPr>
          <w:lang w:val="zh-CN"/>
        </w:rPr>
      </w:pPr>
      <w:r>
        <w:rPr>
          <w:rFonts w:hint="eastAsia"/>
          <w:lang w:val="zh-CN"/>
        </w:rPr>
        <w:t>（4）对工程施工组织设计和技术方案，按照保质量、保工期和降低成本的原则，向施工承包方提出建议，并向委托人提出书面报告。</w:t>
      </w:r>
    </w:p>
    <w:p>
      <w:pPr>
        <w:spacing w:line="360" w:lineRule="auto"/>
        <w:ind w:firstLine="420" w:firstLineChars="200"/>
        <w:rPr>
          <w:lang w:val="zh-CN"/>
        </w:rPr>
      </w:pPr>
      <w:r>
        <w:rPr>
          <w:rFonts w:hint="eastAsia"/>
          <w:lang w:val="zh-CN"/>
        </w:rPr>
        <w:t>（5）主持工程建设有关协作单位的组织协调，重要协调事项应当事先向委托人报告。</w:t>
      </w:r>
    </w:p>
    <w:p>
      <w:pPr>
        <w:spacing w:line="360" w:lineRule="auto"/>
        <w:ind w:firstLine="420" w:firstLineChars="200"/>
        <w:rPr>
          <w:lang w:val="zh-CN"/>
        </w:rPr>
      </w:pPr>
      <w:r>
        <w:rPr>
          <w:rFonts w:hint="eastAsia"/>
          <w:lang w:val="zh-CN"/>
        </w:rPr>
        <w:t>（6）征得委托人同意，监理人有权发布开工令、停工令、复工令，但应当事先向委托人报告。如在紧急情况下未能事先报告时，则应在24小时内向委托人做出书面报告。</w:t>
      </w:r>
    </w:p>
    <w:p>
      <w:pPr>
        <w:spacing w:line="360" w:lineRule="auto"/>
        <w:ind w:firstLine="420" w:firstLineChars="200"/>
        <w:rPr>
          <w:lang w:val="zh-CN"/>
        </w:rPr>
      </w:pPr>
      <w:r>
        <w:rPr>
          <w:rFonts w:hint="eastAsia"/>
          <w:lang w:val="zh-CN"/>
        </w:rPr>
        <w:t>（7）工程上使用的材料和施工质量的检验权。对于不符合设计要求和合同约定及国家质量标准的材料、构配件、设备，有权通知施工承包方停止使用；对于不符合规范和质量标准的工序、分部分项工程和不安全施工作业，有权通知施工承包方停工整改、返工。施工承包方得到监理机构复工令后才能复工。</w:t>
      </w:r>
    </w:p>
    <w:p>
      <w:pPr>
        <w:spacing w:line="360" w:lineRule="auto"/>
        <w:ind w:firstLine="420" w:firstLineChars="200"/>
        <w:rPr>
          <w:lang w:val="zh-CN"/>
        </w:rPr>
      </w:pPr>
      <w:r>
        <w:rPr>
          <w:rFonts w:hint="eastAsia"/>
          <w:lang w:val="zh-CN"/>
        </w:rPr>
        <w:t>（8）工程施工进度的检查、监督权。</w:t>
      </w:r>
    </w:p>
    <w:p>
      <w:pPr>
        <w:spacing w:line="360" w:lineRule="auto"/>
        <w:ind w:firstLine="420" w:firstLineChars="200"/>
        <w:rPr>
          <w:lang w:val="zh-CN"/>
        </w:rPr>
      </w:pPr>
      <w:r>
        <w:rPr>
          <w:rFonts w:hint="eastAsia"/>
          <w:lang w:val="zh-CN"/>
        </w:rPr>
        <w:t>（9）在工程施工合同约定的工程价格范围内，工程款支付的审核以及工程结算的复核权，未经总监理工程师签字确认，委托人不支付工程款。</w:t>
      </w:r>
    </w:p>
    <w:p>
      <w:pPr>
        <w:spacing w:line="360" w:lineRule="auto"/>
        <w:ind w:firstLine="420" w:firstLineChars="200"/>
        <w:rPr>
          <w:lang w:val="zh-CN"/>
        </w:rPr>
      </w:pPr>
      <w:r>
        <w:rPr>
          <w:rFonts w:hint="eastAsia"/>
          <w:lang w:val="zh-CN"/>
        </w:rPr>
        <w:t>（10）安全及文明施工的监管权。发现施工项目部的安全文明施工管理混乱，或拒不接受监理项目部的管理，可按有关规定进行罚款或向委托人建议暂停拨付工程款甚至终止工程承包合同，并严禁再次进场施工。</w:t>
      </w:r>
    </w:p>
    <w:p>
      <w:pPr>
        <w:pStyle w:val="5"/>
        <w:rPr>
          <w:rFonts w:ascii="Times New Roman" w:hAnsi="Times New Roman"/>
        </w:rPr>
      </w:pPr>
      <w:bookmarkStart w:id="220" w:name="_Toc32471"/>
      <w:r>
        <w:rPr>
          <w:rFonts w:ascii="Times New Roman" w:hAnsi="Times New Roman"/>
        </w:rPr>
        <w:t xml:space="preserve">5. </w:t>
      </w:r>
      <w:r>
        <w:rPr>
          <w:rFonts w:hint="eastAsia" w:ascii="Times New Roman" w:hAnsi="Times New Roman"/>
          <w:szCs w:val="21"/>
        </w:rPr>
        <w:t>监理</w:t>
      </w:r>
      <w:r>
        <w:rPr>
          <w:rFonts w:ascii="Times New Roman" w:hAnsi="Times New Roman"/>
        </w:rPr>
        <w:t>要求</w:t>
      </w:r>
      <w:bookmarkEnd w:id="220"/>
    </w:p>
    <w:p>
      <w:pPr>
        <w:pStyle w:val="6"/>
        <w:spacing w:line="240" w:lineRule="auto"/>
        <w:ind w:firstLine="137"/>
        <w:rPr>
          <w:rFonts w:ascii="Times New Roman"/>
        </w:rPr>
      </w:pPr>
      <w:bookmarkStart w:id="221" w:name="_Toc21124"/>
      <w:r>
        <w:rPr>
          <w:rFonts w:ascii="Times New Roman"/>
        </w:rPr>
        <w:t>5.</w:t>
      </w:r>
      <w:r>
        <w:rPr>
          <w:rFonts w:hint="eastAsia" w:ascii="Times New Roman"/>
        </w:rPr>
        <w:t>1</w:t>
      </w:r>
      <w:r>
        <w:rPr>
          <w:rFonts w:ascii="Times New Roman"/>
        </w:rPr>
        <w:t xml:space="preserve"> </w:t>
      </w:r>
      <w:r>
        <w:rPr>
          <w:rFonts w:hint="eastAsia" w:ascii="Times New Roman"/>
          <w:szCs w:val="21"/>
        </w:rPr>
        <w:t>监理</w:t>
      </w:r>
      <w:r>
        <w:rPr>
          <w:rFonts w:hint="eastAsia" w:ascii="Times New Roman"/>
        </w:rPr>
        <w:t>范围</w:t>
      </w:r>
      <w:bookmarkEnd w:id="221"/>
    </w:p>
    <w:p>
      <w:pPr>
        <w:spacing w:line="360" w:lineRule="auto"/>
        <w:ind w:firstLine="420" w:firstLineChars="200"/>
      </w:pPr>
      <w:r>
        <w:rPr>
          <w:rFonts w:hint="eastAsia"/>
        </w:rPr>
        <w:t>增加以下内容到第</w:t>
      </w:r>
      <w:r>
        <w:rPr>
          <w:szCs w:val="21"/>
        </w:rPr>
        <w:t>5.</w:t>
      </w:r>
      <w:r>
        <w:rPr>
          <w:rFonts w:hint="eastAsia"/>
          <w:szCs w:val="21"/>
        </w:rPr>
        <w:t>1</w:t>
      </w:r>
      <w:r>
        <w:rPr>
          <w:szCs w:val="21"/>
        </w:rPr>
        <w:t>.2</w:t>
      </w:r>
      <w:r>
        <w:rPr>
          <w:rFonts w:hint="eastAsia"/>
        </w:rPr>
        <w:t>款：</w:t>
      </w:r>
    </w:p>
    <w:p>
      <w:pPr>
        <w:spacing w:line="360" w:lineRule="auto"/>
        <w:ind w:firstLine="420" w:firstLineChars="200"/>
        <w:rPr>
          <w:szCs w:val="21"/>
        </w:rPr>
      </w:pPr>
      <w:r>
        <w:rPr>
          <w:szCs w:val="21"/>
        </w:rPr>
        <w:t>工程范围指所</w:t>
      </w:r>
      <w:r>
        <w:rPr>
          <w:rFonts w:hint="eastAsia"/>
          <w:szCs w:val="21"/>
        </w:rPr>
        <w:t>监理</w:t>
      </w:r>
      <w:r>
        <w:rPr>
          <w:szCs w:val="21"/>
        </w:rPr>
        <w:t>工程的建设内容，具体范围</w:t>
      </w:r>
      <w:r>
        <w:rPr>
          <w:rFonts w:hint="eastAsia"/>
          <w:szCs w:val="21"/>
        </w:rPr>
        <w:t>包括：</w:t>
      </w:r>
      <w:permStart w:id="87" w:edGrp="everyone"/>
      <w:r>
        <w:rPr>
          <w:rFonts w:hint="eastAsia"/>
          <w:szCs w:val="21"/>
          <w:u w:val="single"/>
        </w:rPr>
        <w:t xml:space="preserve">            </w:t>
      </w:r>
      <w:r>
        <w:rPr>
          <w:szCs w:val="21"/>
        </w:rPr>
        <w:t>。</w:t>
      </w:r>
      <w:permEnd w:id="87"/>
    </w:p>
    <w:p>
      <w:pPr>
        <w:spacing w:line="360" w:lineRule="auto"/>
        <w:ind w:firstLine="420" w:firstLineChars="200"/>
      </w:pPr>
      <w:r>
        <w:rPr>
          <w:rFonts w:hint="eastAsia"/>
        </w:rPr>
        <w:t>增加以下内容到第</w:t>
      </w:r>
      <w:r>
        <w:rPr>
          <w:szCs w:val="21"/>
        </w:rPr>
        <w:t>5.</w:t>
      </w:r>
      <w:r>
        <w:rPr>
          <w:rFonts w:hint="eastAsia"/>
          <w:szCs w:val="21"/>
        </w:rPr>
        <w:t>1</w:t>
      </w:r>
      <w:r>
        <w:rPr>
          <w:szCs w:val="21"/>
        </w:rPr>
        <w:t>.</w:t>
      </w:r>
      <w:r>
        <w:rPr>
          <w:rFonts w:hint="eastAsia"/>
          <w:szCs w:val="21"/>
        </w:rPr>
        <w:t>3</w:t>
      </w:r>
      <w:r>
        <w:rPr>
          <w:rFonts w:hint="eastAsia"/>
        </w:rPr>
        <w:t>款：</w:t>
      </w:r>
    </w:p>
    <w:p>
      <w:pPr>
        <w:spacing w:line="360" w:lineRule="auto"/>
        <w:ind w:firstLine="420" w:firstLineChars="200"/>
        <w:rPr>
          <w:szCs w:val="21"/>
        </w:rPr>
      </w:pPr>
      <w:r>
        <w:rPr>
          <w:rFonts w:hint="eastAsia"/>
          <w:szCs w:val="21"/>
        </w:rPr>
        <w:t>阶段范围具体包括：</w:t>
      </w:r>
      <w:permStart w:id="88" w:edGrp="everyone"/>
      <w:r>
        <w:rPr>
          <w:rFonts w:hint="eastAsia"/>
          <w:szCs w:val="21"/>
          <w:u w:val="single"/>
        </w:rPr>
        <w:t xml:space="preserve">            </w:t>
      </w:r>
      <w:r>
        <w:rPr>
          <w:szCs w:val="21"/>
        </w:rPr>
        <w:t>。</w:t>
      </w:r>
      <w:permEnd w:id="88"/>
    </w:p>
    <w:p>
      <w:pPr>
        <w:spacing w:line="360" w:lineRule="auto"/>
        <w:ind w:firstLine="420" w:firstLineChars="200"/>
        <w:rPr>
          <w:szCs w:val="21"/>
        </w:rPr>
      </w:pPr>
      <w:r>
        <w:rPr>
          <w:rFonts w:hint="eastAsia"/>
          <w:szCs w:val="21"/>
          <w:lang w:val="zh-CN"/>
        </w:rPr>
        <w:t>缺陷责任期和保修：本工程缺陷责任期为</w:t>
      </w:r>
      <w:permStart w:id="89" w:edGrp="everyone"/>
      <w:r>
        <w:rPr>
          <w:szCs w:val="21"/>
          <w:u w:val="single"/>
          <w:lang w:val="zh-CN"/>
        </w:rPr>
        <w:t>两</w:t>
      </w:r>
      <w:r>
        <w:rPr>
          <w:rFonts w:hint="eastAsia"/>
          <w:szCs w:val="21"/>
          <w:u w:val="single"/>
          <w:lang w:val="zh-CN"/>
        </w:rPr>
        <w:t>年</w:t>
      </w:r>
      <w:permEnd w:id="89"/>
      <w:r>
        <w:rPr>
          <w:rFonts w:hint="eastAsia"/>
          <w:szCs w:val="21"/>
        </w:rPr>
        <w:t>，自工程通过竣工验收合格之日起计</w:t>
      </w:r>
      <w:r>
        <w:rPr>
          <w:rFonts w:hint="eastAsia"/>
          <w:szCs w:val="21"/>
          <w:lang w:val="zh-CN"/>
        </w:rPr>
        <w:t>。监理人在规定的工程质量缺陷责任期内负责相应保修监理工作。</w:t>
      </w:r>
    </w:p>
    <w:p>
      <w:pPr>
        <w:spacing w:line="360" w:lineRule="auto"/>
        <w:ind w:firstLine="420" w:firstLineChars="200"/>
      </w:pPr>
      <w:r>
        <w:rPr>
          <w:rFonts w:hint="eastAsia"/>
        </w:rPr>
        <w:t>增加以下内容到第</w:t>
      </w:r>
      <w:r>
        <w:rPr>
          <w:szCs w:val="21"/>
        </w:rPr>
        <w:t>5.</w:t>
      </w:r>
      <w:r>
        <w:rPr>
          <w:rFonts w:hint="eastAsia"/>
          <w:szCs w:val="21"/>
        </w:rPr>
        <w:t>1</w:t>
      </w:r>
      <w:r>
        <w:rPr>
          <w:szCs w:val="21"/>
        </w:rPr>
        <w:t>.</w:t>
      </w:r>
      <w:r>
        <w:rPr>
          <w:rFonts w:hint="eastAsia"/>
          <w:szCs w:val="21"/>
        </w:rPr>
        <w:t>4</w:t>
      </w:r>
      <w:r>
        <w:rPr>
          <w:rFonts w:hint="eastAsia"/>
        </w:rPr>
        <w:t>款：</w:t>
      </w:r>
    </w:p>
    <w:p>
      <w:pPr>
        <w:spacing w:line="360" w:lineRule="auto"/>
        <w:ind w:firstLine="420" w:firstLineChars="200"/>
        <w:rPr>
          <w:szCs w:val="21"/>
          <w:u w:val="single"/>
        </w:rPr>
      </w:pPr>
      <w:r>
        <w:rPr>
          <w:rFonts w:hint="eastAsia"/>
          <w:szCs w:val="21"/>
        </w:rPr>
        <w:t>工作范围具体包括：</w:t>
      </w:r>
      <w:permStart w:id="90" w:edGrp="everyone"/>
      <w:r>
        <w:rPr>
          <w:rFonts w:hint="eastAsia"/>
          <w:szCs w:val="21"/>
          <w:u w:val="single"/>
        </w:rPr>
        <w:t xml:space="preserve">            </w:t>
      </w:r>
      <w:r>
        <w:rPr>
          <w:szCs w:val="21"/>
        </w:rPr>
        <w:t>。</w:t>
      </w:r>
      <w:permEnd w:id="90"/>
    </w:p>
    <w:p>
      <w:pPr>
        <w:pStyle w:val="6"/>
        <w:spacing w:line="240" w:lineRule="auto"/>
        <w:ind w:firstLine="137"/>
        <w:rPr>
          <w:rFonts w:ascii="Times New Roman"/>
        </w:rPr>
      </w:pPr>
      <w:bookmarkStart w:id="222" w:name="_Toc9655"/>
      <w:r>
        <w:rPr>
          <w:rFonts w:ascii="Times New Roman"/>
        </w:rPr>
        <w:t>5.</w:t>
      </w:r>
      <w:r>
        <w:rPr>
          <w:rFonts w:hint="eastAsia" w:ascii="Times New Roman"/>
        </w:rPr>
        <w:t>2</w:t>
      </w:r>
      <w:r>
        <w:rPr>
          <w:rFonts w:ascii="Times New Roman"/>
        </w:rPr>
        <w:t xml:space="preserve"> </w:t>
      </w:r>
      <w:r>
        <w:rPr>
          <w:rFonts w:hint="eastAsia" w:ascii="Times New Roman"/>
        </w:rPr>
        <w:t>监理依据</w:t>
      </w:r>
      <w:bookmarkEnd w:id="222"/>
    </w:p>
    <w:p>
      <w:pPr>
        <w:spacing w:line="360" w:lineRule="auto"/>
        <w:ind w:firstLine="420" w:firstLineChars="200"/>
      </w:pPr>
      <w:r>
        <w:rPr>
          <w:rFonts w:hint="eastAsia"/>
        </w:rPr>
        <w:t>增加以下内容到第</w:t>
      </w:r>
      <w:r>
        <w:rPr>
          <w:rFonts w:hint="eastAsia"/>
          <w:szCs w:val="21"/>
        </w:rPr>
        <w:t>5.2</w:t>
      </w:r>
      <w:r>
        <w:rPr>
          <w:rFonts w:hint="eastAsia"/>
        </w:rPr>
        <w:t>款：</w:t>
      </w:r>
    </w:p>
    <w:p>
      <w:pPr>
        <w:spacing w:line="360" w:lineRule="auto"/>
        <w:ind w:firstLine="420" w:firstLineChars="200"/>
        <w:rPr>
          <w:szCs w:val="21"/>
        </w:rPr>
      </w:pPr>
      <w:r>
        <w:rPr>
          <w:rFonts w:hint="eastAsia" w:ascii="宋体" w:hAnsi="宋体" w:cs="宋体"/>
          <w:kern w:val="0"/>
          <w:szCs w:val="21"/>
          <w:lang w:val="zh-CN"/>
        </w:rPr>
        <w:t>监理人在履行服务工作时，应执行</w:t>
      </w:r>
      <w:permStart w:id="91" w:edGrp="everyone"/>
      <w:r>
        <w:rPr>
          <w:rFonts w:hint="eastAsia"/>
          <w:szCs w:val="21"/>
        </w:rPr>
        <w:t>“合同附件格式”</w:t>
      </w:r>
      <w:r>
        <w:rPr>
          <w:rFonts w:hint="eastAsia" w:ascii="宋体" w:hAnsi="宋体" w:cs="宋体"/>
          <w:kern w:val="0"/>
          <w:szCs w:val="21"/>
        </w:rPr>
        <w:t>附件十。</w:t>
      </w:r>
      <w:permEnd w:id="91"/>
    </w:p>
    <w:p>
      <w:pPr>
        <w:pStyle w:val="6"/>
        <w:spacing w:line="240" w:lineRule="auto"/>
        <w:ind w:firstLine="137"/>
        <w:rPr>
          <w:rFonts w:ascii="Times New Roman"/>
        </w:rPr>
      </w:pPr>
      <w:bookmarkStart w:id="223" w:name="_Toc15965"/>
      <w:r>
        <w:rPr>
          <w:rFonts w:ascii="Times New Roman"/>
        </w:rPr>
        <w:t>5.</w:t>
      </w:r>
      <w:r>
        <w:rPr>
          <w:rFonts w:hint="eastAsia" w:ascii="Times New Roman"/>
        </w:rPr>
        <w:t>3</w:t>
      </w:r>
      <w:r>
        <w:rPr>
          <w:rFonts w:ascii="Times New Roman"/>
        </w:rPr>
        <w:t xml:space="preserve"> </w:t>
      </w:r>
      <w:r>
        <w:rPr>
          <w:rFonts w:hint="eastAsia" w:ascii="Times New Roman"/>
        </w:rPr>
        <w:t>监理内容</w:t>
      </w:r>
      <w:bookmarkEnd w:id="223"/>
    </w:p>
    <w:p>
      <w:pPr>
        <w:spacing w:line="360" w:lineRule="auto"/>
        <w:ind w:firstLine="420" w:firstLineChars="200"/>
      </w:pPr>
      <w:r>
        <w:rPr>
          <w:rFonts w:hint="eastAsia"/>
        </w:rPr>
        <w:t>增加以下内容到第</w:t>
      </w:r>
      <w:r>
        <w:rPr>
          <w:szCs w:val="21"/>
        </w:rPr>
        <w:t>5.</w:t>
      </w:r>
      <w:r>
        <w:rPr>
          <w:rFonts w:hint="eastAsia"/>
          <w:szCs w:val="21"/>
        </w:rPr>
        <w:t>3</w:t>
      </w:r>
      <w:r>
        <w:rPr>
          <w:rFonts w:hint="eastAsia"/>
        </w:rPr>
        <w:t>款：</w:t>
      </w:r>
    </w:p>
    <w:p>
      <w:pPr>
        <w:spacing w:line="360" w:lineRule="auto"/>
        <w:ind w:firstLine="420" w:firstLineChars="200"/>
        <w:rPr>
          <w:szCs w:val="21"/>
          <w:lang w:val="zh-CN"/>
        </w:rPr>
      </w:pPr>
      <w:r>
        <w:rPr>
          <w:rFonts w:hint="eastAsia"/>
          <w:szCs w:val="21"/>
          <w:lang w:val="zh-CN"/>
        </w:rPr>
        <w:t>监理工作内容见</w:t>
      </w:r>
      <w:permStart w:id="92" w:edGrp="everyone"/>
      <w:r>
        <w:rPr>
          <w:rFonts w:hint="eastAsia"/>
          <w:szCs w:val="21"/>
        </w:rPr>
        <w:t>“合同附件格式”附件二</w:t>
      </w:r>
      <w:r>
        <w:rPr>
          <w:rFonts w:hint="eastAsia"/>
          <w:szCs w:val="21"/>
          <w:lang w:val="zh-CN"/>
        </w:rPr>
        <w:t>。</w:t>
      </w:r>
      <w:permEnd w:id="92"/>
    </w:p>
    <w:p>
      <w:pPr>
        <w:pStyle w:val="6"/>
        <w:spacing w:line="240" w:lineRule="auto"/>
        <w:ind w:firstLine="137"/>
        <w:rPr>
          <w:rFonts w:ascii="Times New Roman"/>
        </w:rPr>
      </w:pPr>
      <w:bookmarkStart w:id="224" w:name="_Toc1754"/>
      <w:r>
        <w:rPr>
          <w:rFonts w:ascii="Times New Roman"/>
        </w:rPr>
        <w:t>5.</w:t>
      </w:r>
      <w:r>
        <w:rPr>
          <w:rFonts w:hint="eastAsia" w:ascii="Times New Roman"/>
        </w:rPr>
        <w:t>4</w:t>
      </w:r>
      <w:r>
        <w:rPr>
          <w:rFonts w:ascii="Times New Roman"/>
        </w:rPr>
        <w:t xml:space="preserve"> </w:t>
      </w:r>
      <w:r>
        <w:rPr>
          <w:rFonts w:hint="eastAsia" w:ascii="Times New Roman"/>
        </w:rPr>
        <w:t>监理文件要求</w:t>
      </w:r>
      <w:bookmarkEnd w:id="224"/>
    </w:p>
    <w:p>
      <w:pPr>
        <w:spacing w:line="360" w:lineRule="auto"/>
        <w:ind w:firstLine="420" w:firstLineChars="200"/>
      </w:pPr>
      <w:r>
        <w:rPr>
          <w:rFonts w:hint="eastAsia"/>
        </w:rPr>
        <w:t>替换以下内容到第</w:t>
      </w:r>
      <w:r>
        <w:rPr>
          <w:szCs w:val="21"/>
        </w:rPr>
        <w:t>5.</w:t>
      </w:r>
      <w:r>
        <w:rPr>
          <w:rFonts w:hint="eastAsia"/>
          <w:szCs w:val="21"/>
        </w:rPr>
        <w:t>4.3</w:t>
      </w:r>
      <w:r>
        <w:rPr>
          <w:rFonts w:hint="eastAsia"/>
        </w:rPr>
        <w:t>款：</w:t>
      </w:r>
    </w:p>
    <w:p>
      <w:pPr>
        <w:spacing w:line="360" w:lineRule="auto"/>
        <w:ind w:firstLine="420" w:firstLineChars="200"/>
        <w:rPr>
          <w:rFonts w:hAnsi="宋体"/>
          <w:szCs w:val="21"/>
        </w:rPr>
      </w:pPr>
      <w:r>
        <w:rPr>
          <w:szCs w:val="21"/>
        </w:rPr>
        <w:t>本工程监理文件的具体类别、编制要求、编制内容、提交时间和份数</w:t>
      </w:r>
      <w:r>
        <w:rPr>
          <w:rFonts w:hint="eastAsia"/>
          <w:szCs w:val="21"/>
        </w:rPr>
        <w:t>：</w:t>
      </w:r>
      <w:permStart w:id="93" w:edGrp="everyone"/>
      <w:r>
        <w:rPr>
          <w:rFonts w:hint="eastAsia"/>
          <w:szCs w:val="21"/>
          <w:u w:val="single"/>
        </w:rPr>
        <w:t xml:space="preserve">            </w:t>
      </w:r>
      <w:r>
        <w:rPr>
          <w:szCs w:val="21"/>
        </w:rPr>
        <w:t>。</w:t>
      </w:r>
      <w:permEnd w:id="93"/>
    </w:p>
    <w:p>
      <w:pPr>
        <w:pStyle w:val="5"/>
        <w:rPr>
          <w:rFonts w:ascii="Times New Roman" w:hAnsi="Times New Roman"/>
        </w:rPr>
      </w:pPr>
      <w:bookmarkStart w:id="225" w:name="_Toc23175"/>
      <w:r>
        <w:rPr>
          <w:rFonts w:ascii="Times New Roman" w:hAnsi="Times New Roman"/>
        </w:rPr>
        <w:t>6. 开始</w:t>
      </w:r>
      <w:r>
        <w:rPr>
          <w:rFonts w:hint="eastAsia" w:ascii="Times New Roman" w:hAnsi="Times New Roman"/>
        </w:rPr>
        <w:t>监理</w:t>
      </w:r>
      <w:r>
        <w:rPr>
          <w:rFonts w:ascii="Times New Roman" w:hAnsi="Times New Roman"/>
        </w:rPr>
        <w:t>和完成</w:t>
      </w:r>
      <w:r>
        <w:rPr>
          <w:rFonts w:hint="eastAsia" w:ascii="Times New Roman" w:hAnsi="Times New Roman"/>
        </w:rPr>
        <w:t>监理</w:t>
      </w:r>
      <w:bookmarkEnd w:id="225"/>
    </w:p>
    <w:p>
      <w:pPr>
        <w:pStyle w:val="6"/>
        <w:spacing w:line="240" w:lineRule="auto"/>
        <w:ind w:firstLine="137"/>
        <w:rPr>
          <w:rFonts w:ascii="Times New Roman"/>
        </w:rPr>
      </w:pPr>
      <w:bookmarkStart w:id="226" w:name="_Toc27329"/>
      <w:r>
        <w:rPr>
          <w:rFonts w:ascii="Times New Roman"/>
        </w:rPr>
        <w:t xml:space="preserve">6.1 </w:t>
      </w:r>
      <w:r>
        <w:rPr>
          <w:rFonts w:hint="eastAsia" w:ascii="Times New Roman"/>
        </w:rPr>
        <w:t>开始监理</w:t>
      </w:r>
      <w:bookmarkEnd w:id="226"/>
    </w:p>
    <w:p>
      <w:pPr>
        <w:spacing w:line="360" w:lineRule="auto"/>
        <w:ind w:firstLine="420" w:firstLineChars="200"/>
        <w:rPr>
          <w:rFonts w:ascii="宋体" w:hAnsi="宋体" w:cs="宋体"/>
          <w:kern w:val="0"/>
          <w:szCs w:val="21"/>
        </w:rPr>
      </w:pPr>
      <w:r>
        <w:rPr>
          <w:rFonts w:hint="eastAsia" w:ascii="宋体" w:hAnsi="宋体" w:cs="宋体"/>
          <w:kern w:val="0"/>
          <w:szCs w:val="21"/>
        </w:rPr>
        <w:t>增加以下内容到第6.1.1款：</w:t>
      </w:r>
    </w:p>
    <w:p>
      <w:pPr>
        <w:spacing w:line="360" w:lineRule="auto"/>
        <w:ind w:firstLine="420" w:firstLineChars="200"/>
        <w:rPr>
          <w:rFonts w:ascii="宋体" w:hAnsi="宋体" w:cs="宋体"/>
          <w:kern w:val="0"/>
          <w:szCs w:val="21"/>
        </w:rPr>
      </w:pPr>
      <w:r>
        <w:rPr>
          <w:rFonts w:hint="eastAsia" w:ascii="宋体" w:hAnsi="宋体" w:cs="宋体"/>
          <w:kern w:val="0"/>
          <w:szCs w:val="21"/>
        </w:rPr>
        <w:t>开始监理条件：</w:t>
      </w:r>
      <w:permStart w:id="94" w:edGrp="everyone"/>
      <w:r>
        <w:rPr>
          <w:rFonts w:hint="eastAsia" w:ascii="宋体" w:hAnsi="宋体" w:cs="宋体"/>
          <w:kern w:val="0"/>
          <w:szCs w:val="21"/>
          <w:u w:val="single"/>
        </w:rPr>
        <w:t xml:space="preserve">            </w:t>
      </w:r>
      <w:r>
        <w:rPr>
          <w:rFonts w:hint="eastAsia" w:ascii="宋体" w:hAnsi="宋体" w:cs="宋体"/>
          <w:kern w:val="0"/>
          <w:szCs w:val="21"/>
        </w:rPr>
        <w:t>。</w:t>
      </w:r>
      <w:permEnd w:id="94"/>
    </w:p>
    <w:p>
      <w:pPr>
        <w:spacing w:line="360" w:lineRule="auto"/>
        <w:ind w:firstLine="420" w:firstLineChars="200"/>
        <w:rPr>
          <w:rFonts w:ascii="宋体" w:hAnsi="宋体" w:cs="宋体"/>
          <w:kern w:val="0"/>
          <w:szCs w:val="21"/>
        </w:rPr>
      </w:pPr>
      <w:r>
        <w:rPr>
          <w:rFonts w:hint="eastAsia" w:ascii="宋体" w:hAnsi="宋体" w:cs="宋体"/>
          <w:kern w:val="0"/>
          <w:szCs w:val="21"/>
        </w:rPr>
        <w:t>项目监理服务期限：</w:t>
      </w:r>
      <w:permStart w:id="95" w:edGrp="everyone"/>
      <w:r>
        <w:rPr>
          <w:rFonts w:hint="eastAsia" w:ascii="宋体" w:hAnsi="宋体" w:cs="宋体"/>
          <w:kern w:val="0"/>
          <w:szCs w:val="21"/>
          <w:u w:val="single"/>
        </w:rPr>
        <w:t xml:space="preserve">     </w:t>
      </w:r>
      <w:permEnd w:id="95"/>
      <w:r>
        <w:rPr>
          <w:rFonts w:hint="eastAsia" w:ascii="宋体" w:hAnsi="宋体" w:cs="宋体"/>
          <w:kern w:val="0"/>
          <w:szCs w:val="21"/>
        </w:rPr>
        <w:t>天，计划开始监理日期：</w:t>
      </w:r>
      <w:permStart w:id="96" w:edGrp="everyone"/>
      <w:r>
        <w:rPr>
          <w:rFonts w:hint="eastAsia" w:ascii="宋体" w:hAnsi="宋体" w:cs="宋体"/>
          <w:kern w:val="0"/>
          <w:szCs w:val="21"/>
          <w:u w:val="single"/>
        </w:rPr>
        <w:t xml:space="preserve">             </w:t>
      </w:r>
      <w:r>
        <w:rPr>
          <w:rFonts w:hint="eastAsia" w:ascii="宋体" w:hAnsi="宋体" w:cs="宋体"/>
          <w:kern w:val="0"/>
          <w:szCs w:val="21"/>
        </w:rPr>
        <w:t>，</w:t>
      </w:r>
      <w:permEnd w:id="96"/>
      <w:r>
        <w:rPr>
          <w:rFonts w:hint="eastAsia" w:ascii="宋体" w:hAnsi="宋体" w:cs="宋体"/>
          <w:kern w:val="0"/>
          <w:szCs w:val="21"/>
        </w:rPr>
        <w:t>计划完成监理日期：</w:t>
      </w:r>
      <w:permStart w:id="97" w:edGrp="everyone"/>
      <w:r>
        <w:rPr>
          <w:rFonts w:hint="eastAsia" w:ascii="宋体" w:hAnsi="宋体" w:cs="宋体"/>
          <w:kern w:val="0"/>
          <w:szCs w:val="21"/>
          <w:u w:val="single"/>
        </w:rPr>
        <w:t xml:space="preserve">             </w:t>
      </w:r>
      <w:r>
        <w:rPr>
          <w:rFonts w:hint="eastAsia" w:ascii="宋体" w:hAnsi="宋体" w:cs="宋体"/>
          <w:kern w:val="0"/>
          <w:szCs w:val="21"/>
        </w:rPr>
        <w:t>。</w:t>
      </w:r>
      <w:permEnd w:id="97"/>
      <w:r>
        <w:rPr>
          <w:rFonts w:hint="eastAsia" w:ascii="宋体" w:hAnsi="宋体" w:cs="宋体"/>
          <w:kern w:val="0"/>
          <w:szCs w:val="21"/>
        </w:rPr>
        <w:t>（实际日期按照委托人在开始监理通知中载明的开始监理日期、竣工日期为准）</w:t>
      </w:r>
    </w:p>
    <w:p>
      <w:pPr>
        <w:spacing w:line="360" w:lineRule="auto"/>
        <w:ind w:firstLine="420" w:firstLineChars="200"/>
        <w:rPr>
          <w:rFonts w:ascii="宋体" w:hAnsi="宋体" w:cs="宋体"/>
          <w:kern w:val="0"/>
          <w:szCs w:val="21"/>
        </w:rPr>
      </w:pPr>
      <w:r>
        <w:rPr>
          <w:rFonts w:hint="eastAsia" w:ascii="宋体" w:hAnsi="宋体" w:cs="宋体"/>
          <w:kern w:val="0"/>
          <w:szCs w:val="21"/>
        </w:rPr>
        <w:t>本合同由双方签字盖章之日开始至工程缺陷责任期满之日结束。</w:t>
      </w:r>
      <w:r>
        <w:rPr>
          <w:rFonts w:hint="eastAsia" w:ascii="宋体" w:hAnsi="宋体" w:cs="宋体"/>
          <w:kern w:val="0"/>
          <w:szCs w:val="21"/>
          <w:lang w:val="zh-CN"/>
        </w:rPr>
        <w:t>如果双方另有书面协议，可延期</w:t>
      </w:r>
      <w:r>
        <w:rPr>
          <w:rFonts w:hint="eastAsia" w:ascii="宋体" w:hAnsi="宋体" w:cs="宋体"/>
          <w:kern w:val="0"/>
          <w:szCs w:val="21"/>
          <w:highlight w:val="none"/>
          <w:lang w:val="zh-CN"/>
        </w:rPr>
        <w:t>。</w:t>
      </w:r>
    </w:p>
    <w:p>
      <w:pPr>
        <w:pStyle w:val="6"/>
        <w:spacing w:line="240" w:lineRule="auto"/>
        <w:ind w:firstLine="137"/>
        <w:rPr>
          <w:rFonts w:ascii="Times New Roman"/>
        </w:rPr>
      </w:pPr>
      <w:bookmarkStart w:id="227" w:name="_Toc8255"/>
      <w:r>
        <w:rPr>
          <w:rFonts w:ascii="Times New Roman"/>
        </w:rPr>
        <w:t xml:space="preserve">6.2 </w:t>
      </w:r>
      <w:r>
        <w:rPr>
          <w:rFonts w:hint="eastAsia" w:ascii="Times New Roman"/>
        </w:rPr>
        <w:t>监理周期延误</w:t>
      </w:r>
      <w:bookmarkEnd w:id="227"/>
    </w:p>
    <w:p>
      <w:pPr>
        <w:spacing w:line="360" w:lineRule="auto"/>
        <w:ind w:firstLine="420" w:firstLineChars="200"/>
      </w:pPr>
      <w:r>
        <w:rPr>
          <w:rFonts w:hint="eastAsia"/>
        </w:rPr>
        <w:t>增加以下内容到第6.2款：</w:t>
      </w:r>
    </w:p>
    <w:p>
      <w:pPr>
        <w:spacing w:line="360" w:lineRule="auto"/>
        <w:ind w:firstLine="420" w:firstLineChars="200"/>
      </w:pPr>
      <w:r>
        <w:rPr>
          <w:rFonts w:hint="eastAsia"/>
        </w:rPr>
        <w:t>监理人应在发生上述情况后5天内向委托人发出要求延期的书面通知，在发生上述情况后10天内提交要求延期的详细说明供委托人审查。委托人收到监理人要求延期的详细说明后，应在5天内进行审查并就是否延长监理周期及延期天数向监理人进行书面答复。</w:t>
      </w:r>
    </w:p>
    <w:p>
      <w:pPr>
        <w:spacing w:line="360" w:lineRule="auto"/>
        <w:ind w:firstLine="420" w:firstLineChars="200"/>
      </w:pPr>
      <w:r>
        <w:rPr>
          <w:rFonts w:hint="eastAsia"/>
        </w:rPr>
        <w:t>如果委托人在收到监理人提交要求延期的详细说明后，在约定的期限内未予答复，则视为监理人要求的延期已被委托人批准。如果监理人未能按本款约定的时间内发出要求延期的通知并提交详细资料，则委托人可拒绝作出任何延期的决定。</w:t>
      </w:r>
    </w:p>
    <w:p>
      <w:pPr>
        <w:spacing w:line="360" w:lineRule="auto"/>
        <w:ind w:firstLine="420" w:firstLineChars="200"/>
        <w:rPr>
          <w:rFonts w:ascii="宋体" w:hAnsi="宋体" w:cs="宋体"/>
          <w:kern w:val="0"/>
          <w:szCs w:val="21"/>
        </w:rPr>
      </w:pPr>
      <w:r>
        <w:rPr>
          <w:rFonts w:hint="eastAsia" w:ascii="宋体" w:hAnsi="宋体" w:cs="宋体"/>
          <w:kern w:val="0"/>
          <w:szCs w:val="21"/>
        </w:rPr>
        <w:t>若实际工期未超过合同工期，除额外服务和附加服务外的合同费用不予调整；若超过合同工期，但监理服务仍在合同规定的服务范围之内时或合同规定的监理服务未完成时，完成服务的时间应相应地予以延长，正常服务费用不予调整。</w:t>
      </w:r>
    </w:p>
    <w:p>
      <w:pPr>
        <w:spacing w:line="360" w:lineRule="auto"/>
        <w:ind w:firstLine="420" w:firstLineChars="200"/>
      </w:pPr>
      <w:r>
        <w:rPr>
          <w:rFonts w:hint="eastAsia" w:ascii="宋体" w:hAnsi="宋体" w:cs="宋体"/>
          <w:kern w:val="0"/>
          <w:szCs w:val="21"/>
        </w:rPr>
        <w:t>其他情形的处理方式见第8条约定。</w:t>
      </w:r>
    </w:p>
    <w:p>
      <w:pPr>
        <w:pStyle w:val="6"/>
        <w:spacing w:line="240" w:lineRule="auto"/>
        <w:ind w:firstLine="137"/>
        <w:rPr>
          <w:rFonts w:ascii="Times New Roman"/>
        </w:rPr>
      </w:pPr>
      <w:bookmarkStart w:id="228" w:name="_Toc30065"/>
      <w:r>
        <w:rPr>
          <w:rFonts w:ascii="Times New Roman"/>
        </w:rPr>
        <w:t>6.</w:t>
      </w:r>
      <w:r>
        <w:rPr>
          <w:rFonts w:hint="eastAsia" w:ascii="Times New Roman"/>
        </w:rPr>
        <w:t>3</w:t>
      </w:r>
      <w:r>
        <w:rPr>
          <w:rFonts w:ascii="Times New Roman"/>
        </w:rPr>
        <w:t xml:space="preserve"> </w:t>
      </w:r>
      <w:r>
        <w:rPr>
          <w:rFonts w:hint="eastAsia" w:ascii="Times New Roman"/>
        </w:rPr>
        <w:t>完成</w:t>
      </w:r>
      <w:r>
        <w:rPr>
          <w:rFonts w:hint="eastAsia" w:ascii="Times New Roman"/>
          <w:szCs w:val="21"/>
        </w:rPr>
        <w:t>监理</w:t>
      </w:r>
      <w:bookmarkEnd w:id="228"/>
      <w:r>
        <w:rPr>
          <w:rFonts w:ascii="Times New Roman"/>
        </w:rPr>
        <w:t xml:space="preserve"> </w:t>
      </w:r>
    </w:p>
    <w:p>
      <w:pPr>
        <w:spacing w:line="360" w:lineRule="auto"/>
        <w:ind w:firstLine="420" w:firstLineChars="200"/>
      </w:pPr>
      <w:r>
        <w:rPr>
          <w:rFonts w:hint="eastAsia"/>
        </w:rPr>
        <w:t>增加以下内容到第6.3.5款：</w:t>
      </w:r>
    </w:p>
    <w:p>
      <w:pPr>
        <w:spacing w:line="360" w:lineRule="auto"/>
        <w:ind w:firstLine="420" w:firstLineChars="200"/>
        <w:rPr>
          <w:szCs w:val="21"/>
          <w:lang w:val="zh-CN"/>
        </w:rPr>
      </w:pPr>
      <w:r>
        <w:rPr>
          <w:rFonts w:hint="eastAsia"/>
          <w:szCs w:val="21"/>
          <w:lang w:val="zh-CN"/>
        </w:rPr>
        <w:t>监理文件提供的具体要求：</w:t>
      </w:r>
      <w:permStart w:id="98" w:edGrp="everyone"/>
      <w:r>
        <w:rPr>
          <w:rFonts w:hint="eastAsia"/>
          <w:szCs w:val="21"/>
          <w:u w:val="single"/>
          <w:lang w:val="zh-CN"/>
        </w:rPr>
        <w:t>见</w:t>
      </w:r>
      <w:r>
        <w:rPr>
          <w:rFonts w:hint="eastAsia"/>
          <w:szCs w:val="21"/>
          <w:u w:val="single"/>
        </w:rPr>
        <w:t>“合同附件格式”附件二</w:t>
      </w:r>
      <w:r>
        <w:rPr>
          <w:rFonts w:hint="eastAsia"/>
          <w:szCs w:val="21"/>
          <w:lang w:val="zh-CN"/>
        </w:rPr>
        <w:t>。</w:t>
      </w:r>
      <w:permEnd w:id="98"/>
    </w:p>
    <w:p>
      <w:pPr>
        <w:pStyle w:val="5"/>
        <w:rPr>
          <w:rFonts w:ascii="Times New Roman" w:hAnsi="Times New Roman"/>
        </w:rPr>
      </w:pPr>
      <w:bookmarkStart w:id="229" w:name="_Toc23627"/>
      <w:r>
        <w:rPr>
          <w:rFonts w:hint="eastAsia" w:ascii="Times New Roman" w:hAnsi="Times New Roman"/>
        </w:rPr>
        <w:t>7</w:t>
      </w:r>
      <w:r>
        <w:rPr>
          <w:rFonts w:ascii="Times New Roman" w:hAnsi="Times New Roman"/>
        </w:rPr>
        <w:t>. 监理责任与保险</w:t>
      </w:r>
      <w:bookmarkEnd w:id="229"/>
    </w:p>
    <w:p>
      <w:pPr>
        <w:pStyle w:val="6"/>
        <w:spacing w:line="240" w:lineRule="auto"/>
        <w:ind w:firstLine="137"/>
        <w:rPr>
          <w:rFonts w:ascii="Times New Roman"/>
        </w:rPr>
      </w:pPr>
      <w:bookmarkStart w:id="230" w:name="_Toc24097"/>
      <w:r>
        <w:rPr>
          <w:rFonts w:hint="eastAsia" w:ascii="Times New Roman"/>
        </w:rPr>
        <w:t>7</w:t>
      </w:r>
      <w:r>
        <w:rPr>
          <w:rFonts w:ascii="Times New Roman"/>
        </w:rPr>
        <w:t>.</w:t>
      </w:r>
      <w:r>
        <w:rPr>
          <w:rFonts w:hint="eastAsia" w:ascii="Times New Roman"/>
        </w:rPr>
        <w:t>2</w:t>
      </w:r>
      <w:r>
        <w:rPr>
          <w:rFonts w:ascii="Times New Roman"/>
        </w:rPr>
        <w:t xml:space="preserve"> </w:t>
      </w:r>
      <w:r>
        <w:rPr>
          <w:rFonts w:hint="eastAsia" w:ascii="Times New Roman"/>
        </w:rPr>
        <w:t>监理责任保险</w:t>
      </w:r>
      <w:bookmarkEnd w:id="230"/>
    </w:p>
    <w:p>
      <w:pPr>
        <w:spacing w:line="360" w:lineRule="auto"/>
        <w:ind w:firstLine="420" w:firstLineChars="200"/>
        <w:rPr>
          <w:szCs w:val="21"/>
        </w:rPr>
      </w:pPr>
      <w:r>
        <w:rPr>
          <w:rFonts w:hint="eastAsia"/>
        </w:rPr>
        <w:t>增加以下内容到第7.2款：</w:t>
      </w:r>
    </w:p>
    <w:p>
      <w:pPr>
        <w:spacing w:line="360" w:lineRule="auto"/>
        <w:ind w:firstLine="420" w:firstLineChars="200"/>
      </w:pPr>
      <w:r>
        <w:rPr>
          <w:rFonts w:hint="eastAsia"/>
        </w:rPr>
        <w:t>监理人的责任</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（1）贯彻执行国家、行业和公司的工程建设法律、法规和标准。</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（2）推行全方位标准建设。参与质量门管控。</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（3）严格执行指导工期，依据里程碑、三级进度计划进行“红绿灯”管控。</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（4）督促落实标准设计，履行施工图和工程变更管理职责，推进技术进步。</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（5）落实监理到位标准，推行全员持证上岗，强化合同管理。</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（6）落实现场风险分级管控和承包商违章扣分，推进四步法、八步骤和7S管理。</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（7）深化作业指导书、工程建设强制性条文执行力度，推进标准化验收和缺陷管理。</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（8）落实造价控制措施，推行赢得值管理，降低工程造价。</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（9）加强信息和档案管理，全面应用基建信息一体化系统。</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（10）完成委托人交办的监理合同范围内的各项任务。</w:t>
      </w:r>
    </w:p>
    <w:p>
      <w:pPr>
        <w:spacing w:line="360" w:lineRule="auto"/>
        <w:ind w:firstLine="420" w:firstLineChars="200"/>
        <w:rPr>
          <w:szCs w:val="21"/>
        </w:rPr>
      </w:pPr>
      <w:r>
        <w:rPr>
          <w:rFonts w:hint="eastAsia" w:ascii="宋体" w:hAnsi="宋体" w:cs="宋体"/>
          <w:kern w:val="0"/>
          <w:szCs w:val="21"/>
        </w:rPr>
        <w:t>监理人具体的责任见</w:t>
      </w:r>
      <w:r>
        <w:rPr>
          <w:rFonts w:hint="eastAsia"/>
          <w:szCs w:val="21"/>
        </w:rPr>
        <w:t>“合同附件格式”</w:t>
      </w:r>
      <w:r>
        <w:rPr>
          <w:rFonts w:hint="eastAsia" w:ascii="宋体" w:hAnsi="宋体" w:cs="宋体"/>
          <w:kern w:val="0"/>
          <w:szCs w:val="21"/>
        </w:rPr>
        <w:t>附件二。</w:t>
      </w:r>
    </w:p>
    <w:p>
      <w:pPr>
        <w:pStyle w:val="5"/>
        <w:rPr>
          <w:rFonts w:ascii="Times New Roman" w:hAnsi="Times New Roman"/>
        </w:rPr>
      </w:pPr>
      <w:bookmarkStart w:id="231" w:name="_Toc14434"/>
      <w:r>
        <w:rPr>
          <w:rFonts w:hint="eastAsia" w:ascii="Times New Roman" w:hAnsi="Times New Roman"/>
        </w:rPr>
        <w:t>8</w:t>
      </w:r>
      <w:r>
        <w:rPr>
          <w:rFonts w:ascii="Times New Roman" w:hAnsi="Times New Roman"/>
        </w:rPr>
        <w:t>. 合同变更</w:t>
      </w:r>
      <w:bookmarkEnd w:id="231"/>
    </w:p>
    <w:p>
      <w:pPr>
        <w:pStyle w:val="6"/>
        <w:spacing w:line="240" w:lineRule="auto"/>
        <w:ind w:firstLine="137"/>
        <w:rPr>
          <w:rFonts w:ascii="Times New Roman"/>
        </w:rPr>
      </w:pPr>
      <w:bookmarkStart w:id="232" w:name="_Toc16770"/>
      <w:r>
        <w:rPr>
          <w:rFonts w:hint="eastAsia" w:ascii="Times New Roman"/>
        </w:rPr>
        <w:t>8</w:t>
      </w:r>
      <w:r>
        <w:rPr>
          <w:rFonts w:ascii="Times New Roman"/>
        </w:rPr>
        <w:t xml:space="preserve">.1 </w:t>
      </w:r>
      <w:r>
        <w:rPr>
          <w:rFonts w:hint="eastAsia" w:ascii="Times New Roman"/>
        </w:rPr>
        <w:t>变更情形</w:t>
      </w:r>
      <w:bookmarkEnd w:id="232"/>
    </w:p>
    <w:p>
      <w:pPr>
        <w:spacing w:line="360" w:lineRule="auto"/>
        <w:ind w:firstLine="420" w:firstLineChars="200"/>
      </w:pPr>
      <w:r>
        <w:rPr>
          <w:rFonts w:hint="eastAsia"/>
        </w:rPr>
        <w:t>增加以下内容到第8.1.1款：</w:t>
      </w:r>
    </w:p>
    <w:p>
      <w:pPr>
        <w:spacing w:line="360" w:lineRule="auto"/>
        <w:ind w:firstLine="420" w:firstLineChars="200"/>
        <w:rPr>
          <w:szCs w:val="21"/>
          <w:u w:val="single"/>
        </w:rPr>
      </w:pPr>
      <w:r>
        <w:rPr>
          <w:rFonts w:hint="eastAsia"/>
        </w:rPr>
        <w:t>监理</w:t>
      </w:r>
      <w:r>
        <w:rPr>
          <w:szCs w:val="21"/>
        </w:rPr>
        <w:t>服务期限和</w:t>
      </w:r>
      <w:r>
        <w:rPr>
          <w:rFonts w:hint="eastAsia"/>
        </w:rPr>
        <w:t>监理</w:t>
      </w:r>
      <w:r>
        <w:rPr>
          <w:szCs w:val="21"/>
        </w:rPr>
        <w:t>费用的调整方法</w:t>
      </w:r>
      <w:r>
        <w:rPr>
          <w:rFonts w:hint="eastAsia"/>
          <w:szCs w:val="21"/>
        </w:rPr>
        <w:t>：</w:t>
      </w:r>
      <w:permStart w:id="99" w:edGrp="everyone"/>
      <w:r>
        <w:rPr>
          <w:rFonts w:hint="eastAsia"/>
          <w:szCs w:val="21"/>
          <w:u w:val="single"/>
          <w:lang w:val="zh-CN"/>
        </w:rPr>
        <w:t>当任何一方提出申请并经双方书面同意后，在原招投标框架内，可对本合同进行更改</w:t>
      </w:r>
      <w:r>
        <w:rPr>
          <w:rFonts w:hint="eastAsia"/>
          <w:szCs w:val="21"/>
          <w:u w:val="single"/>
        </w:rPr>
        <w:t>。</w:t>
      </w:r>
      <w:permEnd w:id="99"/>
    </w:p>
    <w:p>
      <w:pPr>
        <w:pStyle w:val="6"/>
        <w:spacing w:line="240" w:lineRule="auto"/>
        <w:ind w:firstLine="137"/>
        <w:rPr>
          <w:rFonts w:ascii="Times New Roman"/>
        </w:rPr>
      </w:pPr>
      <w:bookmarkStart w:id="233" w:name="_Toc30952"/>
      <w:r>
        <w:rPr>
          <w:rFonts w:hint="eastAsia" w:ascii="Times New Roman"/>
        </w:rPr>
        <w:t>8</w:t>
      </w:r>
      <w:r>
        <w:rPr>
          <w:rFonts w:ascii="Times New Roman"/>
        </w:rPr>
        <w:t>.</w:t>
      </w:r>
      <w:r>
        <w:rPr>
          <w:rFonts w:hint="eastAsia" w:ascii="Times New Roman"/>
        </w:rPr>
        <w:t>2</w:t>
      </w:r>
      <w:r>
        <w:rPr>
          <w:rFonts w:ascii="Times New Roman"/>
        </w:rPr>
        <w:t xml:space="preserve"> </w:t>
      </w:r>
      <w:r>
        <w:rPr>
          <w:rFonts w:hint="eastAsia" w:ascii="Times New Roman"/>
        </w:rPr>
        <w:t>合理化建议</w:t>
      </w:r>
      <w:bookmarkEnd w:id="233"/>
    </w:p>
    <w:p>
      <w:pPr>
        <w:spacing w:line="360" w:lineRule="auto"/>
        <w:ind w:firstLine="420" w:firstLineChars="200"/>
      </w:pPr>
      <w:r>
        <w:rPr>
          <w:rFonts w:hint="eastAsia"/>
        </w:rPr>
        <w:t>增加以下内容到第8.2.2款：</w:t>
      </w:r>
    </w:p>
    <w:p>
      <w:pPr>
        <w:spacing w:line="360" w:lineRule="auto"/>
        <w:ind w:firstLine="420" w:firstLineChars="200"/>
        <w:rPr>
          <w:szCs w:val="21"/>
        </w:rPr>
      </w:pPr>
      <w:r>
        <w:rPr>
          <w:rFonts w:hint="eastAsia"/>
        </w:rPr>
        <w:t>监理</w:t>
      </w:r>
      <w:r>
        <w:rPr>
          <w:szCs w:val="21"/>
        </w:rPr>
        <w:t>人提出的合理化建议降低了工程投资、缩短了施工期限或者提高了工程经济效益的奖励：</w:t>
      </w:r>
      <w:permStart w:id="100" w:edGrp="everyone"/>
      <w:r>
        <w:rPr>
          <w:rFonts w:hint="eastAsia"/>
          <w:szCs w:val="21"/>
          <w:u w:val="single"/>
        </w:rPr>
        <w:t xml:space="preserve">            </w:t>
      </w:r>
      <w:r>
        <w:rPr>
          <w:szCs w:val="21"/>
        </w:rPr>
        <w:t>。</w:t>
      </w:r>
      <w:permEnd w:id="100"/>
    </w:p>
    <w:p>
      <w:pPr>
        <w:spacing w:line="360" w:lineRule="auto"/>
        <w:ind w:firstLine="420" w:firstLineChars="200"/>
      </w:pPr>
      <w:r>
        <w:rPr>
          <w:rFonts w:hint="eastAsia"/>
        </w:rPr>
        <w:t>增加以下内容到第8款：</w:t>
      </w:r>
    </w:p>
    <w:p>
      <w:pPr>
        <w:pStyle w:val="6"/>
        <w:spacing w:line="240" w:lineRule="auto"/>
        <w:ind w:firstLine="137"/>
        <w:rPr>
          <w:rFonts w:ascii="Times New Roman"/>
        </w:rPr>
      </w:pPr>
      <w:bookmarkStart w:id="234" w:name="_Toc19223"/>
      <w:r>
        <w:rPr>
          <w:rFonts w:hint="eastAsia" w:ascii="Times New Roman"/>
        </w:rPr>
        <w:t>8</w:t>
      </w:r>
      <w:r>
        <w:rPr>
          <w:rFonts w:ascii="Times New Roman"/>
        </w:rPr>
        <w:t>.</w:t>
      </w:r>
      <w:r>
        <w:rPr>
          <w:rFonts w:hint="eastAsia" w:ascii="Times New Roman"/>
        </w:rPr>
        <w:t>3</w:t>
      </w:r>
      <w:r>
        <w:rPr>
          <w:rFonts w:ascii="Times New Roman"/>
        </w:rPr>
        <w:t xml:space="preserve"> </w:t>
      </w:r>
      <w:r>
        <w:rPr>
          <w:rFonts w:hint="eastAsia" w:ascii="Times New Roman"/>
          <w:szCs w:val="21"/>
        </w:rPr>
        <w:t>奖励权利</w:t>
      </w:r>
      <w:bookmarkEnd w:id="234"/>
    </w:p>
    <w:p>
      <w:pPr>
        <w:spacing w:line="360" w:lineRule="auto"/>
        <w:ind w:firstLine="420" w:firstLineChars="200"/>
        <w:rPr>
          <w:szCs w:val="21"/>
        </w:rPr>
      </w:pPr>
      <w:r>
        <w:rPr>
          <w:rFonts w:hint="eastAsia"/>
          <w:szCs w:val="21"/>
        </w:rPr>
        <w:t>工程获奖奖励按其最高奖项计，不累加奖励。</w:t>
      </w:r>
    </w:p>
    <w:p>
      <w:pPr>
        <w:spacing w:line="360" w:lineRule="auto"/>
        <w:ind w:firstLine="420" w:firstLineChars="200"/>
        <w:rPr>
          <w:szCs w:val="21"/>
        </w:rPr>
      </w:pPr>
      <w:r>
        <w:rPr>
          <w:rFonts w:hint="eastAsia"/>
          <w:szCs w:val="21"/>
        </w:rPr>
        <w:t>监理人有下列良好表现，委托人应有权实施奖励措施，具体包括：</w:t>
      </w:r>
    </w:p>
    <w:p>
      <w:pPr>
        <w:spacing w:line="360" w:lineRule="auto"/>
        <w:ind w:firstLine="420" w:firstLineChars="200"/>
        <w:rPr>
          <w:szCs w:val="21"/>
        </w:rPr>
      </w:pPr>
      <w:r>
        <w:rPr>
          <w:rFonts w:hint="eastAsia"/>
          <w:szCs w:val="21"/>
        </w:rPr>
        <w:t>（1）项目被评为鲁班奖、电力行业优质工程、南方电网公司优质工程等，委托人可以考虑以合同额为基础对监理人进行奖励（鲁班奖按3%、电力行业优质工程按2%、南方电网公司优质工程等按1.5%）。如确定给予奖励费用，</w:t>
      </w:r>
      <w:r>
        <w:rPr>
          <w:rFonts w:hint="eastAsia"/>
          <w:szCs w:val="21"/>
          <w:lang w:val="en-US" w:eastAsia="zh-CN"/>
        </w:rPr>
        <w:t>监理人</w:t>
      </w:r>
      <w:r>
        <w:rPr>
          <w:rFonts w:hint="eastAsia"/>
          <w:szCs w:val="21"/>
        </w:rPr>
        <w:t>应提供书面奖励依据与发票，待质保期过后付给监理人。</w:t>
      </w:r>
    </w:p>
    <w:p>
      <w:pPr>
        <w:spacing w:line="360" w:lineRule="auto"/>
        <w:ind w:firstLine="420" w:firstLineChars="200"/>
        <w:rPr>
          <w:szCs w:val="21"/>
        </w:rPr>
      </w:pPr>
      <w:r>
        <w:rPr>
          <w:rFonts w:hint="eastAsia"/>
          <w:szCs w:val="21"/>
        </w:rPr>
        <w:t>（2）委托人对监理人的合同履约情况将进行评价，评价结果将作为监理人在南方电网公司履约评分组成部分，并应用于南方电网公司对监理人的评标。</w:t>
      </w:r>
    </w:p>
    <w:p>
      <w:pPr>
        <w:spacing w:line="360" w:lineRule="auto"/>
        <w:ind w:firstLine="420" w:firstLineChars="200"/>
        <w:rPr>
          <w:szCs w:val="21"/>
        </w:rPr>
      </w:pPr>
      <w:r>
        <w:rPr>
          <w:rFonts w:hint="eastAsia"/>
          <w:szCs w:val="21"/>
        </w:rPr>
        <w:t>（3）委托人可根据有关规定，对获奖单位及做出突出贡献的人员，给予精神和物质奖励。</w:t>
      </w:r>
    </w:p>
    <w:p>
      <w:pPr>
        <w:spacing w:line="360" w:lineRule="auto"/>
        <w:ind w:firstLine="420" w:firstLineChars="200"/>
        <w:rPr>
          <w:szCs w:val="21"/>
        </w:rPr>
      </w:pPr>
      <w:r>
        <w:rPr>
          <w:szCs w:val="21"/>
        </w:rPr>
        <w:t>（4）其他奖励：</w:t>
      </w:r>
      <w:permStart w:id="101" w:edGrp="everyone"/>
      <w:r>
        <w:rPr>
          <w:rFonts w:hint="eastAsia"/>
          <w:szCs w:val="21"/>
          <w:u w:val="single"/>
        </w:rPr>
        <w:t xml:space="preserve">            </w:t>
      </w:r>
      <w:r>
        <w:rPr>
          <w:szCs w:val="21"/>
        </w:rPr>
        <w:t>。</w:t>
      </w:r>
      <w:permEnd w:id="101"/>
    </w:p>
    <w:p>
      <w:pPr>
        <w:pStyle w:val="6"/>
        <w:spacing w:line="240" w:lineRule="auto"/>
        <w:ind w:firstLine="137"/>
        <w:rPr>
          <w:rFonts w:ascii="Times New Roman"/>
        </w:rPr>
      </w:pPr>
      <w:bookmarkStart w:id="235" w:name="_Toc22868"/>
      <w:r>
        <w:rPr>
          <w:rFonts w:hint="eastAsia" w:ascii="Times New Roman"/>
        </w:rPr>
        <w:t>8</w:t>
      </w:r>
      <w:r>
        <w:rPr>
          <w:rFonts w:ascii="Times New Roman"/>
        </w:rPr>
        <w:t>.</w:t>
      </w:r>
      <w:r>
        <w:rPr>
          <w:rFonts w:hint="eastAsia" w:ascii="Times New Roman"/>
        </w:rPr>
        <w:t>4</w:t>
      </w:r>
      <w:r>
        <w:rPr>
          <w:rFonts w:ascii="Times New Roman"/>
        </w:rPr>
        <w:t xml:space="preserve"> </w:t>
      </w:r>
      <w:r>
        <w:rPr>
          <w:rFonts w:hint="eastAsia" w:ascii="Times New Roman"/>
          <w:szCs w:val="21"/>
        </w:rPr>
        <w:t>考评与奖励</w:t>
      </w:r>
      <w:bookmarkEnd w:id="235"/>
    </w:p>
    <w:p>
      <w:pPr>
        <w:spacing w:line="360" w:lineRule="auto"/>
        <w:ind w:firstLine="420" w:firstLineChars="200"/>
        <w:rPr>
          <w:szCs w:val="21"/>
          <w:lang w:val="zh-CN"/>
        </w:rPr>
      </w:pPr>
      <w:r>
        <w:rPr>
          <w:rFonts w:hint="eastAsia"/>
          <w:szCs w:val="21"/>
          <w:lang w:val="zh-CN"/>
        </w:rPr>
        <w:t>通过监理人的努力，在合同的各项目标得到圆满实现的基础上，工程在创优上取得了比合同目标更高标准的成果，委托人单位将酌情给予监理人一定的物质或精神奖励。</w:t>
      </w:r>
    </w:p>
    <w:p>
      <w:pPr>
        <w:spacing w:line="360" w:lineRule="auto"/>
        <w:ind w:firstLine="420" w:firstLineChars="200"/>
        <w:rPr>
          <w:szCs w:val="21"/>
          <w:lang w:val="zh-CN"/>
        </w:rPr>
      </w:pPr>
      <w:r>
        <w:rPr>
          <w:rFonts w:hint="eastAsia"/>
          <w:szCs w:val="21"/>
          <w:lang w:val="zh-CN"/>
        </w:rPr>
        <w:t>因为监理建议的采纳而节约了投资，委托人单位将酌情给予监理人一定的物资或精神奖励。</w:t>
      </w:r>
      <w:r>
        <w:rPr>
          <w:szCs w:val="21"/>
        </w:rPr>
        <w:t>奖励办法：奖励金额=工程费用节省额×报酬比率</w:t>
      </w:r>
      <w:r>
        <w:rPr>
          <w:rFonts w:hint="eastAsia"/>
          <w:szCs w:val="21"/>
        </w:rPr>
        <w:t>。</w:t>
      </w:r>
    </w:p>
    <w:p>
      <w:pPr>
        <w:spacing w:line="360" w:lineRule="auto"/>
        <w:ind w:firstLine="420" w:firstLineChars="200"/>
        <w:rPr>
          <w:szCs w:val="21"/>
          <w:lang w:val="zh-CN"/>
        </w:rPr>
      </w:pPr>
      <w:r>
        <w:rPr>
          <w:rFonts w:hint="eastAsia"/>
          <w:szCs w:val="21"/>
          <w:lang w:val="zh-CN"/>
        </w:rPr>
        <w:t>获奖单位的主管单位可根据有关规定，对获奖单位及做出突出贡献的人员，给予精神和物质奖励。</w:t>
      </w:r>
    </w:p>
    <w:p>
      <w:pPr>
        <w:spacing w:line="360" w:lineRule="auto"/>
        <w:ind w:firstLine="420" w:firstLineChars="200"/>
        <w:rPr>
          <w:szCs w:val="21"/>
        </w:rPr>
      </w:pPr>
      <w:permStart w:id="102" w:edGrp="everyone"/>
      <w:r>
        <w:rPr>
          <w:rFonts w:hint="eastAsia"/>
          <w:szCs w:val="21"/>
        </w:rPr>
        <w:t>报酬比率=</w:t>
      </w:r>
      <w:r>
        <w:rPr>
          <w:rFonts w:hint="eastAsia"/>
          <w:szCs w:val="21"/>
          <w:u w:val="single"/>
        </w:rPr>
        <w:t xml:space="preserve">       </w:t>
      </w:r>
      <w:permEnd w:id="102"/>
      <w:r>
        <w:rPr>
          <w:rFonts w:hint="eastAsia"/>
          <w:szCs w:val="21"/>
        </w:rPr>
        <w:t>。</w:t>
      </w:r>
    </w:p>
    <w:p>
      <w:pPr>
        <w:pStyle w:val="5"/>
        <w:rPr>
          <w:rFonts w:ascii="Times New Roman" w:hAnsi="Times New Roman"/>
        </w:rPr>
      </w:pPr>
      <w:bookmarkStart w:id="236" w:name="_Toc5748"/>
      <w:r>
        <w:rPr>
          <w:rFonts w:hint="eastAsia" w:ascii="Times New Roman" w:hAnsi="Times New Roman"/>
        </w:rPr>
        <w:t>9</w:t>
      </w:r>
      <w:r>
        <w:rPr>
          <w:rFonts w:ascii="Times New Roman" w:hAnsi="Times New Roman"/>
        </w:rPr>
        <w:t>. 合同价格与支付</w:t>
      </w:r>
      <w:bookmarkEnd w:id="236"/>
    </w:p>
    <w:p>
      <w:pPr>
        <w:pStyle w:val="6"/>
        <w:spacing w:line="240" w:lineRule="auto"/>
        <w:ind w:firstLine="137"/>
        <w:rPr>
          <w:rFonts w:ascii="Times New Roman"/>
        </w:rPr>
      </w:pPr>
      <w:bookmarkStart w:id="237" w:name="_Toc1274"/>
      <w:r>
        <w:rPr>
          <w:rFonts w:hint="eastAsia" w:ascii="Times New Roman"/>
        </w:rPr>
        <w:t>9</w:t>
      </w:r>
      <w:r>
        <w:rPr>
          <w:rFonts w:ascii="Times New Roman"/>
        </w:rPr>
        <w:t xml:space="preserve">.1 </w:t>
      </w:r>
      <w:r>
        <w:rPr>
          <w:rFonts w:hint="eastAsia" w:ascii="Times New Roman"/>
        </w:rPr>
        <w:t>合同价格</w:t>
      </w:r>
      <w:bookmarkEnd w:id="237"/>
    </w:p>
    <w:p>
      <w:pPr>
        <w:spacing w:line="360" w:lineRule="auto"/>
        <w:ind w:firstLine="420" w:firstLineChars="200"/>
        <w:rPr>
          <w:szCs w:val="21"/>
        </w:rPr>
      </w:pPr>
      <w:r>
        <w:rPr>
          <w:rFonts w:hint="eastAsia"/>
        </w:rPr>
        <w:t>增加以下内容到第9.1.1款：</w:t>
      </w:r>
    </w:p>
    <w:p>
      <w:pPr>
        <w:spacing w:line="360" w:lineRule="auto"/>
        <w:ind w:firstLine="420" w:firstLineChars="200"/>
        <w:rPr>
          <w:szCs w:val="21"/>
        </w:rPr>
      </w:pPr>
      <w:r>
        <w:rPr>
          <w:rFonts w:hint="eastAsia"/>
          <w:szCs w:val="21"/>
        </w:rPr>
        <w:t>（1）合同价款组成</w:t>
      </w:r>
    </w:p>
    <w:p>
      <w:pPr>
        <w:spacing w:line="360" w:lineRule="auto"/>
        <w:ind w:firstLine="420" w:firstLineChars="200"/>
        <w:rPr>
          <w:rFonts w:ascii="宋体" w:hAnsi="宋体" w:cs="宋体"/>
          <w:kern w:val="0"/>
          <w:szCs w:val="21"/>
        </w:rPr>
      </w:pPr>
      <w:r>
        <w:rPr>
          <w:rFonts w:hint="eastAsia" w:ascii="宋体" w:hAnsi="宋体" w:cs="宋体"/>
          <w:kern w:val="0"/>
          <w:szCs w:val="21"/>
        </w:rPr>
        <w:t>合同价格组成明细表详见</w:t>
      </w:r>
      <w:permStart w:id="103" w:edGrp="everyone"/>
      <w:r>
        <w:rPr>
          <w:rFonts w:hint="eastAsia"/>
          <w:szCs w:val="21"/>
          <w:u w:val="single"/>
        </w:rPr>
        <w:t>“合同附件格式”</w:t>
      </w:r>
      <w:r>
        <w:rPr>
          <w:rFonts w:hint="eastAsia" w:ascii="宋体" w:hAnsi="宋体" w:cs="宋体"/>
          <w:kern w:val="0"/>
          <w:szCs w:val="21"/>
          <w:u w:val="single"/>
        </w:rPr>
        <w:t>附件</w:t>
      </w:r>
      <w:r>
        <w:rPr>
          <w:rFonts w:hint="eastAsia" w:ascii="宋体" w:hAnsi="宋体" w:cs="宋体"/>
          <w:kern w:val="0"/>
          <w:szCs w:val="21"/>
          <w:u w:val="single"/>
          <w:lang w:val="en-US" w:eastAsia="zh-CN"/>
        </w:rPr>
        <w:t>四</w:t>
      </w:r>
      <w:permEnd w:id="103"/>
      <w:r>
        <w:rPr>
          <w:rFonts w:ascii="宋体" w:hAnsi="宋体" w:cs="宋体"/>
          <w:kern w:val="0"/>
          <w:szCs w:val="21"/>
        </w:rPr>
        <w:t>。</w:t>
      </w:r>
    </w:p>
    <w:p>
      <w:pPr>
        <w:spacing w:line="360" w:lineRule="auto"/>
        <w:ind w:firstLine="420" w:firstLineChars="200"/>
        <w:rPr>
          <w:szCs w:val="21"/>
        </w:rPr>
      </w:pPr>
      <w:r>
        <w:rPr>
          <w:rFonts w:hint="eastAsia"/>
          <w:szCs w:val="21"/>
        </w:rPr>
        <w:t>（2）合同价格形式</w:t>
      </w:r>
    </w:p>
    <w:p>
      <w:pPr>
        <w:spacing w:line="360" w:lineRule="auto"/>
        <w:ind w:firstLine="420" w:firstLineChars="200"/>
        <w:rPr>
          <w:szCs w:val="21"/>
        </w:rPr>
      </w:pPr>
      <w:r>
        <w:rPr>
          <w:rFonts w:hint="eastAsia"/>
          <w:szCs w:val="21"/>
        </w:rPr>
        <w:t>本合同采用以下第</w:t>
      </w:r>
      <w:sdt>
        <w:sdtPr>
          <w:rPr>
            <w:rFonts w:hint="eastAsia" w:ascii="宋体" w:hAnsi="宋体" w:eastAsia="宋体" w:cs="宋体"/>
            <w:kern w:val="2"/>
            <w:sz w:val="21"/>
            <w:szCs w:val="21"/>
            <w:lang w:val="en-US" w:eastAsia="zh-CN" w:bidi="ar-SA"/>
          </w:rPr>
          <w:alias w:val="请选择一项"/>
          <w:tag w:val="合同金额类型选项"/>
          <w:id w:val="147460960"/>
          <w:placeholder>
            <w:docPart w:val="{dc89f23d-2321-48cd-979f-33b600b1d16b}"/>
          </w:placeholder>
          <w:comboBox>
            <w:listItem w:displayText="（a）" w:value="（a）"/>
            <w:listItem w:displayText="（b）" w:value="（b）"/>
            <w:listItem w:displayText="（c）" w:value="（c）"/>
          </w:comboBox>
        </w:sdtPr>
        <w:sdtEndPr>
          <w:rPr>
            <w:rFonts w:hint="eastAsia" w:asciiTheme="minorHAnsi" w:hAnsiTheme="minorHAnsi" w:eastAsiaTheme="minorEastAsia" w:cstheme="minorBidi"/>
            <w:kern w:val="2"/>
            <w:sz w:val="28"/>
            <w:szCs w:val="36"/>
            <w:u w:val="single"/>
            <w:lang w:val="en-US" w:eastAsia="zh-CN" w:bidi="ar-SA"/>
          </w:rPr>
        </w:sdtEndPr>
        <w:sdtContent>
          <w:permStart w:id="104" w:edGrp="everyone"/>
          <w:r>
            <w:rPr>
              <w:rFonts w:hint="eastAsia" w:ascii="宋体" w:hAnsi="宋体" w:eastAsia="宋体" w:cs="宋体"/>
              <w:kern w:val="2"/>
              <w:sz w:val="21"/>
              <w:szCs w:val="21"/>
              <w:u w:val="single"/>
              <w:lang w:val="en-US" w:eastAsia="zh-CN" w:bidi="ar-SA"/>
            </w:rPr>
            <w:t xml:space="preserve">  </w:t>
          </w:r>
          <w:permEnd w:id="104"/>
        </w:sdtContent>
      </w:sdt>
      <w:r>
        <w:rPr>
          <w:rFonts w:hint="eastAsia"/>
          <w:szCs w:val="21"/>
        </w:rPr>
        <w:t>种方式定价。</w:t>
      </w:r>
    </w:p>
    <w:p>
      <w:pPr>
        <w:spacing w:line="360" w:lineRule="auto"/>
        <w:ind w:firstLine="420" w:firstLineChars="200"/>
        <w:rPr>
          <w:szCs w:val="21"/>
        </w:rPr>
      </w:pPr>
      <w:r>
        <w:rPr>
          <w:rFonts w:hint="eastAsia"/>
          <w:szCs w:val="21"/>
        </w:rPr>
        <w:t>（a）固定总价</w:t>
      </w:r>
    </w:p>
    <w:p>
      <w:pPr>
        <w:spacing w:line="360" w:lineRule="auto"/>
        <w:ind w:firstLine="420" w:firstLineChars="200"/>
        <w:rPr>
          <w:szCs w:val="21"/>
        </w:rPr>
      </w:pPr>
      <w:r>
        <w:rPr>
          <w:rFonts w:hint="eastAsia"/>
          <w:szCs w:val="21"/>
        </w:rPr>
        <w:t>合同采用固定总价合同，则合同价是完成合同所规定的所有监理服务的全部报酬，本价款除因下述情形外均不作调整：</w:t>
      </w:r>
    </w:p>
    <w:p>
      <w:pPr>
        <w:spacing w:line="360" w:lineRule="auto"/>
        <w:ind w:firstLine="420" w:firstLineChars="200"/>
        <w:rPr>
          <w:szCs w:val="21"/>
        </w:rPr>
      </w:pPr>
      <w:r>
        <w:rPr>
          <w:rFonts w:hint="eastAsia"/>
          <w:szCs w:val="21"/>
        </w:rPr>
        <w:t>若在合同履行过程中，出现新增或取消某一单项工程时，则由双方按照现行《电网工程建设预算费用构成及计算标准》和投标报价另行协商增加或减少该单项工程的监理报酬。</w:t>
      </w:r>
    </w:p>
    <w:p>
      <w:pPr>
        <w:spacing w:line="360" w:lineRule="auto"/>
        <w:ind w:firstLine="420" w:firstLineChars="200"/>
        <w:rPr>
          <w:szCs w:val="21"/>
        </w:rPr>
      </w:pPr>
      <w:r>
        <w:rPr>
          <w:rFonts w:hint="eastAsia"/>
          <w:szCs w:val="21"/>
        </w:rPr>
        <w:t>其他：</w:t>
      </w:r>
      <w:permStart w:id="105" w:edGrp="everyone"/>
      <w:r>
        <w:rPr>
          <w:rFonts w:hint="eastAsia"/>
          <w:szCs w:val="21"/>
          <w:u w:val="single"/>
        </w:rPr>
        <w:t xml:space="preserve">      </w:t>
      </w:r>
      <w:r>
        <w:rPr>
          <w:rFonts w:hint="eastAsia"/>
          <w:szCs w:val="21"/>
        </w:rPr>
        <w:t>。</w:t>
      </w:r>
      <w:permEnd w:id="105"/>
    </w:p>
    <w:p>
      <w:pPr>
        <w:spacing w:line="360" w:lineRule="auto"/>
        <w:ind w:firstLine="420" w:firstLineChars="200"/>
        <w:rPr>
          <w:szCs w:val="21"/>
        </w:rPr>
      </w:pPr>
      <w:r>
        <w:rPr>
          <w:rFonts w:hint="eastAsia"/>
          <w:szCs w:val="21"/>
        </w:rPr>
        <w:t>（b）暂定价</w:t>
      </w:r>
    </w:p>
    <w:p>
      <w:pPr>
        <w:spacing w:line="360" w:lineRule="auto"/>
        <w:ind w:firstLine="420" w:firstLineChars="200"/>
        <w:rPr>
          <w:szCs w:val="21"/>
        </w:rPr>
      </w:pPr>
      <w:r>
        <w:rPr>
          <w:rFonts w:hint="eastAsia"/>
          <w:szCs w:val="21"/>
        </w:rPr>
        <w:t>合同采用暂定价，监理费结算价款=</w:t>
      </w:r>
      <w:permStart w:id="106" w:edGrp="everyone"/>
      <w:r>
        <w:rPr>
          <w:rFonts w:hint="eastAsia"/>
          <w:szCs w:val="21"/>
          <w:u w:val="single"/>
        </w:rPr>
        <w:t>审定的初步设计概算（或施工图设计预算）</w:t>
      </w:r>
      <w:permEnd w:id="106"/>
      <w:r>
        <w:rPr>
          <w:rFonts w:hint="eastAsia"/>
          <w:szCs w:val="21"/>
        </w:rPr>
        <w:t>为基数计算出的监理费×（1-投标下浮率</w:t>
      </w:r>
      <w:sdt>
        <w:sdtPr>
          <w:rPr>
            <w:rFonts w:hint="eastAsia" w:ascii="宋体" w:hAnsi="宋体" w:eastAsia="宋体" w:cs="宋体"/>
            <w:kern w:val="2"/>
            <w:sz w:val="21"/>
            <w:szCs w:val="21"/>
            <w:lang w:val="en-US" w:eastAsia="zh-CN" w:bidi="ar-SA"/>
          </w:rPr>
          <w:alias w:val="应与中标结果一致。"/>
          <w:tag w:val="中标下浮率"/>
          <w:id w:val="890103682"/>
          <w:placeholder>
            <w:docPart w:val="{d918ab83-6971-4972-a035-3e8d3bb5a0a2}"/>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7" w:edGrp="everyone"/>
          <w:r>
            <w:rPr>
              <w:rFonts w:hint="eastAsia" w:ascii="宋体" w:hAnsi="宋体" w:eastAsia="宋体" w:cs="宋体"/>
              <w:kern w:val="2"/>
              <w:sz w:val="21"/>
              <w:szCs w:val="21"/>
              <w:u w:val="single"/>
              <w:lang w:val="en-US" w:eastAsia="zh-CN" w:bidi="ar-SA"/>
            </w:rPr>
            <w:t xml:space="preserve">  </w:t>
          </w:r>
          <w:permEnd w:id="107"/>
        </w:sdtContent>
      </w:sdt>
      <w:r>
        <w:rPr>
          <w:rFonts w:hint="eastAsia"/>
          <w:szCs w:val="21"/>
        </w:rPr>
        <w:t>%）。</w:t>
      </w:r>
    </w:p>
    <w:p>
      <w:pPr>
        <w:spacing w:line="360" w:lineRule="auto"/>
        <w:ind w:firstLine="420" w:firstLineChars="200"/>
        <w:rPr>
          <w:szCs w:val="21"/>
        </w:rPr>
      </w:pPr>
      <w:r>
        <w:rPr>
          <w:rFonts w:hint="eastAsia"/>
          <w:szCs w:val="21"/>
        </w:rPr>
        <w:t>（c）其他：</w:t>
      </w:r>
      <w:permStart w:id="108" w:edGrp="everyone"/>
      <w:r>
        <w:rPr>
          <w:rFonts w:hint="eastAsia"/>
          <w:szCs w:val="21"/>
          <w:u w:val="single"/>
        </w:rPr>
        <w:t xml:space="preserve">     </w:t>
      </w:r>
      <w:r>
        <w:rPr>
          <w:rFonts w:hint="eastAsia"/>
          <w:szCs w:val="21"/>
        </w:rPr>
        <w:t>。</w:t>
      </w:r>
      <w:permEnd w:id="108"/>
    </w:p>
    <w:p>
      <w:pPr>
        <w:numPr>
          <w:ilvl w:val="0"/>
          <w:numId w:val="3"/>
        </w:numPr>
        <w:spacing w:line="360" w:lineRule="auto"/>
        <w:ind w:firstLine="420" w:firstLineChars="200"/>
        <w:rPr>
          <w:szCs w:val="21"/>
        </w:rPr>
      </w:pPr>
      <w:r>
        <w:rPr>
          <w:rFonts w:hint="eastAsia"/>
          <w:szCs w:val="21"/>
        </w:rPr>
        <w:t>合同价格包含的风险范围和风险费用的计算方法</w:t>
      </w:r>
      <w:r>
        <w:rPr>
          <w:szCs w:val="21"/>
        </w:rPr>
        <w:t>：</w:t>
      </w:r>
      <w:permStart w:id="109" w:edGrp="everyone"/>
      <w:r>
        <w:rPr>
          <w:rFonts w:hint="eastAsia"/>
          <w:szCs w:val="21"/>
          <w:u w:val="single"/>
        </w:rPr>
        <w:t xml:space="preserve">            </w:t>
      </w:r>
      <w:r>
        <w:rPr>
          <w:szCs w:val="21"/>
        </w:rPr>
        <w:t>。</w:t>
      </w:r>
      <w:permEnd w:id="109"/>
    </w:p>
    <w:p>
      <w:pPr>
        <w:numPr>
          <w:ilvl w:val="0"/>
          <w:numId w:val="3"/>
        </w:numPr>
        <w:spacing w:line="360" w:lineRule="auto"/>
        <w:ind w:firstLine="420" w:firstLineChars="200"/>
        <w:rPr>
          <w:szCs w:val="21"/>
        </w:rPr>
      </w:pPr>
      <w:r>
        <w:rPr>
          <w:rFonts w:hint="eastAsia"/>
          <w:szCs w:val="21"/>
        </w:rPr>
        <w:t>风险范围以外的合同价格的调整方法</w:t>
      </w:r>
      <w:r>
        <w:rPr>
          <w:szCs w:val="21"/>
        </w:rPr>
        <w:t>：</w:t>
      </w:r>
      <w:r>
        <w:rPr>
          <w:rFonts w:hint="eastAsia"/>
          <w:szCs w:val="21"/>
          <w:u w:val="single"/>
        </w:rPr>
        <w:t xml:space="preserve"> </w:t>
      </w:r>
      <w:permStart w:id="110" w:edGrp="everyone"/>
      <w:r>
        <w:rPr>
          <w:rFonts w:hint="eastAsia"/>
          <w:szCs w:val="21"/>
          <w:u w:val="single"/>
        </w:rPr>
        <w:t xml:space="preserve">           </w:t>
      </w:r>
      <w:r>
        <w:rPr>
          <w:szCs w:val="21"/>
        </w:rPr>
        <w:t>。</w:t>
      </w:r>
      <w:permEnd w:id="110"/>
    </w:p>
    <w:p>
      <w:pPr>
        <w:spacing w:line="360" w:lineRule="auto"/>
        <w:ind w:firstLine="420" w:firstLineChars="200"/>
        <w:rPr>
          <w:szCs w:val="21"/>
        </w:rPr>
      </w:pPr>
      <w:r>
        <w:rPr>
          <w:rFonts w:hint="eastAsia"/>
        </w:rPr>
        <w:t>增加以下内容到第9.1.3款：</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除非另有书面协议，委托人应为额外服务向监理人支付；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a）按</w:t>
      </w:r>
      <w:r>
        <w:rPr>
          <w:rFonts w:hint="eastAsia" w:ascii="宋体" w:hAnsi="宋体" w:cs="宋体"/>
          <w:kern w:val="0"/>
          <w:szCs w:val="21"/>
          <w:lang w:val="zh-CN"/>
        </w:rPr>
        <w:t>监理人人员履行服务耗用的额外时间作为附加服务支付；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w:t>
      </w:r>
      <w:r>
        <w:rPr>
          <w:rFonts w:ascii="宋体" w:hAnsi="宋体" w:cs="宋体"/>
          <w:kern w:val="0"/>
          <w:szCs w:val="21"/>
          <w:lang w:val="zh-CN"/>
        </w:rPr>
        <w:t>b）</w:t>
      </w:r>
      <w:r>
        <w:rPr>
          <w:rFonts w:hint="eastAsia" w:ascii="宋体" w:hAnsi="宋体" w:cs="宋体"/>
          <w:kern w:val="0"/>
          <w:szCs w:val="21"/>
          <w:lang w:val="zh-CN"/>
        </w:rPr>
        <w:t>监理人所有其他额外开支的净费用。</w:t>
      </w:r>
    </w:p>
    <w:p>
      <w:pPr>
        <w:pStyle w:val="6"/>
        <w:spacing w:line="240" w:lineRule="auto"/>
        <w:ind w:firstLine="137"/>
        <w:rPr>
          <w:rFonts w:ascii="Times New Roman"/>
        </w:rPr>
      </w:pPr>
      <w:bookmarkStart w:id="238" w:name="_Toc28518"/>
      <w:r>
        <w:rPr>
          <w:rFonts w:hint="eastAsia" w:ascii="Times New Roman"/>
        </w:rPr>
        <w:t>9</w:t>
      </w:r>
      <w:r>
        <w:rPr>
          <w:rFonts w:ascii="Times New Roman"/>
        </w:rPr>
        <w:t xml:space="preserve">.2 </w:t>
      </w:r>
      <w:r>
        <w:rPr>
          <w:rFonts w:hint="eastAsia" w:ascii="Times New Roman"/>
        </w:rPr>
        <w:t>预付款</w:t>
      </w:r>
      <w:bookmarkEnd w:id="238"/>
    </w:p>
    <w:p>
      <w:pPr>
        <w:spacing w:line="360" w:lineRule="auto"/>
        <w:ind w:firstLine="420" w:firstLineChars="200"/>
        <w:rPr>
          <w:szCs w:val="21"/>
        </w:rPr>
      </w:pPr>
      <w:r>
        <w:rPr>
          <w:rFonts w:hint="eastAsia"/>
        </w:rPr>
        <w:t>增加以下内容到第9.2.1款：</w:t>
      </w:r>
    </w:p>
    <w:p>
      <w:pPr>
        <w:pStyle w:val="18"/>
        <w:spacing w:line="360" w:lineRule="auto"/>
        <w:rPr>
          <w:rFonts w:hAnsi="宋体"/>
          <w:szCs w:val="21"/>
          <w:u w:val="single"/>
        </w:rPr>
      </w:pPr>
      <w:r>
        <w:rPr>
          <w:rFonts w:hint="eastAsia"/>
          <w:szCs w:val="21"/>
        </w:rPr>
        <w:t>预付款的额度</w:t>
      </w:r>
      <w:r>
        <w:rPr>
          <w:rFonts w:hint="eastAsia" w:hAnsi="宋体"/>
          <w:szCs w:val="21"/>
        </w:rPr>
        <w:t>：</w:t>
      </w:r>
      <w:permStart w:id="111" w:edGrp="everyone"/>
      <w:r>
        <w:rPr>
          <w:rFonts w:hint="eastAsia" w:hAnsi="宋体"/>
          <w:szCs w:val="21"/>
          <w:u w:val="single"/>
        </w:rPr>
        <w:t>合同价</w:t>
      </w:r>
      <w:r>
        <w:rPr>
          <w:rFonts w:hAnsi="宋体"/>
          <w:szCs w:val="21"/>
          <w:u w:val="single"/>
        </w:rPr>
        <w:t>的</w:t>
      </w:r>
      <w:r>
        <w:rPr>
          <w:rFonts w:hint="eastAsia" w:hAnsi="宋体"/>
          <w:szCs w:val="21"/>
          <w:u w:val="single"/>
        </w:rPr>
        <w:t>10</w:t>
      </w:r>
      <w:r>
        <w:rPr>
          <w:rFonts w:hAnsi="宋体"/>
          <w:szCs w:val="21"/>
          <w:u w:val="single"/>
        </w:rPr>
        <w:t>%</w:t>
      </w:r>
      <w:r>
        <w:rPr>
          <w:rFonts w:hint="eastAsia" w:hAnsi="宋体"/>
          <w:szCs w:val="21"/>
          <w:u w:val="single"/>
        </w:rPr>
        <w:t>，监理人需要提供履约担保和付款申请。</w:t>
      </w:r>
      <w:permEnd w:id="111"/>
    </w:p>
    <w:p>
      <w:pPr>
        <w:spacing w:line="360" w:lineRule="auto"/>
        <w:ind w:firstLine="420" w:firstLineChars="200"/>
      </w:pPr>
      <w:r>
        <w:rPr>
          <w:rFonts w:hint="eastAsia"/>
        </w:rPr>
        <w:t>在合同生效且监理人提供履约担保</w:t>
      </w:r>
      <w:r>
        <w:rPr>
          <w:rFonts w:hint="eastAsia" w:ascii="宋体" w:hAnsi="宋体"/>
          <w:szCs w:val="21"/>
        </w:rPr>
        <w:t>和付款申请</w:t>
      </w:r>
      <w:r>
        <w:rPr>
          <w:rFonts w:hint="eastAsia"/>
        </w:rPr>
        <w:t>后</w:t>
      </w:r>
      <w:permStart w:id="112" w:edGrp="everyone"/>
      <w:r>
        <w:rPr>
          <w:rFonts w:hint="eastAsia"/>
          <w:u w:val="single"/>
        </w:rPr>
        <w:t>28</w:t>
      </w:r>
      <w:permEnd w:id="112"/>
      <w:r>
        <w:rPr>
          <w:rFonts w:hint="eastAsia"/>
        </w:rPr>
        <w:t>日内，委托人向监理人支付合同总价的</w:t>
      </w:r>
      <w:sdt>
        <w:sdtPr>
          <w:rPr>
            <w:rFonts w:hint="eastAsia" w:ascii="Times New Roman" w:hAnsi="宋体" w:eastAsia="宋体" w:cs="Times New Roman"/>
            <w:kern w:val="2"/>
            <w:sz w:val="21"/>
            <w:szCs w:val="21"/>
            <w:u w:val="single"/>
            <w:lang w:val="en-US" w:eastAsia="zh-CN" w:bidi="ar-SA"/>
          </w:rPr>
          <w:alias w:val="预付款比例"/>
          <w:tag w:val="预付款比例"/>
          <w:id w:val="147458022"/>
          <w:placeholder>
            <w:docPart w:val="{035938ca-1fec-486c-bc0f-c595c5b34943}"/>
          </w:placeholder>
        </w:sdtPr>
        <w:sdtEndPr>
          <w:rPr>
            <w:rFonts w:hint="eastAsia" w:ascii="Times New Roman" w:hAnsi="宋体" w:eastAsia="宋体" w:cstheme="minorBidi"/>
            <w:kern w:val="2"/>
            <w:sz w:val="28"/>
            <w:szCs w:val="36"/>
            <w:u w:val="single"/>
            <w:lang w:val="en-US" w:eastAsia="zh-CN" w:bidi="ar-SA"/>
          </w:rPr>
        </w:sdtEndPr>
        <w:sdtContent>
          <w:permStart w:id="113" w:edGrp="everyone"/>
          <w:r>
            <w:rPr>
              <w:rFonts w:hint="eastAsia" w:ascii="Times New Roman" w:hAnsi="宋体" w:eastAsia="宋体" w:cs="Times New Roman"/>
              <w:kern w:val="2"/>
              <w:sz w:val="21"/>
              <w:szCs w:val="21"/>
              <w:u w:val="single"/>
              <w:lang w:val="en-US" w:eastAsia="zh-CN" w:bidi="ar-SA"/>
            </w:rPr>
            <w:t>10%</w:t>
          </w:r>
          <w:permEnd w:id="113"/>
        </w:sdtContent>
      </w:sdt>
      <w:r>
        <w:rPr>
          <w:rFonts w:hint="eastAsia"/>
        </w:rPr>
        <w:t>作为预付款。</w:t>
      </w:r>
    </w:p>
    <w:p>
      <w:pPr>
        <w:pStyle w:val="18"/>
        <w:spacing w:line="360" w:lineRule="auto"/>
        <w:rPr>
          <w:rFonts w:hAnsi="宋体"/>
          <w:szCs w:val="21"/>
          <w:u w:val="single"/>
        </w:rPr>
      </w:pPr>
      <w:r>
        <w:rPr>
          <w:rFonts w:hint="eastAsia"/>
          <w:szCs w:val="21"/>
        </w:rPr>
        <w:t>预付款的抵扣方式</w:t>
      </w:r>
      <w:r>
        <w:rPr>
          <w:rFonts w:hint="eastAsia" w:hAnsi="宋体"/>
          <w:szCs w:val="21"/>
        </w:rPr>
        <w:t>：</w:t>
      </w:r>
      <w:permStart w:id="114" w:edGrp="everyone"/>
      <w:r>
        <w:rPr>
          <w:rFonts w:hint="eastAsia" w:hAnsi="宋体"/>
          <w:szCs w:val="21"/>
          <w:u w:val="single"/>
        </w:rPr>
        <w:t xml:space="preserve">            。</w:t>
      </w:r>
    </w:p>
    <w:permEnd w:id="114"/>
    <w:p>
      <w:pPr>
        <w:pStyle w:val="6"/>
        <w:spacing w:line="240" w:lineRule="auto"/>
        <w:ind w:firstLine="137"/>
        <w:rPr>
          <w:rFonts w:ascii="Times New Roman"/>
        </w:rPr>
      </w:pPr>
      <w:bookmarkStart w:id="239" w:name="_Toc22299"/>
      <w:r>
        <w:rPr>
          <w:rFonts w:hint="eastAsia" w:ascii="Times New Roman"/>
        </w:rPr>
        <w:t>9</w:t>
      </w:r>
      <w:r>
        <w:rPr>
          <w:rFonts w:ascii="Times New Roman"/>
        </w:rPr>
        <w:t xml:space="preserve">.3 </w:t>
      </w:r>
      <w:r>
        <w:rPr>
          <w:rFonts w:hint="eastAsia" w:ascii="Times New Roman"/>
        </w:rPr>
        <w:t>中期支付</w:t>
      </w:r>
      <w:bookmarkEnd w:id="239"/>
    </w:p>
    <w:p>
      <w:pPr>
        <w:spacing w:line="360" w:lineRule="auto"/>
        <w:ind w:firstLine="420" w:firstLineChars="200"/>
        <w:rPr>
          <w:szCs w:val="21"/>
        </w:rPr>
      </w:pPr>
      <w:r>
        <w:rPr>
          <w:rFonts w:hint="eastAsia"/>
        </w:rPr>
        <w:t>增加以下内容到第9.3.2款：</w:t>
      </w:r>
    </w:p>
    <w:p>
      <w:pPr>
        <w:numPr>
          <w:ilvl w:val="0"/>
          <w:numId w:val="2"/>
        </w:numPr>
        <w:spacing w:line="360" w:lineRule="auto"/>
        <w:ind w:firstLine="420" w:firstLineChars="200"/>
      </w:pPr>
      <w:r>
        <w:rPr>
          <w:rFonts w:hint="eastAsia"/>
        </w:rPr>
        <w:t>委托人对监理人进度款申请的审批时间：</w:t>
      </w:r>
      <w:permStart w:id="115" w:edGrp="everyone"/>
      <w:r>
        <w:rPr>
          <w:rFonts w:hint="eastAsia"/>
          <w:szCs w:val="21"/>
          <w:u w:val="single"/>
        </w:rPr>
        <w:t xml:space="preserve">            </w:t>
      </w:r>
      <w:r>
        <w:rPr>
          <w:szCs w:val="21"/>
        </w:rPr>
        <w:t>。</w:t>
      </w:r>
      <w:permEnd w:id="115"/>
      <w:r>
        <w:rPr>
          <w:rFonts w:hint="eastAsia"/>
        </w:rPr>
        <w:t xml:space="preserve"> </w:t>
      </w:r>
    </w:p>
    <w:p>
      <w:pPr>
        <w:spacing w:line="360" w:lineRule="auto"/>
        <w:ind w:firstLine="420" w:firstLineChars="200"/>
      </w:pPr>
      <w:r>
        <w:rPr>
          <w:rFonts w:hint="eastAsia"/>
        </w:rPr>
        <w:t>（2）委托人应在收到监理人提供的等额增值税专用发票后</w:t>
      </w:r>
      <w:r>
        <w:rPr>
          <w:rFonts w:hint="eastAsia"/>
          <w:u w:val="single"/>
        </w:rPr>
        <w:t>28</w:t>
      </w:r>
      <w:r>
        <w:rPr>
          <w:rFonts w:hint="eastAsia"/>
        </w:rPr>
        <w:t>日内完成支付该笔进度款。</w:t>
      </w:r>
    </w:p>
    <w:p>
      <w:pPr>
        <w:spacing w:line="360" w:lineRule="auto"/>
        <w:ind w:firstLine="420" w:firstLineChars="200"/>
      </w:pPr>
      <w:r>
        <w:rPr>
          <w:rFonts w:hint="eastAsia"/>
        </w:rPr>
        <w:t>（3）</w:t>
      </w:r>
      <w:r>
        <w:rPr>
          <w:rFonts w:ascii="宋体" w:hAnsi="宋体"/>
          <w:szCs w:val="21"/>
        </w:rPr>
        <w:t>中间支付</w:t>
      </w:r>
      <w:r>
        <w:rPr>
          <w:rFonts w:hint="eastAsia"/>
        </w:rPr>
        <w:t>：</w:t>
      </w:r>
      <w:permStart w:id="116" w:edGrp="everyone"/>
      <w:r>
        <w:rPr>
          <w:rFonts w:hint="eastAsia"/>
          <w:szCs w:val="21"/>
          <w:u w:val="single"/>
        </w:rPr>
        <w:t xml:space="preserve">            </w:t>
      </w:r>
      <w:r>
        <w:rPr>
          <w:szCs w:val="21"/>
        </w:rPr>
        <w:t>。</w:t>
      </w:r>
      <w:permEnd w:id="116"/>
      <w:r>
        <w:rPr>
          <w:rFonts w:hint="eastAsia"/>
        </w:rPr>
        <w:t xml:space="preserve"> </w:t>
      </w:r>
    </w:p>
    <w:p>
      <w:pPr>
        <w:spacing w:line="360" w:lineRule="auto"/>
        <w:ind w:firstLine="422" w:firstLineChars="200"/>
        <w:rPr>
          <w:b/>
        </w:rPr>
      </w:pPr>
      <w:r>
        <w:rPr>
          <w:rFonts w:hint="eastAsia"/>
          <w:b/>
        </w:rPr>
        <w:t>①按工程性质，选择下述支付方式：</w:t>
      </w:r>
    </w:p>
    <w:p>
      <w:pPr>
        <w:spacing w:line="360" w:lineRule="auto"/>
        <w:ind w:firstLine="422" w:firstLineChars="200"/>
        <w:rPr>
          <w:b/>
          <w:bCs/>
        </w:rPr>
      </w:pPr>
      <w:r>
        <w:rPr>
          <w:rFonts w:hint="eastAsia"/>
          <w:b/>
          <w:bCs/>
        </w:rPr>
        <w:t>变电工程：</w:t>
      </w:r>
    </w:p>
    <w:p>
      <w:pPr>
        <w:spacing w:line="360" w:lineRule="auto"/>
        <w:ind w:firstLine="420" w:firstLineChars="200"/>
      </w:pPr>
      <w:permStart w:id="117" w:edGrp="everyone"/>
      <w:r>
        <w:rPr>
          <w:rFonts w:hint="eastAsia"/>
        </w:rPr>
        <w:t>a.</w:t>
      </w:r>
      <w:r>
        <w:rPr>
          <w:rFonts w:hint="eastAsia"/>
          <w:u w:val="single"/>
        </w:rPr>
        <w:t>土建基础完成或工程总体形象进度完成60％，</w:t>
      </w:r>
      <w:r>
        <w:rPr>
          <w:rFonts w:hint="eastAsia"/>
        </w:rPr>
        <w:t>后支付合同监理费（变电部分）的</w:t>
      </w:r>
      <w:r>
        <w:rPr>
          <w:rFonts w:hint="eastAsia"/>
          <w:u w:val="single"/>
        </w:rPr>
        <w:t>30%（不设预付款且设中间支付时）/20 %（设预付款时）</w:t>
      </w:r>
      <w:r>
        <w:rPr>
          <w:rFonts w:hint="eastAsia"/>
        </w:rPr>
        <w:t xml:space="preserve">； </w:t>
      </w:r>
    </w:p>
    <w:p>
      <w:pPr>
        <w:spacing w:line="360" w:lineRule="auto"/>
        <w:ind w:firstLine="420" w:firstLineChars="200"/>
      </w:pPr>
      <w:r>
        <w:rPr>
          <w:rFonts w:hint="eastAsia"/>
        </w:rPr>
        <w:t>b.</w:t>
      </w:r>
      <w:r>
        <w:rPr>
          <w:rFonts w:hint="eastAsia"/>
          <w:u w:val="single"/>
        </w:rPr>
        <w:t>构支架组立完成或工程总体形象进度完成90％</w:t>
      </w:r>
      <w:r>
        <w:rPr>
          <w:rFonts w:hint="eastAsia"/>
        </w:rPr>
        <w:t>，支付合同监理费（变电部分）的</w:t>
      </w:r>
      <w:r>
        <w:rPr>
          <w:rFonts w:hint="eastAsia"/>
          <w:u w:val="single"/>
        </w:rPr>
        <w:t>30 %</w:t>
      </w:r>
      <w:r>
        <w:rPr>
          <w:rFonts w:hint="eastAsia"/>
        </w:rPr>
        <w:t>；</w:t>
      </w:r>
    </w:p>
    <w:p>
      <w:pPr>
        <w:spacing w:line="360" w:lineRule="auto"/>
        <w:ind w:firstLine="420" w:firstLineChars="200"/>
        <w:rPr>
          <w:rFonts w:hint="eastAsia"/>
        </w:rPr>
      </w:pPr>
      <w:r>
        <w:rPr>
          <w:rFonts w:hint="eastAsia"/>
        </w:rPr>
        <w:t>c. 竣工验收投运并交清相关资料，支付合同监理费（变电部分）的</w:t>
      </w:r>
      <w:r>
        <w:rPr>
          <w:rFonts w:hint="eastAsia"/>
          <w:u w:val="single"/>
        </w:rPr>
        <w:t>35%</w:t>
      </w:r>
      <w:r>
        <w:rPr>
          <w:rFonts w:hint="eastAsia"/>
        </w:rPr>
        <w:t>；</w:t>
      </w:r>
    </w:p>
    <w:p>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r>
        <w:rPr>
          <w:rFonts w:hint="eastAsia"/>
        </w:rPr>
        <w:t xml:space="preserve"> </w:t>
      </w:r>
    </w:p>
    <w:permEnd w:id="117"/>
    <w:p>
      <w:pPr>
        <w:spacing w:line="360" w:lineRule="auto"/>
        <w:ind w:firstLine="422" w:firstLineChars="200"/>
        <w:rPr>
          <w:b/>
          <w:bCs/>
        </w:rPr>
      </w:pPr>
      <w:r>
        <w:rPr>
          <w:rFonts w:hint="eastAsia"/>
          <w:b/>
          <w:bCs/>
        </w:rPr>
        <w:t>线路工程：</w:t>
      </w:r>
    </w:p>
    <w:p>
      <w:pPr>
        <w:spacing w:line="360" w:lineRule="auto"/>
        <w:ind w:firstLine="420" w:firstLineChars="200"/>
      </w:pPr>
      <w:permStart w:id="118" w:edGrp="everyone"/>
      <w:r>
        <w:rPr>
          <w:rFonts w:hint="eastAsia"/>
        </w:rPr>
        <w:t xml:space="preserve">a. </w:t>
      </w:r>
      <w:r>
        <w:rPr>
          <w:rFonts w:hint="eastAsia"/>
          <w:u w:val="single"/>
        </w:rPr>
        <w:t>土建基础完成或工程总体形象进度完成60％，</w:t>
      </w:r>
      <w:r>
        <w:rPr>
          <w:rFonts w:hint="eastAsia"/>
        </w:rPr>
        <w:t>支付合同监理费（线路部分）的</w:t>
      </w:r>
      <w:r>
        <w:rPr>
          <w:rFonts w:hint="eastAsia"/>
          <w:u w:val="single"/>
        </w:rPr>
        <w:t>30%（不设预付款且设中间支付时）/20 %（设预付款时）</w:t>
      </w:r>
      <w:r>
        <w:rPr>
          <w:rFonts w:hint="eastAsia"/>
        </w:rPr>
        <w:t xml:space="preserve">； </w:t>
      </w:r>
    </w:p>
    <w:p>
      <w:pPr>
        <w:spacing w:line="360" w:lineRule="auto"/>
        <w:ind w:firstLine="420" w:firstLineChars="200"/>
      </w:pPr>
      <w:r>
        <w:rPr>
          <w:rFonts w:hint="eastAsia"/>
        </w:rPr>
        <w:t>b.</w:t>
      </w:r>
      <w:r>
        <w:rPr>
          <w:rFonts w:hint="eastAsia"/>
          <w:u w:val="single"/>
        </w:rPr>
        <w:t>组塔完成或工程总体形象进度完成90％，</w:t>
      </w:r>
      <w:r>
        <w:rPr>
          <w:rFonts w:hint="eastAsia"/>
        </w:rPr>
        <w:t>支付合同监理费（线路部分）的</w:t>
      </w:r>
      <w:r>
        <w:rPr>
          <w:rFonts w:hint="eastAsia"/>
          <w:u w:val="single"/>
        </w:rPr>
        <w:t>30 %</w:t>
      </w:r>
      <w:r>
        <w:rPr>
          <w:rFonts w:hint="eastAsia"/>
        </w:rPr>
        <w:t>；</w:t>
      </w:r>
    </w:p>
    <w:p>
      <w:pPr>
        <w:spacing w:line="360" w:lineRule="auto"/>
        <w:ind w:firstLine="420" w:firstLineChars="200"/>
        <w:rPr>
          <w:rFonts w:hint="eastAsia"/>
        </w:rPr>
      </w:pPr>
      <w:r>
        <w:rPr>
          <w:rFonts w:hint="eastAsia"/>
        </w:rPr>
        <w:t>c. 竣工验收投运并交清相关资料，支付合同监理费（线路部分）的</w:t>
      </w:r>
      <w:r>
        <w:rPr>
          <w:rFonts w:hint="eastAsia"/>
          <w:u w:val="single"/>
        </w:rPr>
        <w:t>35%</w:t>
      </w:r>
      <w:r>
        <w:rPr>
          <w:rFonts w:hint="eastAsia"/>
        </w:rPr>
        <w:t>；</w:t>
      </w:r>
    </w:p>
    <w:p>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permEnd w:id="118"/>
      <w:r>
        <w:rPr>
          <w:rFonts w:hint="eastAsia"/>
        </w:rPr>
        <w:t xml:space="preserve"> </w:t>
      </w:r>
    </w:p>
    <w:p>
      <w:pPr>
        <w:spacing w:line="360" w:lineRule="auto"/>
        <w:ind w:firstLine="422" w:firstLineChars="200"/>
        <w:rPr>
          <w:b/>
          <w:bCs/>
        </w:rPr>
      </w:pPr>
      <w:r>
        <w:rPr>
          <w:rFonts w:hint="eastAsia"/>
          <w:b/>
          <w:bCs/>
        </w:rPr>
        <w:t>电缆工程：</w:t>
      </w:r>
    </w:p>
    <w:p>
      <w:pPr>
        <w:spacing w:line="360" w:lineRule="auto"/>
        <w:ind w:firstLine="420" w:firstLineChars="200"/>
      </w:pPr>
      <w:permStart w:id="119" w:edGrp="everyone"/>
      <w:r>
        <w:rPr>
          <w:rFonts w:hint="eastAsia"/>
        </w:rPr>
        <w:t xml:space="preserve">a. </w:t>
      </w:r>
      <w:r>
        <w:rPr>
          <w:rFonts w:hint="eastAsia"/>
          <w:u w:val="single"/>
        </w:rPr>
        <w:t>土建基础完成或工程总体形象进度完成60％</w:t>
      </w:r>
      <w:r>
        <w:rPr>
          <w:rFonts w:hint="eastAsia"/>
        </w:rPr>
        <w:t>，支付合同监理费（电缆部分）的</w:t>
      </w:r>
      <w:r>
        <w:rPr>
          <w:rFonts w:hint="eastAsia"/>
          <w:u w:val="single"/>
        </w:rPr>
        <w:t>30%（不设预付款且设中间支付时）/20 %（设预付款时）</w:t>
      </w:r>
      <w:r>
        <w:rPr>
          <w:rFonts w:hint="eastAsia"/>
        </w:rPr>
        <w:t>；</w:t>
      </w:r>
    </w:p>
    <w:p>
      <w:pPr>
        <w:spacing w:line="360" w:lineRule="auto"/>
        <w:ind w:firstLine="420" w:firstLineChars="200"/>
      </w:pPr>
      <w:r>
        <w:rPr>
          <w:rFonts w:hint="eastAsia"/>
        </w:rPr>
        <w:t>b.</w:t>
      </w:r>
      <w:r>
        <w:rPr>
          <w:rFonts w:hint="eastAsia"/>
          <w:u w:val="single"/>
        </w:rPr>
        <w:t>电缆具备敷设条件或工程总体形象进度完成90％</w:t>
      </w:r>
      <w:r>
        <w:rPr>
          <w:rFonts w:hint="eastAsia"/>
        </w:rPr>
        <w:t>，支付合同监理费（电缆部分）的</w:t>
      </w:r>
      <w:r>
        <w:rPr>
          <w:rFonts w:hint="eastAsia"/>
          <w:u w:val="single"/>
        </w:rPr>
        <w:t>30 %</w:t>
      </w:r>
      <w:r>
        <w:rPr>
          <w:rFonts w:hint="eastAsia"/>
        </w:rPr>
        <w:t>；</w:t>
      </w:r>
    </w:p>
    <w:p>
      <w:pPr>
        <w:spacing w:line="360" w:lineRule="auto"/>
        <w:ind w:firstLine="420" w:firstLineChars="200"/>
      </w:pPr>
      <w:r>
        <w:rPr>
          <w:rFonts w:hint="eastAsia"/>
        </w:rPr>
        <w:t>c. 竣工验收投运并交清相关资料，支付合同监理费（电缆部分）的</w:t>
      </w:r>
      <w:r>
        <w:rPr>
          <w:rFonts w:hint="eastAsia"/>
          <w:u w:val="single"/>
        </w:rPr>
        <w:t>35%</w:t>
      </w:r>
      <w:r>
        <w:rPr>
          <w:rFonts w:hint="eastAsia"/>
        </w:rPr>
        <w:t>；</w:t>
      </w:r>
    </w:p>
    <w:p>
      <w:pPr>
        <w:spacing w:line="360" w:lineRule="auto"/>
        <w:ind w:firstLine="420" w:firstLineChars="200"/>
        <w:rPr>
          <w:rFonts w:hint="eastAsia" w:ascii="宋体" w:hAnsi="宋体" w:cs="宋体"/>
          <w:kern w:val="0"/>
          <w:szCs w:val="21"/>
        </w:rPr>
      </w:pPr>
      <w:r>
        <w:rPr>
          <w:rFonts w:hint="eastAsia" w:ascii="宋体" w:hAnsi="宋体" w:cs="宋体"/>
          <w:kern w:val="0"/>
          <w:szCs w:val="21"/>
        </w:rPr>
        <w:t>进度款支付时限为完成项目阶段性工作、并收到等额增值税专用发票后</w:t>
      </w:r>
      <w:r>
        <w:rPr>
          <w:rFonts w:hint="eastAsia" w:ascii="宋体" w:hAnsi="宋体" w:cs="宋体"/>
          <w:kern w:val="0"/>
          <w:szCs w:val="21"/>
          <w:u w:val="single"/>
        </w:rPr>
        <w:t>45</w:t>
      </w:r>
      <w:r>
        <w:rPr>
          <w:rFonts w:hint="eastAsia" w:ascii="宋体" w:hAnsi="宋体" w:cs="宋体"/>
          <w:kern w:val="0"/>
          <w:szCs w:val="21"/>
        </w:rPr>
        <w:t>日内；付至合同监理费的</w:t>
      </w:r>
      <w:r>
        <w:rPr>
          <w:rFonts w:hint="eastAsia" w:ascii="宋体" w:hAnsi="宋体" w:cs="宋体"/>
          <w:kern w:val="0"/>
          <w:szCs w:val="21"/>
          <w:u w:val="single"/>
        </w:rPr>
        <w:t>97％</w:t>
      </w:r>
      <w:r>
        <w:rPr>
          <w:rFonts w:hint="eastAsia" w:ascii="宋体" w:hAnsi="宋体" w:cs="宋体"/>
          <w:kern w:val="0"/>
          <w:szCs w:val="21"/>
        </w:rPr>
        <w:t>（10万元及以下合同支付完总结算监理报酬）。</w:t>
      </w:r>
    </w:p>
    <w:p>
      <w:pPr>
        <w:spacing w:line="360" w:lineRule="auto"/>
        <w:ind w:firstLine="420" w:firstLineChars="200"/>
        <w:rPr>
          <w:rFonts w:hint="eastAsia"/>
        </w:rPr>
      </w:pPr>
      <w:r>
        <w:rPr>
          <w:rFonts w:hint="eastAsia"/>
        </w:rPr>
        <w:t>d.</w:t>
      </w:r>
      <w:r>
        <w:rPr>
          <w:rFonts w:hint="eastAsia"/>
          <w:szCs w:val="21"/>
          <w:u w:val="single"/>
        </w:rPr>
        <w:t xml:space="preserve">            </w:t>
      </w:r>
      <w:r>
        <w:rPr>
          <w:szCs w:val="21"/>
        </w:rPr>
        <w:t>。</w:t>
      </w:r>
      <w:r>
        <w:rPr>
          <w:rFonts w:hint="eastAsia"/>
        </w:rPr>
        <w:t xml:space="preserve"> </w:t>
      </w:r>
    </w:p>
    <w:permEnd w:id="119"/>
    <w:p>
      <w:pPr>
        <w:spacing w:line="360" w:lineRule="auto"/>
        <w:ind w:firstLine="422" w:firstLineChars="200"/>
        <w:rPr>
          <w:rFonts w:ascii="宋体" w:hAnsi="宋体" w:cs="宋体"/>
          <w:b/>
          <w:kern w:val="0"/>
          <w:szCs w:val="21"/>
        </w:rPr>
      </w:pPr>
      <w:r>
        <w:rPr>
          <w:rFonts w:hint="eastAsia" w:ascii="宋体" w:hAnsi="宋体" w:cs="宋体"/>
          <w:b/>
          <w:kern w:val="0"/>
          <w:szCs w:val="21"/>
        </w:rPr>
        <w:t>②不按工程性质，直接按以下方式支付：</w:t>
      </w:r>
    </w:p>
    <w:p>
      <w:pPr>
        <w:spacing w:line="360" w:lineRule="auto"/>
        <w:ind w:firstLine="420" w:firstLineChars="200"/>
        <w:rPr>
          <w:rFonts w:ascii="宋体" w:hAnsi="宋体" w:cs="宋体"/>
          <w:kern w:val="0"/>
          <w:szCs w:val="21"/>
        </w:rPr>
      </w:pPr>
      <w:r>
        <w:rPr>
          <w:rFonts w:hint="eastAsia" w:ascii="宋体" w:hAnsi="宋体" w:cs="宋体"/>
          <w:kern w:val="0"/>
          <w:szCs w:val="21"/>
        </w:rPr>
        <w:t>所有项目</w:t>
      </w:r>
      <w:r>
        <w:rPr>
          <w:rFonts w:hint="eastAsia"/>
        </w:rPr>
        <w:t>竣工验收投运并交清相关资料</w:t>
      </w:r>
      <w:r>
        <w:rPr>
          <w:rFonts w:hint="eastAsia" w:ascii="宋体" w:hAnsi="宋体" w:cs="宋体"/>
          <w:kern w:val="0"/>
          <w:szCs w:val="21"/>
        </w:rPr>
        <w:t>，付至合同监理费的</w:t>
      </w:r>
      <w:permStart w:id="120" w:edGrp="everyone"/>
      <w:r>
        <w:rPr>
          <w:rFonts w:hint="eastAsia" w:ascii="宋体" w:hAnsi="宋体" w:cs="宋体"/>
          <w:kern w:val="0"/>
          <w:szCs w:val="21"/>
          <w:u w:val="single"/>
        </w:rPr>
        <w:t>97％</w:t>
      </w:r>
      <w:permEnd w:id="120"/>
      <w:r>
        <w:rPr>
          <w:rFonts w:hint="eastAsia" w:ascii="宋体" w:hAnsi="宋体" w:cs="宋体"/>
          <w:kern w:val="0"/>
          <w:szCs w:val="21"/>
        </w:rPr>
        <w:t>（10万元及以下合同支付完总结算监理报酬），在监理人提供等额增值税专用发票后</w:t>
      </w:r>
      <w:r>
        <w:rPr>
          <w:rFonts w:hint="eastAsia" w:ascii="宋体" w:hAnsi="宋体" w:cs="宋体"/>
          <w:kern w:val="0"/>
          <w:szCs w:val="21"/>
          <w:u w:val="single"/>
        </w:rPr>
        <w:t>45</w:t>
      </w:r>
      <w:r>
        <w:rPr>
          <w:rFonts w:hint="eastAsia" w:ascii="宋体" w:hAnsi="宋体" w:cs="宋体"/>
          <w:kern w:val="0"/>
          <w:szCs w:val="21"/>
        </w:rPr>
        <w:t>日内，委托人予以支付。</w:t>
      </w:r>
    </w:p>
    <w:p>
      <w:pPr>
        <w:spacing w:line="360" w:lineRule="auto"/>
        <w:ind w:firstLine="420" w:firstLineChars="200"/>
      </w:pPr>
      <w:r>
        <w:rPr>
          <w:rFonts w:hint="eastAsia"/>
        </w:rPr>
        <w:t>（4）最终支付：所有项目最终成果等完成，考虑增加或减少单项工程引起的监理单位报酬增减，结算项目总监理费报酬。监理费用结算批复后，监理人提交金额为结算监理费用3%的质量保证金担保（担保的形式包括银行提供的保函、央企财务公司提供的保函、保险公司提供的国家认可的具有法律效力的保险等，格式自定，担保有效期与工程缺陷责任期一致），由委托人负责审查付款条件并办理结算余款的支付；</w:t>
      </w:r>
    </w:p>
    <w:p>
      <w:pPr>
        <w:spacing w:line="360" w:lineRule="auto"/>
        <w:ind w:firstLine="420" w:firstLineChars="200"/>
        <w:rPr>
          <w:rFonts w:hint="eastAsia"/>
        </w:rPr>
      </w:pPr>
      <w:r>
        <w:rPr>
          <w:rFonts w:hint="eastAsia"/>
        </w:rPr>
        <w:t>（5）</w:t>
      </w:r>
      <w:r>
        <w:rPr>
          <w:rFonts w:hint="eastAsia" w:ascii="宋体" w:hAnsi="宋体" w:cs="宋体"/>
          <w:kern w:val="0"/>
          <w:szCs w:val="21"/>
        </w:rPr>
        <w:t>工程缺陷责任期如有需要延续的，监理人应确保质量保证金保函在缺陷责任期的延续期内有效。质量保证金支付执行《关于印发中国南方电网有限责任公司工程项目质量保证金管理工作指引的通知》。</w:t>
      </w:r>
    </w:p>
    <w:p>
      <w:pPr>
        <w:spacing w:line="360" w:lineRule="auto"/>
        <w:ind w:firstLine="420" w:firstLineChars="200"/>
      </w:pPr>
      <w:r>
        <w:rPr>
          <w:rFonts w:hint="eastAsia"/>
        </w:rPr>
        <w:t>（6）每次付款前监理人需提供等额增值税专用发票。</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rPr>
        <w:t>（7）支付方式：</w:t>
      </w:r>
      <w:r>
        <w:rPr>
          <w:rFonts w:hint="eastAsia" w:ascii="Times New Roman" w:hAnsi="Times New Roman" w:eastAsia="宋体" w:cs="Times New Roman"/>
          <w:lang w:val="en-US" w:eastAsia="zh-CN"/>
        </w:rPr>
        <w:t>包括电汇、转账、汇票、票据、支票和双方认可的其他支付方式。如需使用商业汇票进行支付的，由款项支付方承担资金成本（买方付息贴现）。</w:t>
      </w:r>
    </w:p>
    <w:p>
      <w:pPr>
        <w:spacing w:line="360" w:lineRule="auto"/>
        <w:ind w:firstLine="420" w:firstLineChars="200"/>
        <w:rPr>
          <w:rFonts w:ascii="宋体" w:hAnsi="宋体" w:cs="宋体"/>
          <w:kern w:val="0"/>
          <w:szCs w:val="21"/>
        </w:rPr>
      </w:pPr>
      <w:r>
        <w:rPr>
          <w:rFonts w:hint="eastAsia" w:ascii="Times New Roman" w:hAnsi="Times New Roman" w:eastAsia="宋体" w:cs="Times New Roman"/>
        </w:rPr>
        <w:t>（</w:t>
      </w:r>
      <w:r>
        <w:rPr>
          <w:rFonts w:hint="default" w:ascii="Times New Roman" w:hAnsi="Times New Roman" w:eastAsia="宋体" w:cs="Times New Roman"/>
          <w:lang w:val="en-US"/>
        </w:rPr>
        <w:t>8</w:t>
      </w:r>
      <w:r>
        <w:rPr>
          <w:rFonts w:hint="eastAsia" w:ascii="Times New Roman" w:hAnsi="Times New Roman" w:eastAsia="宋体" w:cs="Times New Roman"/>
        </w:rPr>
        <w:t>）监理人应在满足付款条件的前提下，提交书面付款申请并递交等额增值税专用发票等财务票据，因监理人未开具发票、</w:t>
      </w:r>
      <w:r>
        <w:rPr>
          <w:rFonts w:hint="eastAsia" w:ascii="宋体" w:hAnsi="宋体" w:cs="宋体"/>
          <w:kern w:val="0"/>
          <w:szCs w:val="21"/>
        </w:rPr>
        <w:t>提交付款申请或开具的发票不符合规定导致委托人迟延支付上述款项的，委托人可以在监理人提供发票后付款，损失由监理人承担，委托人不负违约责任和损害赔偿责任。</w:t>
      </w:r>
    </w:p>
    <w:p>
      <w:pPr>
        <w:spacing w:line="360" w:lineRule="auto"/>
        <w:ind w:firstLine="420" w:firstLineChars="200"/>
      </w:pPr>
      <w:r>
        <w:rPr>
          <w:rFonts w:hint="eastAsia" w:ascii="宋体" w:hAnsi="宋体" w:cs="宋体"/>
          <w:kern w:val="0"/>
          <w:szCs w:val="21"/>
        </w:rPr>
        <w:t>（</w:t>
      </w:r>
      <w:r>
        <w:rPr>
          <w:rFonts w:hint="default" w:ascii="宋体" w:hAnsi="宋体" w:cs="宋体"/>
          <w:kern w:val="0"/>
          <w:szCs w:val="21"/>
          <w:lang w:val="en-US"/>
        </w:rPr>
        <w:t>9</w:t>
      </w:r>
      <w:r>
        <w:rPr>
          <w:rFonts w:hint="eastAsia" w:ascii="宋体" w:hAnsi="宋体" w:cs="宋体"/>
          <w:kern w:val="0"/>
          <w:szCs w:val="21"/>
        </w:rPr>
        <w:t>）其他</w:t>
      </w:r>
      <w:permStart w:id="121" w:edGrp="everyone"/>
      <w:r>
        <w:rPr>
          <w:rFonts w:hint="eastAsia" w:ascii="宋体" w:hAnsi="宋体" w:cs="宋体"/>
          <w:kern w:val="0"/>
          <w:szCs w:val="21"/>
        </w:rPr>
        <w:t>：</w:t>
      </w:r>
      <w:r>
        <w:rPr>
          <w:rFonts w:hint="eastAsia"/>
          <w:szCs w:val="21"/>
          <w:u w:val="single"/>
        </w:rPr>
        <w:t xml:space="preserve">            </w:t>
      </w:r>
      <w:r>
        <w:rPr>
          <w:szCs w:val="21"/>
        </w:rPr>
        <w:t>。</w:t>
      </w:r>
      <w:permEnd w:id="121"/>
    </w:p>
    <w:p>
      <w:pPr>
        <w:pStyle w:val="6"/>
        <w:spacing w:line="240" w:lineRule="auto"/>
        <w:ind w:firstLine="137"/>
        <w:rPr>
          <w:rFonts w:ascii="Times New Roman"/>
        </w:rPr>
      </w:pPr>
      <w:bookmarkStart w:id="240" w:name="_Toc4164"/>
      <w:r>
        <w:rPr>
          <w:rFonts w:hint="eastAsia" w:ascii="Times New Roman"/>
        </w:rPr>
        <w:t>9</w:t>
      </w:r>
      <w:r>
        <w:rPr>
          <w:rFonts w:ascii="Times New Roman"/>
        </w:rPr>
        <w:t xml:space="preserve">.4 </w:t>
      </w:r>
      <w:r>
        <w:rPr>
          <w:rFonts w:hint="eastAsia" w:ascii="Times New Roman"/>
        </w:rPr>
        <w:t>费用结算</w:t>
      </w:r>
      <w:bookmarkEnd w:id="240"/>
    </w:p>
    <w:p>
      <w:pPr>
        <w:spacing w:line="360" w:lineRule="auto"/>
        <w:ind w:firstLine="420" w:firstLineChars="200"/>
        <w:rPr>
          <w:szCs w:val="21"/>
        </w:rPr>
      </w:pPr>
      <w:r>
        <w:rPr>
          <w:rFonts w:hint="eastAsia"/>
        </w:rPr>
        <w:t>增加以下内容到第9.4款：</w:t>
      </w:r>
    </w:p>
    <w:p>
      <w:pPr>
        <w:pStyle w:val="18"/>
        <w:spacing w:line="360" w:lineRule="auto"/>
        <w:ind w:left="0" w:leftChars="0" w:firstLine="420" w:firstLineChars="200"/>
        <w:rPr>
          <w:rFonts w:hAnsi="宋体"/>
          <w:szCs w:val="21"/>
          <w:u w:val="single"/>
        </w:rPr>
      </w:pPr>
      <w:r>
        <w:rPr>
          <w:rFonts w:hint="eastAsia" w:hAnsi="宋体"/>
          <w:szCs w:val="21"/>
        </w:rPr>
        <w:t>12.4.5 本合同</w:t>
      </w:r>
      <w:r>
        <w:rPr>
          <w:rFonts w:hAnsi="宋体"/>
          <w:szCs w:val="21"/>
        </w:rPr>
        <w:t>采用</w:t>
      </w:r>
      <w:permStart w:id="122" w:edGrp="everyone"/>
      <w:r>
        <w:rPr>
          <w:rFonts w:hint="eastAsia" w:hAnsi="宋体"/>
          <w:szCs w:val="21"/>
          <w:u w:val="single"/>
        </w:rPr>
        <w:t xml:space="preserve">  </w:t>
      </w:r>
      <w:r>
        <w:rPr>
          <w:rFonts w:hAnsi="宋体"/>
          <w:szCs w:val="21"/>
          <w:u w:val="single"/>
        </w:rPr>
        <w:t>总价</w:t>
      </w:r>
      <w:r>
        <w:rPr>
          <w:rFonts w:hint="eastAsia" w:hAnsi="宋体"/>
          <w:szCs w:val="21"/>
          <w:u w:val="single"/>
        </w:rPr>
        <w:t xml:space="preserve"> </w:t>
      </w:r>
      <w:permEnd w:id="122"/>
      <w:r>
        <w:rPr>
          <w:rFonts w:hint="eastAsia" w:hAnsi="宋体"/>
          <w:szCs w:val="21"/>
          <w:u w:val="single"/>
        </w:rPr>
        <w:t xml:space="preserve"> </w:t>
      </w:r>
      <w:r>
        <w:rPr>
          <w:rFonts w:hAnsi="宋体"/>
          <w:szCs w:val="21"/>
        </w:rPr>
        <w:t>形式，</w:t>
      </w:r>
      <w:r>
        <w:rPr>
          <w:rFonts w:hint="eastAsia" w:hAnsi="宋体"/>
          <w:szCs w:val="21"/>
        </w:rPr>
        <w:t>最终合同结算价为：</w:t>
      </w:r>
      <w:permStart w:id="123" w:edGrp="everyone"/>
      <w:r>
        <w:rPr>
          <w:rFonts w:hint="eastAsia" w:hAnsi="宋体"/>
          <w:szCs w:val="21"/>
          <w:u w:val="single"/>
        </w:rPr>
        <w:t>审定的初步设计概算</w:t>
      </w:r>
      <w:r>
        <w:rPr>
          <w:rFonts w:hint="eastAsia"/>
          <w:szCs w:val="21"/>
          <w:u w:val="single"/>
        </w:rPr>
        <w:t>（或施工图设计预算）</w:t>
      </w:r>
      <w:r>
        <w:rPr>
          <w:rFonts w:hint="eastAsia" w:hAnsi="宋体"/>
          <w:szCs w:val="21"/>
          <w:u w:val="single"/>
        </w:rPr>
        <w:t>为基数计算出的监理费×（1-投标下浮率 ）。</w:t>
      </w:r>
    </w:p>
    <w:p>
      <w:pPr>
        <w:pStyle w:val="18"/>
        <w:spacing w:line="360" w:lineRule="auto"/>
        <w:ind w:left="0" w:leftChars="0" w:firstLine="420" w:firstLineChars="200"/>
        <w:rPr>
          <w:rFonts w:hint="eastAsia" w:hAnsi="宋体"/>
          <w:szCs w:val="21"/>
        </w:rPr>
      </w:pPr>
      <w:r>
        <w:rPr>
          <w:rFonts w:hint="eastAsia" w:hAnsi="宋体"/>
          <w:szCs w:val="21"/>
          <w:u w:val="single"/>
        </w:rPr>
        <w:t>因规模变化需要调整可研、初设、施工图的，结算价按调整后批复的初设概算</w:t>
      </w:r>
      <w:r>
        <w:rPr>
          <w:rFonts w:hint="eastAsia"/>
          <w:szCs w:val="21"/>
          <w:u w:val="single"/>
        </w:rPr>
        <w:t>（或施工图设计预算）</w:t>
      </w:r>
      <w:r>
        <w:rPr>
          <w:rFonts w:hint="eastAsia" w:hAnsi="宋体"/>
          <w:szCs w:val="21"/>
          <w:u w:val="single"/>
        </w:rPr>
        <w:t>对应的监理费用×（1-投标下浮率）进行结算</w:t>
      </w:r>
      <w:r>
        <w:rPr>
          <w:rFonts w:hint="eastAsia" w:hAnsi="宋体"/>
          <w:szCs w:val="21"/>
        </w:rPr>
        <w:t>。</w:t>
      </w:r>
    </w:p>
    <w:permEnd w:id="123"/>
    <w:p>
      <w:pPr>
        <w:spacing w:line="360" w:lineRule="auto"/>
        <w:ind w:firstLine="420" w:firstLineChars="200"/>
      </w:pPr>
      <w:r>
        <w:rPr>
          <w:rFonts w:hint="eastAsia"/>
        </w:rPr>
        <w:t>增加以下内容到第9款：</w:t>
      </w:r>
    </w:p>
    <w:p>
      <w:pPr>
        <w:pStyle w:val="6"/>
        <w:spacing w:line="240" w:lineRule="auto"/>
        <w:ind w:firstLine="137"/>
        <w:rPr>
          <w:rFonts w:ascii="Times New Roman"/>
        </w:rPr>
      </w:pPr>
      <w:bookmarkStart w:id="241" w:name="_Toc9309"/>
      <w:r>
        <w:rPr>
          <w:rFonts w:hint="eastAsia" w:ascii="Times New Roman"/>
        </w:rPr>
        <w:t>9</w:t>
      </w:r>
      <w:r>
        <w:rPr>
          <w:rFonts w:ascii="Times New Roman"/>
        </w:rPr>
        <w:t>.</w:t>
      </w:r>
      <w:r>
        <w:rPr>
          <w:rFonts w:hint="eastAsia" w:ascii="Times New Roman"/>
        </w:rPr>
        <w:t>5</w:t>
      </w:r>
      <w:r>
        <w:rPr>
          <w:rFonts w:ascii="Times New Roman"/>
        </w:rPr>
        <w:t xml:space="preserve"> </w:t>
      </w:r>
      <w:r>
        <w:rPr>
          <w:rFonts w:hint="eastAsia" w:ascii="Times New Roman"/>
        </w:rPr>
        <w:t>其他</w:t>
      </w:r>
      <w:bookmarkEnd w:id="241"/>
    </w:p>
    <w:p>
      <w:pPr>
        <w:pStyle w:val="18"/>
        <w:spacing w:line="360" w:lineRule="auto"/>
        <w:rPr>
          <w:rFonts w:hAnsi="宋体"/>
          <w:b/>
          <w:bCs/>
          <w:szCs w:val="21"/>
        </w:rPr>
      </w:pPr>
      <w:r>
        <w:rPr>
          <w:rFonts w:hint="eastAsia" w:hAnsi="宋体"/>
          <w:b/>
          <w:bCs/>
          <w:szCs w:val="21"/>
        </w:rPr>
        <w:t>9.5.1</w:t>
      </w:r>
      <w:r>
        <w:rPr>
          <w:rFonts w:hint="eastAsia" w:hAnsi="宋体"/>
          <w:b/>
          <w:bCs/>
          <w:szCs w:val="21"/>
          <w:lang w:val="zh-CN"/>
        </w:rPr>
        <w:t xml:space="preserve"> 第三方向监理人的收费</w:t>
      </w:r>
    </w:p>
    <w:p>
      <w:pPr>
        <w:spacing w:line="360" w:lineRule="auto"/>
        <w:ind w:firstLine="420" w:firstLineChars="200"/>
        <w:rPr>
          <w:rFonts w:ascii="宋体" w:hAnsi="宋体" w:cs="宋体"/>
          <w:kern w:val="0"/>
          <w:szCs w:val="21"/>
          <w:u w:val="single"/>
          <w:lang w:val="zh-CN"/>
        </w:rPr>
      </w:pPr>
      <w:permStart w:id="124" w:edGrp="everyone"/>
      <w:r>
        <w:rPr>
          <w:rFonts w:hint="eastAsia" w:ascii="宋体" w:hAnsi="宋体" w:cs="宋体"/>
          <w:kern w:val="0"/>
          <w:szCs w:val="21"/>
          <w:u w:val="single"/>
          <w:lang w:val="zh-CN"/>
        </w:rPr>
        <w:t>合同印花税、公证费双方各半，其余双方各自交纳己方税费。</w:t>
      </w:r>
    </w:p>
    <w:permEnd w:id="124"/>
    <w:p>
      <w:pPr>
        <w:pStyle w:val="18"/>
        <w:spacing w:line="360" w:lineRule="auto"/>
        <w:rPr>
          <w:rFonts w:hAnsi="宋体"/>
          <w:b/>
          <w:bCs/>
          <w:szCs w:val="21"/>
        </w:rPr>
      </w:pPr>
      <w:r>
        <w:rPr>
          <w:rFonts w:hint="eastAsia" w:hAnsi="宋体"/>
          <w:b/>
          <w:bCs/>
          <w:szCs w:val="21"/>
        </w:rPr>
        <w:t>9.5.2 有争议的请款申请</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委托人如果对于监理人提交的请款申请中任何一项或其一部分提出异议，应迅速发出通知说明理由，但不得推迟对请款申请中的其余各项的付款。对最终确定应支付给监理人的所有有争议的款额，应执行第11</w:t>
      </w:r>
      <w:r>
        <w:rPr>
          <w:rFonts w:ascii="宋体" w:hAnsi="宋体" w:cs="宋体"/>
          <w:kern w:val="0"/>
          <w:szCs w:val="21"/>
        </w:rPr>
        <w:t>款的规定。</w:t>
      </w:r>
    </w:p>
    <w:p>
      <w:pPr>
        <w:pStyle w:val="18"/>
        <w:spacing w:line="360" w:lineRule="auto"/>
        <w:rPr>
          <w:rFonts w:hAnsi="宋体"/>
          <w:b/>
          <w:bCs/>
          <w:szCs w:val="21"/>
        </w:rPr>
      </w:pPr>
      <w:r>
        <w:rPr>
          <w:rFonts w:hint="eastAsia" w:hAnsi="宋体"/>
          <w:b/>
          <w:bCs/>
          <w:szCs w:val="21"/>
        </w:rPr>
        <w:t>9.5.3 独立审计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监理人应保存能清楚证明有关时间和费用的最新记录。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除了合同规定固定总价支付外，在完成或终止服务后12个月内，委托人在提前7日以上发出通知，要求由委托人指定一家有声誉的会计师事务所对监理人申报的任何金额进行审计，该审计应在正常工作时间内到保存记录的办公室内进行。</w:t>
      </w:r>
    </w:p>
    <w:p>
      <w:pPr>
        <w:pStyle w:val="18"/>
        <w:spacing w:line="360" w:lineRule="auto"/>
        <w:rPr>
          <w:rFonts w:hint="eastAsia" w:hAnsi="宋体"/>
          <w:szCs w:val="21"/>
          <w:u w:val="single"/>
        </w:rPr>
      </w:pPr>
      <w:r>
        <w:rPr>
          <w:rFonts w:hint="eastAsia" w:hAnsi="宋体"/>
          <w:szCs w:val="21"/>
        </w:rPr>
        <w:t>9.5.4 其他：</w:t>
      </w:r>
      <w:permStart w:id="125" w:edGrp="everyone"/>
      <w:r>
        <w:rPr>
          <w:rFonts w:hint="eastAsia" w:hAnsi="宋体"/>
          <w:szCs w:val="21"/>
          <w:u w:val="single"/>
        </w:rPr>
        <w:t xml:space="preserve">        。</w:t>
      </w:r>
      <w:permEnd w:id="125"/>
    </w:p>
    <w:p>
      <w:pPr>
        <w:pStyle w:val="5"/>
        <w:rPr>
          <w:rFonts w:ascii="Times New Roman" w:hAnsi="Times New Roman"/>
        </w:rPr>
      </w:pPr>
      <w:bookmarkStart w:id="242" w:name="_Toc14343"/>
      <w:r>
        <w:rPr>
          <w:rFonts w:ascii="Times New Roman" w:hAnsi="Times New Roman"/>
        </w:rPr>
        <w:t>1</w:t>
      </w:r>
      <w:r>
        <w:rPr>
          <w:rFonts w:hint="eastAsia" w:ascii="Times New Roman" w:hAnsi="Times New Roman"/>
        </w:rPr>
        <w:t>0</w:t>
      </w:r>
      <w:r>
        <w:rPr>
          <w:rFonts w:ascii="Times New Roman" w:hAnsi="Times New Roman"/>
        </w:rPr>
        <w:t>. 不可抗力</w:t>
      </w:r>
      <w:bookmarkEnd w:id="242"/>
    </w:p>
    <w:p>
      <w:pPr>
        <w:pStyle w:val="6"/>
        <w:spacing w:line="240" w:lineRule="auto"/>
        <w:ind w:firstLine="137"/>
        <w:rPr>
          <w:rFonts w:ascii="Times New Roman"/>
        </w:rPr>
      </w:pPr>
      <w:bookmarkStart w:id="243" w:name="_Toc8475"/>
      <w:r>
        <w:rPr>
          <w:rFonts w:ascii="Times New Roman"/>
        </w:rPr>
        <w:t>1</w:t>
      </w:r>
      <w:r>
        <w:rPr>
          <w:rFonts w:hint="eastAsia" w:ascii="Times New Roman"/>
        </w:rPr>
        <w:t>0</w:t>
      </w:r>
      <w:r>
        <w:rPr>
          <w:rFonts w:ascii="Times New Roman"/>
        </w:rPr>
        <w:t xml:space="preserve">.1 </w:t>
      </w:r>
      <w:r>
        <w:rPr>
          <w:rFonts w:hint="eastAsia" w:ascii="Times New Roman"/>
        </w:rPr>
        <w:t>不可抗力的确认</w:t>
      </w:r>
      <w:bookmarkEnd w:id="243"/>
    </w:p>
    <w:p>
      <w:pPr>
        <w:spacing w:line="360" w:lineRule="auto"/>
        <w:ind w:firstLine="420" w:firstLineChars="200"/>
      </w:pPr>
      <w:r>
        <w:rPr>
          <w:rFonts w:hint="eastAsia"/>
        </w:rPr>
        <w:t>增加以下内容到第10.1.1款：</w:t>
      </w:r>
    </w:p>
    <w:p>
      <w:pPr>
        <w:spacing w:line="360" w:lineRule="auto"/>
        <w:ind w:firstLine="420" w:firstLineChars="200"/>
        <w:rPr>
          <w:szCs w:val="21"/>
        </w:rPr>
      </w:pPr>
      <w:r>
        <w:rPr>
          <w:szCs w:val="21"/>
        </w:rPr>
        <w:t>不可抗力</w:t>
      </w:r>
      <w:r>
        <w:rPr>
          <w:rFonts w:hint="eastAsia"/>
          <w:szCs w:val="21"/>
        </w:rPr>
        <w:t>的其他情形：</w:t>
      </w:r>
      <w:permStart w:id="126" w:edGrp="everyone"/>
      <w:r>
        <w:rPr>
          <w:rFonts w:hint="eastAsia"/>
          <w:szCs w:val="21"/>
          <w:u w:val="single"/>
        </w:rPr>
        <w:t xml:space="preserve">            </w:t>
      </w:r>
      <w:r>
        <w:rPr>
          <w:szCs w:val="21"/>
        </w:rPr>
        <w:t>。</w:t>
      </w:r>
      <w:permEnd w:id="126"/>
    </w:p>
    <w:p>
      <w:pPr>
        <w:pStyle w:val="5"/>
        <w:rPr>
          <w:rFonts w:ascii="Times New Roman" w:hAnsi="Times New Roman"/>
        </w:rPr>
      </w:pPr>
      <w:bookmarkStart w:id="244" w:name="_Toc32213"/>
      <w:r>
        <w:rPr>
          <w:rFonts w:ascii="Times New Roman" w:hAnsi="Times New Roman"/>
        </w:rPr>
        <w:t>1</w:t>
      </w:r>
      <w:r>
        <w:rPr>
          <w:rFonts w:hint="eastAsia" w:ascii="Times New Roman" w:hAnsi="Times New Roman"/>
        </w:rPr>
        <w:t>1</w:t>
      </w:r>
      <w:r>
        <w:rPr>
          <w:rFonts w:ascii="Times New Roman" w:hAnsi="Times New Roman"/>
        </w:rPr>
        <w:t>. 违约</w:t>
      </w:r>
      <w:bookmarkEnd w:id="244"/>
    </w:p>
    <w:p>
      <w:pPr>
        <w:spacing w:line="360" w:lineRule="auto"/>
        <w:ind w:firstLine="420" w:firstLineChars="200"/>
      </w:pPr>
      <w:r>
        <w:rPr>
          <w:rFonts w:hint="eastAsia"/>
        </w:rPr>
        <w:t>增加以下内容到第11款：</w:t>
      </w:r>
    </w:p>
    <w:p>
      <w:pPr>
        <w:pStyle w:val="6"/>
        <w:spacing w:line="240" w:lineRule="auto"/>
        <w:ind w:firstLine="137"/>
        <w:rPr>
          <w:rFonts w:ascii="Times New Roman"/>
        </w:rPr>
      </w:pPr>
      <w:bookmarkStart w:id="245" w:name="_Toc21300"/>
      <w:r>
        <w:rPr>
          <w:rFonts w:ascii="Times New Roman"/>
        </w:rPr>
        <w:t>1</w:t>
      </w:r>
      <w:r>
        <w:rPr>
          <w:rFonts w:hint="eastAsia" w:ascii="Times New Roman"/>
        </w:rPr>
        <w:t>1</w:t>
      </w:r>
      <w:r>
        <w:rPr>
          <w:rFonts w:ascii="Times New Roman"/>
        </w:rPr>
        <w:t>.</w:t>
      </w:r>
      <w:r>
        <w:rPr>
          <w:rFonts w:hint="eastAsia" w:ascii="Times New Roman"/>
        </w:rPr>
        <w:t>4</w:t>
      </w:r>
      <w:r>
        <w:rPr>
          <w:rFonts w:ascii="Times New Roman"/>
        </w:rPr>
        <w:t xml:space="preserve"> </w:t>
      </w:r>
      <w:r>
        <w:rPr>
          <w:rFonts w:hint="eastAsia" w:ascii="Times New Roman"/>
        </w:rPr>
        <w:t>违约的处理</w:t>
      </w:r>
      <w:bookmarkEnd w:id="245"/>
    </w:p>
    <w:p>
      <w:pPr>
        <w:spacing w:line="360" w:lineRule="auto"/>
        <w:ind w:firstLine="420" w:firstLineChars="200"/>
        <w:rPr>
          <w:szCs w:val="21"/>
          <w:lang w:val="zh-CN"/>
        </w:rPr>
      </w:pPr>
      <w:r>
        <w:rPr>
          <w:rFonts w:hint="eastAsia"/>
          <w:szCs w:val="21"/>
        </w:rPr>
        <w:t xml:space="preserve">11.4.1 </w:t>
      </w:r>
      <w:r>
        <w:rPr>
          <w:rFonts w:hint="eastAsia"/>
          <w:szCs w:val="21"/>
          <w:lang w:val="zh-CN"/>
        </w:rPr>
        <w:t>如果认为任何一方对另一方负有违约责任时，则仅应按下列条件支付赔偿：</w:t>
      </w:r>
    </w:p>
    <w:p>
      <w:pPr>
        <w:spacing w:line="360" w:lineRule="auto"/>
        <w:ind w:firstLine="420" w:firstLineChars="200"/>
        <w:rPr>
          <w:szCs w:val="21"/>
          <w:lang w:val="zh-CN"/>
        </w:rPr>
      </w:pPr>
      <w:r>
        <w:rPr>
          <w:rFonts w:hint="eastAsia"/>
          <w:szCs w:val="21"/>
          <w:lang w:val="zh-CN"/>
        </w:rPr>
        <w:t>（</w:t>
      </w:r>
      <w:r>
        <w:rPr>
          <w:rFonts w:hint="eastAsia"/>
          <w:szCs w:val="21"/>
        </w:rPr>
        <w:t>1）</w:t>
      </w:r>
      <w:r>
        <w:rPr>
          <w:rFonts w:hint="eastAsia"/>
          <w:szCs w:val="21"/>
          <w:lang w:val="zh-CN"/>
        </w:rPr>
        <w:t>此类赔偿应限于由此违约所造成的可合理预见到的损失或损害的数额，而不牵连其他方面；</w:t>
      </w:r>
    </w:p>
    <w:p>
      <w:pPr>
        <w:spacing w:line="360" w:lineRule="auto"/>
        <w:ind w:firstLine="420" w:firstLineChars="200"/>
        <w:rPr>
          <w:szCs w:val="21"/>
          <w:lang w:val="zh-CN"/>
        </w:rPr>
      </w:pPr>
      <w:r>
        <w:rPr>
          <w:rFonts w:hint="eastAsia"/>
          <w:szCs w:val="21"/>
          <w:lang w:val="zh-CN"/>
        </w:rPr>
        <w:t>（</w:t>
      </w:r>
      <w:r>
        <w:rPr>
          <w:rFonts w:hint="eastAsia"/>
          <w:szCs w:val="21"/>
        </w:rPr>
        <w:t>2</w:t>
      </w:r>
      <w:r>
        <w:rPr>
          <w:rFonts w:hint="eastAsia"/>
          <w:szCs w:val="21"/>
          <w:lang w:val="zh-CN"/>
        </w:rPr>
        <w:t>）在任何情况下，此类赔偿的数额应限制在第</w:t>
      </w:r>
      <w:r>
        <w:rPr>
          <w:rFonts w:hint="eastAsia"/>
          <w:szCs w:val="21"/>
        </w:rPr>
        <w:t>11.4.3</w:t>
      </w:r>
      <w:r>
        <w:rPr>
          <w:rFonts w:hint="eastAsia"/>
          <w:szCs w:val="21"/>
          <w:lang w:val="zh-CN"/>
        </w:rPr>
        <w:t>款规定的数额；</w:t>
      </w:r>
    </w:p>
    <w:p>
      <w:pPr>
        <w:spacing w:line="360" w:lineRule="auto"/>
        <w:ind w:firstLine="420" w:firstLineChars="200"/>
        <w:rPr>
          <w:szCs w:val="21"/>
          <w:lang w:val="zh-CN"/>
        </w:rPr>
      </w:pPr>
      <w:r>
        <w:rPr>
          <w:rFonts w:hint="eastAsia"/>
          <w:szCs w:val="21"/>
          <w:lang w:val="zh-CN"/>
        </w:rPr>
        <w:t>（</w:t>
      </w:r>
      <w:r>
        <w:rPr>
          <w:rFonts w:hint="eastAsia"/>
          <w:szCs w:val="21"/>
        </w:rPr>
        <w:t>3</w:t>
      </w:r>
      <w:r>
        <w:rPr>
          <w:rFonts w:hint="eastAsia"/>
          <w:szCs w:val="21"/>
          <w:lang w:val="zh-CN"/>
        </w:rPr>
        <w:t>）如果认为任何一方与第三方共同对另一方负有责任时，任何一方有义务承担违约的全部责任。</w:t>
      </w:r>
    </w:p>
    <w:p>
      <w:pPr>
        <w:spacing w:line="360" w:lineRule="auto"/>
        <w:ind w:firstLine="420" w:firstLineChars="200"/>
        <w:rPr>
          <w:szCs w:val="21"/>
        </w:rPr>
      </w:pPr>
      <w:r>
        <w:rPr>
          <w:rFonts w:hint="eastAsia"/>
          <w:szCs w:val="21"/>
          <w:lang w:val="zh-CN"/>
        </w:rPr>
        <w:t>（</w:t>
      </w:r>
      <w:r>
        <w:rPr>
          <w:rFonts w:hint="eastAsia"/>
          <w:szCs w:val="21"/>
        </w:rPr>
        <w:t>4</w:t>
      </w:r>
      <w:r>
        <w:rPr>
          <w:rFonts w:hint="eastAsia"/>
          <w:szCs w:val="21"/>
          <w:lang w:val="zh-CN"/>
        </w:rPr>
        <w:t>）监理人不为在其服务范围外的由于委托人等他方的任何行为造成的任何损失承担责任；</w:t>
      </w:r>
    </w:p>
    <w:p>
      <w:pPr>
        <w:spacing w:line="360" w:lineRule="auto"/>
        <w:ind w:firstLine="420" w:firstLineChars="200"/>
        <w:rPr>
          <w:szCs w:val="21"/>
        </w:rPr>
      </w:pPr>
      <w:r>
        <w:rPr>
          <w:rFonts w:hint="eastAsia"/>
          <w:szCs w:val="21"/>
        </w:rPr>
        <w:t>（5）监理人应在知道或应当知道索赔事件发生后28 天内，向委托人递交索赔意向通知书，并说明发生索赔事件的事由。</w:t>
      </w:r>
    </w:p>
    <w:p>
      <w:pPr>
        <w:spacing w:line="360" w:lineRule="auto"/>
        <w:ind w:firstLine="420" w:firstLineChars="200"/>
        <w:rPr>
          <w:szCs w:val="21"/>
        </w:rPr>
      </w:pPr>
      <w:r>
        <w:rPr>
          <w:rFonts w:hint="eastAsia"/>
          <w:szCs w:val="21"/>
        </w:rPr>
        <w:t>除赔偿外，委托人有权根据监理人违约的严重程度采取以下措施，监理人应予以接受：</w:t>
      </w:r>
    </w:p>
    <w:p>
      <w:pPr>
        <w:spacing w:line="360" w:lineRule="auto"/>
        <w:ind w:firstLine="422" w:firstLineChars="200"/>
        <w:rPr>
          <w:b/>
          <w:bCs/>
          <w:szCs w:val="21"/>
        </w:rPr>
      </w:pPr>
      <w:r>
        <w:rPr>
          <w:rFonts w:cs="Calibri"/>
          <w:b/>
          <w:bCs/>
          <w:szCs w:val="21"/>
        </w:rPr>
        <w:t>①</w:t>
      </w:r>
      <w:r>
        <w:rPr>
          <w:rFonts w:hint="eastAsia"/>
          <w:b/>
          <w:bCs/>
          <w:szCs w:val="21"/>
        </w:rPr>
        <w:t>书面警告</w:t>
      </w:r>
    </w:p>
    <w:p>
      <w:pPr>
        <w:spacing w:line="360" w:lineRule="auto"/>
        <w:ind w:firstLine="420" w:firstLineChars="200"/>
        <w:rPr>
          <w:szCs w:val="21"/>
        </w:rPr>
      </w:pPr>
      <w:r>
        <w:rPr>
          <w:rFonts w:hint="eastAsia"/>
          <w:szCs w:val="21"/>
        </w:rPr>
        <w:t>如果监理人有下列行为，委托人应有权向监理人发出书面</w:t>
      </w:r>
      <w:r>
        <w:rPr>
          <w:szCs w:val="21"/>
        </w:rPr>
        <w:t>警告</w:t>
      </w:r>
      <w:r>
        <w:rPr>
          <w:rFonts w:hint="eastAsia"/>
          <w:szCs w:val="21"/>
        </w:rPr>
        <w:t>：</w:t>
      </w:r>
    </w:p>
    <w:p>
      <w:pPr>
        <w:spacing w:line="360" w:lineRule="auto"/>
        <w:ind w:firstLine="422" w:firstLineChars="200"/>
        <w:rPr>
          <w:b/>
          <w:bCs/>
          <w:szCs w:val="21"/>
        </w:rPr>
      </w:pPr>
      <w:r>
        <w:rPr>
          <w:rFonts w:hint="eastAsia"/>
          <w:b/>
          <w:bCs/>
          <w:szCs w:val="21"/>
        </w:rPr>
        <w:t>A</w:t>
      </w:r>
      <w:r>
        <w:rPr>
          <w:b/>
          <w:bCs/>
          <w:szCs w:val="21"/>
        </w:rPr>
        <w:t xml:space="preserve"> </w:t>
      </w:r>
      <w:r>
        <w:rPr>
          <w:rFonts w:hint="eastAsia"/>
          <w:b/>
          <w:bCs/>
          <w:szCs w:val="21"/>
        </w:rPr>
        <w:t>采购</w:t>
      </w:r>
      <w:r>
        <w:rPr>
          <w:b/>
          <w:bCs/>
          <w:szCs w:val="21"/>
        </w:rPr>
        <w:t>管理</w:t>
      </w:r>
    </w:p>
    <w:p>
      <w:pPr>
        <w:spacing w:line="360" w:lineRule="auto"/>
        <w:ind w:firstLine="420" w:firstLineChars="200"/>
        <w:rPr>
          <w:szCs w:val="21"/>
        </w:rPr>
      </w:pPr>
      <w:r>
        <w:rPr>
          <w:rFonts w:hint="eastAsia"/>
          <w:szCs w:val="21"/>
        </w:rPr>
        <w:t>a. 若监理人连续两年呈红灯状态(N≥12分),除书面警告外,还可以停止其12个月以上参与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基建工程投标资格（或经公司决定延长）以外，同时进行以下处罚：</w:t>
      </w:r>
    </w:p>
    <w:p>
      <w:pPr>
        <w:spacing w:line="360" w:lineRule="auto"/>
        <w:ind w:firstLine="420" w:firstLineChars="200"/>
        <w:rPr>
          <w:szCs w:val="21"/>
        </w:rPr>
      </w:pPr>
      <w:r>
        <w:rPr>
          <w:rFonts w:hint="eastAsia"/>
          <w:szCs w:val="21"/>
        </w:rPr>
        <w:t>（a）不认可原审核钻级；</w:t>
      </w:r>
    </w:p>
    <w:p>
      <w:pPr>
        <w:spacing w:line="360" w:lineRule="auto"/>
        <w:ind w:firstLine="420" w:firstLineChars="200"/>
        <w:rPr>
          <w:szCs w:val="21"/>
        </w:rPr>
      </w:pPr>
      <w:r>
        <w:rPr>
          <w:rFonts w:hint="eastAsia"/>
          <w:szCs w:val="21"/>
        </w:rPr>
        <w:t>（b）停止本年度及下一年度前6个月审核安排；</w:t>
      </w:r>
    </w:p>
    <w:p>
      <w:pPr>
        <w:spacing w:line="360" w:lineRule="auto"/>
        <w:ind w:firstLine="420" w:firstLineChars="200"/>
        <w:rPr>
          <w:szCs w:val="21"/>
        </w:rPr>
      </w:pPr>
      <w:r>
        <w:rPr>
          <w:rFonts w:hint="eastAsia"/>
          <w:szCs w:val="21"/>
        </w:rPr>
        <w:t>（c）取消原钻级招标加分。</w:t>
      </w:r>
    </w:p>
    <w:p>
      <w:pPr>
        <w:spacing w:line="360" w:lineRule="auto"/>
        <w:ind w:firstLine="420" w:firstLineChars="200"/>
        <w:rPr>
          <w:szCs w:val="21"/>
        </w:rPr>
      </w:pPr>
      <w:r>
        <w:rPr>
          <w:rFonts w:hint="eastAsia"/>
          <w:szCs w:val="21"/>
        </w:rPr>
        <w:t>b. 若监理人一年呈红灯状态(N≥12分)，除书面警告外,还可以立即取消其评价结果，待处罚期满验收合格后，由原评价单位对该</w:t>
      </w:r>
      <w:r>
        <w:rPr>
          <w:rFonts w:hint="eastAsia"/>
          <w:szCs w:val="21"/>
          <w:lang w:val="en-US" w:eastAsia="zh-CN"/>
        </w:rPr>
        <w:t>监理人</w:t>
      </w:r>
      <w:r>
        <w:rPr>
          <w:rFonts w:hint="eastAsia"/>
          <w:szCs w:val="21"/>
        </w:rPr>
        <w:t>上一年度评价结果进行修正，并停止其3-12个月内参与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基建工程投标资格（情节严重的，经公司决定可延长），同时进行以下处罚：</w:t>
      </w:r>
    </w:p>
    <w:p>
      <w:pPr>
        <w:spacing w:line="360" w:lineRule="auto"/>
        <w:ind w:firstLine="420" w:firstLineChars="200"/>
        <w:rPr>
          <w:szCs w:val="21"/>
        </w:rPr>
      </w:pPr>
      <w:r>
        <w:rPr>
          <w:rFonts w:hint="eastAsia"/>
          <w:szCs w:val="21"/>
        </w:rPr>
        <w:t>（a）所认可的审核钻级降两级；</w:t>
      </w:r>
    </w:p>
    <w:p>
      <w:pPr>
        <w:spacing w:line="360" w:lineRule="auto"/>
        <w:ind w:firstLine="420" w:firstLineChars="200"/>
        <w:rPr>
          <w:szCs w:val="21"/>
        </w:rPr>
      </w:pPr>
      <w:r>
        <w:rPr>
          <w:rFonts w:hint="eastAsia"/>
          <w:szCs w:val="21"/>
        </w:rPr>
        <w:t>（b）停止本年度审核安排；</w:t>
      </w:r>
    </w:p>
    <w:p>
      <w:pPr>
        <w:spacing w:line="360" w:lineRule="auto"/>
        <w:ind w:firstLine="420" w:firstLineChars="200"/>
        <w:rPr>
          <w:szCs w:val="21"/>
        </w:rPr>
      </w:pPr>
      <w:r>
        <w:rPr>
          <w:rFonts w:hint="eastAsia"/>
          <w:szCs w:val="21"/>
        </w:rPr>
        <w:t>（c）一年内取消招标加分。</w:t>
      </w:r>
    </w:p>
    <w:p>
      <w:pPr>
        <w:spacing w:line="360" w:lineRule="auto"/>
        <w:ind w:firstLine="420" w:firstLineChars="200"/>
        <w:rPr>
          <w:szCs w:val="21"/>
        </w:rPr>
      </w:pPr>
      <w:r>
        <w:rPr>
          <w:rFonts w:hint="eastAsia"/>
          <w:szCs w:val="21"/>
        </w:rPr>
        <w:t>c. 若监理人连续两年呈黄灯状态（6分≤N＜12分）, 除书面警告外,还可以停止其3-12个月内参与</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w:t>
      </w:r>
      <w:r>
        <w:rPr>
          <w:rFonts w:hint="eastAsia"/>
          <w:szCs w:val="21"/>
          <w:lang w:val="en-US" w:eastAsia="zh-CN"/>
        </w:rPr>
        <w:t>范围内</w:t>
      </w:r>
      <w:r>
        <w:rPr>
          <w:rFonts w:hint="eastAsia"/>
          <w:szCs w:val="21"/>
        </w:rPr>
        <w:t>基建工程投标资格以外，同时进行以下处罚：</w:t>
      </w:r>
    </w:p>
    <w:p>
      <w:pPr>
        <w:spacing w:line="360" w:lineRule="auto"/>
        <w:ind w:firstLine="420" w:firstLineChars="200"/>
        <w:rPr>
          <w:szCs w:val="21"/>
        </w:rPr>
      </w:pPr>
      <w:r>
        <w:rPr>
          <w:rFonts w:hint="eastAsia"/>
          <w:szCs w:val="21"/>
        </w:rPr>
        <w:t>（a）所认可的审核钻级降一级；</w:t>
      </w:r>
    </w:p>
    <w:p>
      <w:pPr>
        <w:spacing w:line="360" w:lineRule="auto"/>
        <w:ind w:firstLine="420" w:firstLineChars="200"/>
        <w:rPr>
          <w:szCs w:val="21"/>
        </w:rPr>
      </w:pPr>
      <w:r>
        <w:rPr>
          <w:rFonts w:hint="eastAsia"/>
          <w:szCs w:val="21"/>
        </w:rPr>
        <w:t>（b）停止本年度审核安排；</w:t>
      </w:r>
    </w:p>
    <w:p>
      <w:pPr>
        <w:spacing w:line="360" w:lineRule="auto"/>
        <w:ind w:firstLine="420" w:firstLineChars="200"/>
        <w:rPr>
          <w:szCs w:val="21"/>
        </w:rPr>
      </w:pPr>
      <w:r>
        <w:rPr>
          <w:rFonts w:hint="eastAsia"/>
          <w:szCs w:val="21"/>
        </w:rPr>
        <w:t>（c）一年内取消招标加分。</w:t>
      </w:r>
    </w:p>
    <w:p>
      <w:pPr>
        <w:spacing w:line="360" w:lineRule="auto"/>
        <w:ind w:firstLine="420" w:firstLineChars="200"/>
        <w:rPr>
          <w:szCs w:val="21"/>
        </w:rPr>
      </w:pPr>
      <w:r>
        <w:rPr>
          <w:rFonts w:hint="eastAsia"/>
          <w:szCs w:val="21"/>
        </w:rPr>
        <w:t>d. 若监理人一年呈黄灯状态（6分≤N＜12分）, 除书面警告外,还可以要求企业安全第一责任人及分管负责人参加公司组织的安全教育以及在专题会议上发言，不按要求参加安全教育或未通过考核的将对该承包商处以暂停承接电网建设工程资格三个月的处罚（从处罚生效之日起计算），同时进行以下处罚：</w:t>
      </w:r>
    </w:p>
    <w:p>
      <w:pPr>
        <w:spacing w:line="360" w:lineRule="auto"/>
        <w:ind w:firstLine="420" w:firstLineChars="200"/>
        <w:rPr>
          <w:szCs w:val="21"/>
        </w:rPr>
      </w:pPr>
      <w:r>
        <w:rPr>
          <w:rFonts w:hint="eastAsia"/>
          <w:szCs w:val="21"/>
        </w:rPr>
        <w:t>（a）对原审核钻级进行复核；</w:t>
      </w:r>
    </w:p>
    <w:p>
      <w:pPr>
        <w:spacing w:line="360" w:lineRule="auto"/>
        <w:ind w:firstLine="420" w:firstLineChars="200"/>
        <w:rPr>
          <w:szCs w:val="21"/>
        </w:rPr>
      </w:pPr>
      <w:r>
        <w:rPr>
          <w:rFonts w:hint="eastAsia"/>
          <w:szCs w:val="21"/>
        </w:rPr>
        <w:t>（b）停止本年度审核安排；</w:t>
      </w:r>
    </w:p>
    <w:p>
      <w:pPr>
        <w:spacing w:line="360" w:lineRule="auto"/>
        <w:ind w:firstLine="420" w:firstLineChars="200"/>
        <w:rPr>
          <w:szCs w:val="21"/>
        </w:rPr>
      </w:pPr>
      <w:r>
        <w:rPr>
          <w:rFonts w:hint="eastAsia"/>
          <w:szCs w:val="21"/>
        </w:rPr>
        <w:t>（c）一年内在复核钻级招标加分基础上扣减0.5分。</w:t>
      </w:r>
    </w:p>
    <w:p>
      <w:pPr>
        <w:spacing w:line="360" w:lineRule="auto"/>
        <w:ind w:firstLine="420" w:firstLineChars="200"/>
        <w:rPr>
          <w:szCs w:val="21"/>
        </w:rPr>
      </w:pPr>
      <w:r>
        <w:rPr>
          <w:rFonts w:hint="eastAsia"/>
          <w:szCs w:val="21"/>
        </w:rPr>
        <w:t>e. 监理人未根据南方电网公司基建承包商管理要求做好登记建档工作。</w:t>
      </w:r>
    </w:p>
    <w:p>
      <w:pPr>
        <w:spacing w:line="360" w:lineRule="auto"/>
        <w:ind w:firstLine="422" w:firstLineChars="200"/>
        <w:rPr>
          <w:b/>
          <w:bCs/>
          <w:szCs w:val="21"/>
        </w:rPr>
      </w:pPr>
      <w:r>
        <w:rPr>
          <w:rFonts w:hint="eastAsia"/>
          <w:b/>
          <w:bCs/>
          <w:szCs w:val="21"/>
        </w:rPr>
        <w:t>B</w:t>
      </w:r>
      <w:r>
        <w:rPr>
          <w:b/>
          <w:bCs/>
          <w:szCs w:val="21"/>
        </w:rPr>
        <w:t xml:space="preserve"> </w:t>
      </w:r>
      <w:r>
        <w:rPr>
          <w:rFonts w:hint="eastAsia"/>
          <w:b/>
          <w:bCs/>
          <w:szCs w:val="21"/>
        </w:rPr>
        <w:t>安全质量</w:t>
      </w:r>
      <w:r>
        <w:rPr>
          <w:b/>
          <w:bCs/>
          <w:szCs w:val="21"/>
        </w:rPr>
        <w:t>管理</w:t>
      </w:r>
    </w:p>
    <w:p>
      <w:pPr>
        <w:spacing w:line="360" w:lineRule="auto"/>
        <w:ind w:firstLine="420" w:firstLineChars="200"/>
        <w:rPr>
          <w:szCs w:val="21"/>
        </w:rPr>
      </w:pPr>
      <w:r>
        <w:rPr>
          <w:rFonts w:hint="eastAsia"/>
          <w:szCs w:val="21"/>
        </w:rPr>
        <w:t>a. 工程建设过程中发生一、二级电力安全事件；除进行书面警告，还需</w:t>
      </w:r>
      <w:r>
        <w:rPr>
          <w:szCs w:val="21"/>
        </w:rPr>
        <w:t>在</w:t>
      </w:r>
      <w:r>
        <w:rPr>
          <w:rFonts w:hint="eastAsia"/>
          <w:szCs w:val="21"/>
        </w:rPr>
        <w:t>其</w:t>
      </w:r>
      <w:r>
        <w:rPr>
          <w:szCs w:val="21"/>
        </w:rPr>
        <w:t>3-6个月内评标中扣1-3分，或停止其3-6个月内参与投标资格</w:t>
      </w:r>
      <w:r>
        <w:rPr>
          <w:rFonts w:hint="eastAsia"/>
          <w:szCs w:val="21"/>
        </w:rPr>
        <w:t>。</w:t>
      </w:r>
    </w:p>
    <w:p>
      <w:pPr>
        <w:spacing w:line="360" w:lineRule="auto"/>
        <w:ind w:firstLine="420" w:firstLineChars="200"/>
        <w:rPr>
          <w:szCs w:val="21"/>
        </w:rPr>
      </w:pPr>
      <w:r>
        <w:rPr>
          <w:rFonts w:hint="eastAsia"/>
          <w:szCs w:val="21"/>
        </w:rPr>
        <w:t>b. 监理人在基建安全管理中未贯彻安全生产方针，未制定安全生产责任制，未将安全责任制落实到项目总监、安全监理工程师、现场监理人员等具体岗位；</w:t>
      </w:r>
    </w:p>
    <w:p>
      <w:pPr>
        <w:spacing w:line="360" w:lineRule="auto"/>
        <w:ind w:firstLine="420" w:firstLineChars="200"/>
        <w:rPr>
          <w:szCs w:val="21"/>
        </w:rPr>
      </w:pPr>
      <w:r>
        <w:rPr>
          <w:rFonts w:hint="eastAsia"/>
          <w:szCs w:val="21"/>
        </w:rPr>
        <w:t>c. 监理人未按照要求的时间审查承包人报审的施工组织设计、施工方案、专项方案等技术文件，并签署监理意见，导致工程无法开工而影响工程进度；</w:t>
      </w:r>
    </w:p>
    <w:p>
      <w:pPr>
        <w:spacing w:line="360" w:lineRule="auto"/>
        <w:ind w:firstLine="420" w:firstLineChars="200"/>
        <w:rPr>
          <w:szCs w:val="21"/>
        </w:rPr>
      </w:pPr>
      <w:r>
        <w:rPr>
          <w:rFonts w:hint="eastAsia"/>
          <w:szCs w:val="21"/>
        </w:rPr>
        <w:t>d. 监理人未监督承包人执行基建安全“四步法”或对执行基建安全“四步法”不到位的承包人未采取有效措施；</w:t>
      </w:r>
    </w:p>
    <w:p>
      <w:pPr>
        <w:spacing w:line="360" w:lineRule="auto"/>
        <w:ind w:firstLine="420" w:firstLineChars="200"/>
        <w:rPr>
          <w:szCs w:val="21"/>
        </w:rPr>
      </w:pPr>
      <w:r>
        <w:rPr>
          <w:rFonts w:hint="eastAsia"/>
          <w:szCs w:val="21"/>
        </w:rPr>
        <w:t>e. 监理人未督促承包人对施工机具开展“八步骤”管理或对施工机具“八步骤”管理不到位的承包人未采取有效措施；</w:t>
      </w:r>
    </w:p>
    <w:p>
      <w:pPr>
        <w:spacing w:line="360" w:lineRule="auto"/>
        <w:ind w:firstLine="420" w:firstLineChars="200"/>
        <w:rPr>
          <w:szCs w:val="21"/>
        </w:rPr>
      </w:pPr>
      <w:r>
        <w:rPr>
          <w:rFonts w:hint="eastAsia"/>
          <w:szCs w:val="21"/>
        </w:rPr>
        <w:t>f. 监理人未监督承包人在基建项目现场推进“7S”管理，或对“7S”管理不到位的承包人未采取有效措施；</w:t>
      </w:r>
    </w:p>
    <w:p>
      <w:pPr>
        <w:spacing w:line="360" w:lineRule="auto"/>
        <w:ind w:firstLine="420" w:firstLineChars="200"/>
        <w:rPr>
          <w:szCs w:val="21"/>
        </w:rPr>
      </w:pPr>
      <w:r>
        <w:rPr>
          <w:rFonts w:hint="eastAsia"/>
          <w:szCs w:val="21"/>
        </w:rPr>
        <w:t>g. 监理人未按照相关规定设置安全管理机构，不服从委托人管理；缺席安全会议三次；</w:t>
      </w:r>
    </w:p>
    <w:p>
      <w:pPr>
        <w:spacing w:line="360" w:lineRule="auto"/>
        <w:ind w:firstLine="420" w:firstLineChars="200"/>
        <w:rPr>
          <w:szCs w:val="21"/>
        </w:rPr>
      </w:pPr>
      <w:r>
        <w:rPr>
          <w:rFonts w:hint="eastAsia"/>
          <w:szCs w:val="21"/>
        </w:rPr>
        <w:t>h. 监理人未建立有效的应急机构，未按照项目管理部门发布的工作要求开展应急响应工作；</w:t>
      </w:r>
    </w:p>
    <w:p>
      <w:pPr>
        <w:spacing w:line="360" w:lineRule="auto"/>
        <w:ind w:firstLine="420" w:firstLineChars="200"/>
        <w:rPr>
          <w:szCs w:val="21"/>
        </w:rPr>
      </w:pPr>
      <w:r>
        <w:rPr>
          <w:rFonts w:hint="eastAsia"/>
          <w:szCs w:val="21"/>
        </w:rPr>
        <w:t>i. 监理人未监督承包人按照最新的《中国南方电网有限责任公司电网建设施工作业指导书》、《10kV～500kV输变电及配电工程质量验收与评定标准》开展施工、安装、验收等工作，对落实不到位的承包人未采取有效措施。</w:t>
      </w:r>
    </w:p>
    <w:p>
      <w:pPr>
        <w:spacing w:line="360" w:lineRule="auto"/>
        <w:ind w:firstLine="422" w:firstLineChars="200"/>
        <w:rPr>
          <w:b/>
          <w:bCs/>
          <w:szCs w:val="21"/>
        </w:rPr>
      </w:pPr>
      <w:r>
        <w:rPr>
          <w:rFonts w:hint="eastAsia"/>
          <w:b/>
          <w:bCs/>
          <w:szCs w:val="21"/>
        </w:rPr>
        <w:t>C</w:t>
      </w:r>
      <w:r>
        <w:rPr>
          <w:b/>
          <w:bCs/>
          <w:szCs w:val="21"/>
        </w:rPr>
        <w:t xml:space="preserve"> </w:t>
      </w:r>
      <w:r>
        <w:rPr>
          <w:rFonts w:hint="eastAsia"/>
          <w:b/>
          <w:bCs/>
          <w:szCs w:val="21"/>
        </w:rPr>
        <w:t>造价</w:t>
      </w:r>
      <w:r>
        <w:rPr>
          <w:b/>
          <w:bCs/>
          <w:szCs w:val="21"/>
        </w:rPr>
        <w:t>管理</w:t>
      </w:r>
    </w:p>
    <w:p>
      <w:pPr>
        <w:spacing w:line="360" w:lineRule="auto"/>
        <w:ind w:firstLine="420" w:firstLineChars="200"/>
        <w:rPr>
          <w:szCs w:val="21"/>
        </w:rPr>
      </w:pPr>
      <w:r>
        <w:rPr>
          <w:rFonts w:hint="eastAsia"/>
          <w:szCs w:val="21"/>
        </w:rPr>
        <w:t>监理人未履行合同约定造价管理义务。</w:t>
      </w:r>
    </w:p>
    <w:p>
      <w:pPr>
        <w:spacing w:line="360" w:lineRule="auto"/>
        <w:ind w:firstLine="422" w:firstLineChars="200"/>
        <w:rPr>
          <w:b/>
          <w:bCs/>
          <w:szCs w:val="21"/>
        </w:rPr>
      </w:pPr>
      <w:r>
        <w:rPr>
          <w:rFonts w:hint="eastAsia"/>
          <w:b/>
          <w:bCs/>
          <w:szCs w:val="21"/>
        </w:rPr>
        <w:t>D 综合</w:t>
      </w:r>
      <w:r>
        <w:rPr>
          <w:b/>
          <w:bCs/>
          <w:szCs w:val="21"/>
        </w:rPr>
        <w:t>管理</w:t>
      </w:r>
    </w:p>
    <w:p>
      <w:pPr>
        <w:spacing w:line="360" w:lineRule="auto"/>
        <w:ind w:firstLine="420" w:firstLineChars="200"/>
        <w:rPr>
          <w:szCs w:val="21"/>
        </w:rPr>
      </w:pPr>
      <w:r>
        <w:rPr>
          <w:rFonts w:hint="eastAsia"/>
          <w:szCs w:val="21"/>
        </w:rPr>
        <w:t>监理</w:t>
      </w:r>
      <w:r>
        <w:rPr>
          <w:szCs w:val="21"/>
        </w:rPr>
        <w:t>人</w:t>
      </w:r>
      <w:r>
        <w:rPr>
          <w:rFonts w:hint="eastAsia"/>
          <w:szCs w:val="21"/>
        </w:rPr>
        <w:t>未</w:t>
      </w:r>
      <w:r>
        <w:rPr>
          <w:szCs w:val="21"/>
        </w:rPr>
        <w:t>根据工程进展实际情况，及时更新信息系统数据，并保证数据质量</w:t>
      </w:r>
      <w:r>
        <w:rPr>
          <w:rFonts w:hint="eastAsia"/>
          <w:szCs w:val="21"/>
        </w:rPr>
        <w:t>，详见第11.1款规定。</w:t>
      </w:r>
    </w:p>
    <w:p>
      <w:pPr>
        <w:spacing w:line="360" w:lineRule="auto"/>
        <w:ind w:firstLine="422" w:firstLineChars="200"/>
        <w:rPr>
          <w:b/>
          <w:bCs/>
          <w:szCs w:val="21"/>
        </w:rPr>
      </w:pPr>
      <w:r>
        <w:rPr>
          <w:rFonts w:cs="Calibri"/>
          <w:b/>
          <w:bCs/>
          <w:szCs w:val="21"/>
        </w:rPr>
        <w:t>②</w:t>
      </w:r>
      <w:r>
        <w:rPr>
          <w:rFonts w:hint="eastAsia"/>
          <w:b/>
          <w:bCs/>
          <w:szCs w:val="21"/>
        </w:rPr>
        <w:t xml:space="preserve">经济索赔 </w:t>
      </w:r>
    </w:p>
    <w:p>
      <w:pPr>
        <w:spacing w:line="360" w:lineRule="auto"/>
        <w:ind w:firstLine="420" w:firstLineChars="200"/>
        <w:rPr>
          <w:szCs w:val="21"/>
        </w:rPr>
      </w:pPr>
      <w:r>
        <w:rPr>
          <w:rFonts w:hint="eastAsia"/>
          <w:szCs w:val="21"/>
        </w:rPr>
        <w:t>如果监理人有下列行为，委托人应有权向监理人提出</w:t>
      </w:r>
      <w:r>
        <w:rPr>
          <w:szCs w:val="21"/>
        </w:rPr>
        <w:t>经济索赔</w:t>
      </w:r>
      <w:r>
        <w:rPr>
          <w:rFonts w:hint="eastAsia"/>
          <w:szCs w:val="21"/>
        </w:rPr>
        <w:t>，每发生一次扣除合同总额的0.2%，累计最多可扣除合同总额的1%：</w:t>
      </w:r>
    </w:p>
    <w:p>
      <w:pPr>
        <w:spacing w:line="360" w:lineRule="auto"/>
        <w:ind w:firstLine="422" w:firstLineChars="200"/>
        <w:rPr>
          <w:b/>
          <w:bCs/>
          <w:szCs w:val="21"/>
        </w:rPr>
      </w:pPr>
      <w:r>
        <w:rPr>
          <w:rFonts w:hint="eastAsia"/>
          <w:b/>
          <w:bCs/>
          <w:szCs w:val="21"/>
        </w:rPr>
        <w:t>A采购管理</w:t>
      </w:r>
    </w:p>
    <w:p>
      <w:pPr>
        <w:spacing w:line="360" w:lineRule="auto"/>
        <w:ind w:firstLine="420" w:firstLineChars="200"/>
        <w:rPr>
          <w:szCs w:val="21"/>
        </w:rPr>
      </w:pPr>
      <w:r>
        <w:rPr>
          <w:rFonts w:hint="eastAsia"/>
          <w:szCs w:val="21"/>
        </w:rPr>
        <w:t>a. 监理人</w:t>
      </w:r>
      <w:r>
        <w:rPr>
          <w:rFonts w:hint="eastAsia"/>
          <w:szCs w:val="21"/>
          <w:lang w:val="en-US" w:eastAsia="zh-CN"/>
        </w:rPr>
        <w:t>未</w:t>
      </w:r>
      <w:r>
        <w:rPr>
          <w:rFonts w:hint="eastAsia"/>
          <w:szCs w:val="21"/>
        </w:rPr>
        <w:t>根据南方电网公司基建承包商管理要求做好登记建档工作，经三次警告后仍未按要求完成登记建档工作的，最多可扣罚监理人合同总额的1%。</w:t>
      </w:r>
    </w:p>
    <w:p>
      <w:pPr>
        <w:spacing w:line="360" w:lineRule="auto"/>
        <w:ind w:firstLine="420" w:firstLineChars="200"/>
        <w:rPr>
          <w:szCs w:val="21"/>
        </w:rPr>
      </w:pPr>
      <w:r>
        <w:rPr>
          <w:rFonts w:hint="eastAsia"/>
          <w:szCs w:val="21"/>
        </w:rPr>
        <w:t xml:space="preserve">b. </w:t>
      </w:r>
      <w:r>
        <w:rPr>
          <w:szCs w:val="21"/>
        </w:rPr>
        <w:t>在工程建设过程中</w:t>
      </w:r>
      <w:r>
        <w:rPr>
          <w:rFonts w:hint="eastAsia"/>
          <w:szCs w:val="21"/>
        </w:rPr>
        <w:t>监理人</w:t>
      </w:r>
      <w:r>
        <w:rPr>
          <w:szCs w:val="21"/>
        </w:rPr>
        <w:t>存在转包、</w:t>
      </w:r>
      <w:r>
        <w:rPr>
          <w:rFonts w:hint="eastAsia"/>
          <w:szCs w:val="21"/>
        </w:rPr>
        <w:t>违法</w:t>
      </w:r>
      <w:r>
        <w:rPr>
          <w:szCs w:val="21"/>
        </w:rPr>
        <w:t>分包及以包代管等触犯基建安全的行为</w:t>
      </w:r>
      <w:r>
        <w:rPr>
          <w:rFonts w:hint="eastAsia"/>
          <w:szCs w:val="21"/>
        </w:rPr>
        <w:t>；</w:t>
      </w:r>
    </w:p>
    <w:p>
      <w:pPr>
        <w:spacing w:line="360" w:lineRule="auto"/>
        <w:ind w:firstLine="422" w:firstLineChars="200"/>
        <w:rPr>
          <w:b/>
          <w:bCs/>
          <w:szCs w:val="21"/>
        </w:rPr>
      </w:pPr>
      <w:r>
        <w:rPr>
          <w:rFonts w:hint="eastAsia"/>
          <w:b/>
          <w:bCs/>
          <w:szCs w:val="21"/>
        </w:rPr>
        <w:t>B安全质量管理</w:t>
      </w:r>
    </w:p>
    <w:p>
      <w:pPr>
        <w:spacing w:line="360" w:lineRule="auto"/>
        <w:ind w:firstLine="420" w:firstLineChars="200"/>
        <w:rPr>
          <w:szCs w:val="21"/>
        </w:rPr>
      </w:pPr>
      <w:r>
        <w:rPr>
          <w:rFonts w:hint="eastAsia"/>
          <w:szCs w:val="21"/>
        </w:rPr>
        <w:t>a. 发生较大及以上安全质量事故；对监理人除上述经济索赔外，还进行如下惩罚：</w:t>
      </w:r>
    </w:p>
    <w:p>
      <w:pPr>
        <w:spacing w:line="360" w:lineRule="auto"/>
        <w:ind w:firstLine="420" w:firstLineChars="200"/>
        <w:rPr>
          <w:szCs w:val="21"/>
        </w:rPr>
      </w:pPr>
      <w:r>
        <w:rPr>
          <w:rFonts w:hint="eastAsia"/>
          <w:szCs w:val="21"/>
        </w:rPr>
        <w:t>（a）</w:t>
      </w:r>
      <w:r>
        <w:rPr>
          <w:szCs w:val="21"/>
        </w:rPr>
        <w:t>停止其12- 24个月内参与投标资格</w:t>
      </w:r>
      <w:r>
        <w:rPr>
          <w:rFonts w:hint="eastAsia"/>
          <w:szCs w:val="21"/>
        </w:rPr>
        <w:t>；</w:t>
      </w:r>
    </w:p>
    <w:p>
      <w:pPr>
        <w:spacing w:line="360" w:lineRule="auto"/>
        <w:ind w:firstLine="420" w:firstLineChars="200"/>
        <w:rPr>
          <w:szCs w:val="21"/>
        </w:rPr>
      </w:pPr>
      <w:r>
        <w:rPr>
          <w:rFonts w:hint="eastAsia"/>
          <w:szCs w:val="21"/>
        </w:rPr>
        <w:t>（b）不认可其安全生产风险管理体系原审核钻级，取消原钻级招标加分；</w:t>
      </w:r>
    </w:p>
    <w:p>
      <w:pPr>
        <w:spacing w:line="360" w:lineRule="auto"/>
        <w:ind w:firstLine="420" w:firstLineChars="200"/>
        <w:rPr>
          <w:szCs w:val="21"/>
        </w:rPr>
      </w:pPr>
      <w:r>
        <w:rPr>
          <w:rFonts w:hint="eastAsia"/>
          <w:szCs w:val="21"/>
        </w:rPr>
        <w:t>（c）停止其本年度及下一年度前6个月安全生产风险管理体系审核安排。</w:t>
      </w:r>
    </w:p>
    <w:p>
      <w:pPr>
        <w:spacing w:line="360" w:lineRule="auto"/>
        <w:ind w:firstLine="420" w:firstLineChars="200"/>
        <w:rPr>
          <w:szCs w:val="21"/>
        </w:rPr>
      </w:pPr>
      <w:r>
        <w:rPr>
          <w:rFonts w:hint="eastAsia"/>
          <w:szCs w:val="21"/>
        </w:rPr>
        <w:t xml:space="preserve">b. </w:t>
      </w:r>
      <w:r>
        <w:rPr>
          <w:szCs w:val="21"/>
        </w:rPr>
        <w:t>发生一般</w:t>
      </w:r>
      <w:r>
        <w:rPr>
          <w:rFonts w:hint="eastAsia"/>
          <w:szCs w:val="21"/>
        </w:rPr>
        <w:t>电力</w:t>
      </w:r>
      <w:r>
        <w:rPr>
          <w:szCs w:val="21"/>
        </w:rPr>
        <w:t>安全</w:t>
      </w:r>
      <w:r>
        <w:rPr>
          <w:rFonts w:hint="eastAsia"/>
          <w:szCs w:val="21"/>
        </w:rPr>
        <w:t>质量</w:t>
      </w:r>
      <w:r>
        <w:rPr>
          <w:szCs w:val="21"/>
        </w:rPr>
        <w:t>事故</w:t>
      </w:r>
      <w:r>
        <w:rPr>
          <w:rFonts w:hint="eastAsia"/>
          <w:szCs w:val="21"/>
        </w:rPr>
        <w:t>；对监理人除上述经济索赔外，还进行如下惩罚：</w:t>
      </w:r>
    </w:p>
    <w:p>
      <w:pPr>
        <w:spacing w:line="360" w:lineRule="auto"/>
        <w:ind w:firstLine="420" w:firstLineChars="200"/>
        <w:rPr>
          <w:szCs w:val="21"/>
        </w:rPr>
      </w:pPr>
      <w:r>
        <w:rPr>
          <w:rFonts w:hint="eastAsia"/>
          <w:szCs w:val="21"/>
        </w:rPr>
        <w:t>（a）</w:t>
      </w:r>
      <w:r>
        <w:rPr>
          <w:szCs w:val="21"/>
        </w:rPr>
        <w:t>停止其3- 12个月内参与投标资格</w:t>
      </w:r>
      <w:r>
        <w:rPr>
          <w:rFonts w:hint="eastAsia"/>
          <w:szCs w:val="21"/>
        </w:rPr>
        <w:t>；</w:t>
      </w:r>
    </w:p>
    <w:p>
      <w:pPr>
        <w:spacing w:line="360" w:lineRule="auto"/>
        <w:ind w:firstLine="420" w:firstLineChars="200"/>
        <w:rPr>
          <w:szCs w:val="21"/>
        </w:rPr>
      </w:pPr>
      <w:r>
        <w:rPr>
          <w:rFonts w:hint="eastAsia"/>
          <w:szCs w:val="21"/>
        </w:rPr>
        <w:t>（b）不认可其安全生产风险管理体系原审核钻级，取消原钻级招标加分；</w:t>
      </w:r>
    </w:p>
    <w:p>
      <w:pPr>
        <w:spacing w:line="360" w:lineRule="auto"/>
        <w:ind w:firstLine="420" w:firstLineChars="200"/>
        <w:rPr>
          <w:szCs w:val="21"/>
        </w:rPr>
      </w:pPr>
      <w:r>
        <w:rPr>
          <w:rFonts w:hint="eastAsia"/>
          <w:szCs w:val="21"/>
        </w:rPr>
        <w:t>（c）停止其本年度及下一年度前6个月安全生产风险管理体系审核安排。</w:t>
      </w:r>
    </w:p>
    <w:p>
      <w:pPr>
        <w:spacing w:line="360" w:lineRule="auto"/>
        <w:ind w:firstLine="420" w:firstLineChars="200"/>
        <w:rPr>
          <w:szCs w:val="21"/>
        </w:rPr>
      </w:pPr>
      <w:r>
        <w:rPr>
          <w:rFonts w:hint="eastAsia"/>
          <w:szCs w:val="21"/>
        </w:rPr>
        <w:t>c. 在上级单位对监理人进行检查发现严重问题时；除上述经济索赔外，还进行如下惩罚：</w:t>
      </w:r>
    </w:p>
    <w:p>
      <w:pPr>
        <w:spacing w:line="360" w:lineRule="auto"/>
        <w:ind w:firstLine="420" w:firstLineChars="200"/>
        <w:rPr>
          <w:szCs w:val="21"/>
        </w:rPr>
      </w:pPr>
      <w:r>
        <w:rPr>
          <w:rFonts w:hint="eastAsia"/>
          <w:szCs w:val="21"/>
        </w:rPr>
        <w:t>（a）国家层面检查发现的严重安全问题，直接扣减安全生产风险管理体系审核结1.5分；</w:t>
      </w:r>
    </w:p>
    <w:p>
      <w:pPr>
        <w:spacing w:line="360" w:lineRule="auto"/>
        <w:ind w:firstLine="420" w:firstLineChars="200"/>
        <w:rPr>
          <w:szCs w:val="21"/>
        </w:rPr>
      </w:pPr>
      <w:r>
        <w:rPr>
          <w:rFonts w:hint="eastAsia"/>
          <w:szCs w:val="21"/>
        </w:rPr>
        <w:t>（b）</w:t>
      </w:r>
      <w:r>
        <w:rPr>
          <w:rFonts w:hint="eastAsia"/>
          <w:szCs w:val="21"/>
          <w:lang w:val="en-US" w:eastAsia="zh-CN"/>
        </w:rPr>
        <w:t>中国南方电网有限责任</w:t>
      </w:r>
      <w:r>
        <w:rPr>
          <w:rFonts w:hint="eastAsia"/>
          <w:szCs w:val="21"/>
        </w:rPr>
        <w:t>公司检查发现的严重安全问题，直接扣减安全生产风险管理体系审核结1.0分；</w:t>
      </w:r>
    </w:p>
    <w:p>
      <w:pPr>
        <w:spacing w:line="360" w:lineRule="auto"/>
        <w:ind w:firstLine="420" w:firstLineChars="200"/>
        <w:rPr>
          <w:szCs w:val="21"/>
        </w:rPr>
      </w:pPr>
      <w:r>
        <w:rPr>
          <w:rFonts w:hint="eastAsia"/>
          <w:szCs w:val="21"/>
        </w:rPr>
        <w:t>（c）</w:t>
      </w:r>
      <w:r>
        <w:rPr>
          <w:rFonts w:hint="eastAsia"/>
          <w:szCs w:val="21"/>
          <w:lang w:val="en-US" w:eastAsia="zh-CN"/>
        </w:rPr>
        <w:t>广东电网有限责任</w:t>
      </w:r>
      <w:r>
        <w:rPr>
          <w:rFonts w:hint="eastAsia"/>
          <w:szCs w:val="21"/>
        </w:rPr>
        <w:t>公司检查发现的严重安全问题，直接扣减安全生产风险管理体系审核结0.5分。</w:t>
      </w:r>
    </w:p>
    <w:p>
      <w:pPr>
        <w:spacing w:line="360" w:lineRule="auto"/>
        <w:ind w:firstLine="420" w:firstLineChars="200"/>
        <w:rPr>
          <w:szCs w:val="21"/>
        </w:rPr>
      </w:pPr>
      <w:r>
        <w:rPr>
          <w:rFonts w:hint="eastAsia"/>
          <w:szCs w:val="21"/>
        </w:rPr>
        <w:t>d. 监理人出现违章情况，不接受《中国南方电网公司基建承包商违章处罚通知单》处罚；</w:t>
      </w:r>
    </w:p>
    <w:p>
      <w:pPr>
        <w:spacing w:line="360" w:lineRule="auto"/>
        <w:ind w:firstLine="420" w:firstLineChars="200"/>
        <w:rPr>
          <w:szCs w:val="21"/>
        </w:rPr>
      </w:pPr>
      <w:r>
        <w:rPr>
          <w:rFonts w:hint="eastAsia"/>
          <w:szCs w:val="21"/>
        </w:rPr>
        <w:t>e. 总监理工程师等管理人员长期无法到岗、到位，长期由他人代行使职责，缺岗、缺位时间累计超过45个合同日；</w:t>
      </w:r>
    </w:p>
    <w:p>
      <w:pPr>
        <w:spacing w:line="360" w:lineRule="auto"/>
        <w:ind w:firstLine="420" w:firstLineChars="200"/>
        <w:rPr>
          <w:szCs w:val="21"/>
        </w:rPr>
      </w:pPr>
      <w:r>
        <w:rPr>
          <w:rFonts w:hint="eastAsia"/>
          <w:szCs w:val="21"/>
        </w:rPr>
        <w:t>f. 监理人未对风险等级为“可接受”、“低”、“中” 的风险进行监督、管控，未对风险等级为“高”及以上风险等级的施工作业任务进行安全旁站监理，并拍摄数码照片和填写监理旁站记录，对发现的施工违规作业行为及安全事故隐患未进行有效管控；</w:t>
      </w:r>
    </w:p>
    <w:p>
      <w:pPr>
        <w:spacing w:line="360" w:lineRule="auto"/>
        <w:ind w:firstLine="422" w:firstLineChars="200"/>
        <w:rPr>
          <w:b/>
          <w:bCs/>
          <w:szCs w:val="21"/>
        </w:rPr>
      </w:pPr>
      <w:r>
        <w:rPr>
          <w:rFonts w:hint="eastAsia"/>
          <w:b/>
          <w:bCs/>
          <w:szCs w:val="21"/>
        </w:rPr>
        <w:t>C造价管理</w:t>
      </w:r>
    </w:p>
    <w:p>
      <w:pPr>
        <w:spacing w:line="360" w:lineRule="auto"/>
        <w:ind w:firstLine="420" w:firstLineChars="200"/>
        <w:rPr>
          <w:szCs w:val="21"/>
        </w:rPr>
      </w:pPr>
      <w:r>
        <w:rPr>
          <w:rFonts w:hint="eastAsia"/>
          <w:szCs w:val="21"/>
        </w:rPr>
        <w:t>a. 监理人未履行合同约定造价管理义务，经三次书面警告仍未履行的；</w:t>
      </w:r>
    </w:p>
    <w:p>
      <w:pPr>
        <w:spacing w:line="360" w:lineRule="auto"/>
        <w:ind w:firstLine="420" w:firstLineChars="200"/>
        <w:rPr>
          <w:szCs w:val="21"/>
        </w:rPr>
      </w:pPr>
      <w:r>
        <w:rPr>
          <w:rFonts w:hint="eastAsia"/>
          <w:szCs w:val="21"/>
        </w:rPr>
        <w:t>b. 未按要求及时完成完工工程量审核或审核错误；</w:t>
      </w:r>
    </w:p>
    <w:p>
      <w:pPr>
        <w:spacing w:line="360" w:lineRule="auto"/>
        <w:ind w:firstLine="422" w:firstLineChars="200"/>
        <w:rPr>
          <w:b/>
          <w:bCs/>
          <w:szCs w:val="21"/>
        </w:rPr>
      </w:pPr>
      <w:r>
        <w:rPr>
          <w:rFonts w:hint="eastAsia"/>
          <w:b/>
          <w:bCs/>
          <w:szCs w:val="21"/>
        </w:rPr>
        <w:t>D综合管理</w:t>
      </w:r>
    </w:p>
    <w:p>
      <w:pPr>
        <w:spacing w:line="360" w:lineRule="auto"/>
        <w:ind w:firstLine="420" w:firstLineChars="200"/>
        <w:rPr>
          <w:szCs w:val="21"/>
        </w:rPr>
      </w:pPr>
      <w:r>
        <w:rPr>
          <w:rFonts w:hint="eastAsia"/>
          <w:szCs w:val="21"/>
        </w:rPr>
        <w:t>监理人</w:t>
      </w:r>
      <w:r>
        <w:rPr>
          <w:rFonts w:hint="eastAsia"/>
          <w:szCs w:val="21"/>
          <w:lang w:val="en-US" w:eastAsia="zh-CN"/>
        </w:rPr>
        <w:t>未</w:t>
      </w:r>
      <w:r>
        <w:rPr>
          <w:rFonts w:hint="eastAsia"/>
          <w:szCs w:val="21"/>
        </w:rPr>
        <w:t>根据南方电网公司基建承包商管理要求做好登记建档工作，经三次警告后仍未按要求完成登记建档工作的；</w:t>
      </w:r>
    </w:p>
    <w:p>
      <w:pPr>
        <w:spacing w:line="360" w:lineRule="auto"/>
        <w:ind w:firstLine="422" w:firstLineChars="200"/>
        <w:rPr>
          <w:b/>
          <w:bCs/>
          <w:szCs w:val="21"/>
        </w:rPr>
      </w:pPr>
      <w:r>
        <w:rPr>
          <w:rFonts w:cs="Calibri"/>
          <w:b/>
          <w:bCs/>
          <w:szCs w:val="21"/>
        </w:rPr>
        <w:t>③</w:t>
      </w:r>
      <w:r>
        <w:rPr>
          <w:rFonts w:hint="eastAsia"/>
          <w:b/>
          <w:bCs/>
          <w:szCs w:val="21"/>
        </w:rPr>
        <w:t>暂停合同</w:t>
      </w:r>
    </w:p>
    <w:p>
      <w:pPr>
        <w:spacing w:line="360" w:lineRule="auto"/>
        <w:ind w:firstLine="420" w:firstLineChars="200"/>
        <w:rPr>
          <w:szCs w:val="21"/>
        </w:rPr>
      </w:pPr>
      <w:r>
        <w:rPr>
          <w:rFonts w:hint="eastAsia"/>
          <w:szCs w:val="21"/>
        </w:rPr>
        <w:t>如果监理人有下列行为，委托人应有权向监理人提出暂停合同：</w:t>
      </w:r>
    </w:p>
    <w:p>
      <w:pPr>
        <w:spacing w:line="360" w:lineRule="auto"/>
        <w:ind w:firstLine="422" w:firstLineChars="200"/>
        <w:rPr>
          <w:b/>
          <w:bCs/>
          <w:szCs w:val="21"/>
        </w:rPr>
      </w:pPr>
      <w:r>
        <w:rPr>
          <w:rFonts w:hint="eastAsia"/>
          <w:b/>
          <w:bCs/>
          <w:szCs w:val="21"/>
        </w:rPr>
        <w:t>A采购管理</w:t>
      </w:r>
    </w:p>
    <w:p>
      <w:pPr>
        <w:spacing w:line="360" w:lineRule="auto"/>
        <w:ind w:firstLine="420" w:firstLineChars="200"/>
        <w:rPr>
          <w:szCs w:val="21"/>
        </w:rPr>
      </w:pPr>
      <w:r>
        <w:rPr>
          <w:rFonts w:hint="eastAsia"/>
          <w:szCs w:val="21"/>
        </w:rPr>
        <w:t>a. 若发现监理人有伪造、变造企业资质资料、工程结算文件等不诚信行为。</w:t>
      </w:r>
    </w:p>
    <w:p>
      <w:pPr>
        <w:spacing w:line="360" w:lineRule="auto"/>
        <w:ind w:firstLine="420" w:firstLineChars="200"/>
        <w:rPr>
          <w:szCs w:val="21"/>
        </w:rPr>
      </w:pPr>
      <w:r>
        <w:rPr>
          <w:rFonts w:hint="eastAsia"/>
          <w:szCs w:val="21"/>
        </w:rPr>
        <w:t xml:space="preserve">b. </w:t>
      </w:r>
      <w:r>
        <w:rPr>
          <w:szCs w:val="21"/>
        </w:rPr>
        <w:t>在工程建设过程中</w:t>
      </w:r>
      <w:r>
        <w:rPr>
          <w:rFonts w:hint="eastAsia"/>
          <w:szCs w:val="21"/>
        </w:rPr>
        <w:t>监理人</w:t>
      </w:r>
      <w:r>
        <w:rPr>
          <w:szCs w:val="21"/>
        </w:rPr>
        <w:t>存在转包、</w:t>
      </w:r>
      <w:r>
        <w:rPr>
          <w:rFonts w:hint="eastAsia"/>
          <w:szCs w:val="21"/>
        </w:rPr>
        <w:t>违法</w:t>
      </w:r>
      <w:r>
        <w:rPr>
          <w:szCs w:val="21"/>
        </w:rPr>
        <w:t>分包及以包代管等触犯基建安全的行为</w:t>
      </w:r>
      <w:r>
        <w:rPr>
          <w:rFonts w:hint="eastAsia"/>
          <w:szCs w:val="21"/>
        </w:rPr>
        <w:t>，且拒不整改；，除进行上述处罚外，还</w:t>
      </w:r>
      <w:r>
        <w:rPr>
          <w:szCs w:val="21"/>
        </w:rPr>
        <w:t>停止其3- 12个月内参与投标资格</w:t>
      </w:r>
      <w:r>
        <w:rPr>
          <w:rFonts w:hint="eastAsia"/>
          <w:szCs w:val="21"/>
        </w:rPr>
        <w:t>。</w:t>
      </w:r>
    </w:p>
    <w:p>
      <w:pPr>
        <w:spacing w:line="360" w:lineRule="auto"/>
        <w:ind w:firstLine="422" w:firstLineChars="200"/>
        <w:rPr>
          <w:b/>
          <w:bCs/>
          <w:szCs w:val="21"/>
        </w:rPr>
      </w:pPr>
      <w:r>
        <w:rPr>
          <w:rFonts w:hint="eastAsia"/>
          <w:b/>
          <w:bCs/>
          <w:szCs w:val="21"/>
        </w:rPr>
        <w:t>B安全质量管理</w:t>
      </w:r>
    </w:p>
    <w:p>
      <w:pPr>
        <w:spacing w:line="360" w:lineRule="auto"/>
        <w:ind w:firstLine="420" w:firstLineChars="200"/>
        <w:rPr>
          <w:szCs w:val="21"/>
        </w:rPr>
      </w:pPr>
      <w:r>
        <w:rPr>
          <w:rFonts w:hint="eastAsia"/>
          <w:szCs w:val="21"/>
        </w:rPr>
        <w:t>a. 发生较大及以上安全质量事故，并不配合事故调查的；</w:t>
      </w:r>
    </w:p>
    <w:p>
      <w:pPr>
        <w:spacing w:line="360" w:lineRule="auto"/>
        <w:ind w:firstLine="420" w:firstLineChars="200"/>
        <w:rPr>
          <w:szCs w:val="21"/>
        </w:rPr>
      </w:pPr>
      <w:r>
        <w:rPr>
          <w:rFonts w:hint="eastAsia"/>
          <w:szCs w:val="21"/>
        </w:rPr>
        <w:t xml:space="preserve">b. </w:t>
      </w:r>
      <w:r>
        <w:rPr>
          <w:szCs w:val="21"/>
        </w:rPr>
        <w:t>发生一般</w:t>
      </w:r>
      <w:r>
        <w:rPr>
          <w:rFonts w:hint="eastAsia"/>
          <w:szCs w:val="21"/>
        </w:rPr>
        <w:t>电力</w:t>
      </w:r>
      <w:r>
        <w:rPr>
          <w:szCs w:val="21"/>
        </w:rPr>
        <w:t>安全</w:t>
      </w:r>
      <w:r>
        <w:rPr>
          <w:rFonts w:hint="eastAsia"/>
          <w:szCs w:val="21"/>
        </w:rPr>
        <w:t>质量</w:t>
      </w:r>
      <w:r>
        <w:rPr>
          <w:szCs w:val="21"/>
        </w:rPr>
        <w:t>事故</w:t>
      </w:r>
      <w:r>
        <w:rPr>
          <w:rFonts w:hint="eastAsia"/>
          <w:szCs w:val="21"/>
        </w:rPr>
        <w:t>，并不配合事故调查的；</w:t>
      </w:r>
    </w:p>
    <w:p>
      <w:pPr>
        <w:spacing w:line="360" w:lineRule="auto"/>
        <w:ind w:firstLine="420" w:firstLineChars="200"/>
        <w:rPr>
          <w:szCs w:val="21"/>
        </w:rPr>
      </w:pPr>
      <w:r>
        <w:rPr>
          <w:rFonts w:hint="eastAsia"/>
          <w:szCs w:val="21"/>
        </w:rPr>
        <w:t>c. 监理人隐瞒、包庇承包人</w:t>
      </w:r>
      <w:r>
        <w:rPr>
          <w:szCs w:val="21"/>
        </w:rPr>
        <w:t>转包、</w:t>
      </w:r>
      <w:r>
        <w:rPr>
          <w:rFonts w:hint="eastAsia"/>
          <w:szCs w:val="21"/>
        </w:rPr>
        <w:t>违法</w:t>
      </w:r>
      <w:r>
        <w:rPr>
          <w:szCs w:val="21"/>
        </w:rPr>
        <w:t>分包等触犯基建安全行为</w:t>
      </w:r>
      <w:r>
        <w:rPr>
          <w:rFonts w:hint="eastAsia"/>
          <w:szCs w:val="21"/>
        </w:rPr>
        <w:t>；</w:t>
      </w:r>
    </w:p>
    <w:p>
      <w:pPr>
        <w:spacing w:line="360" w:lineRule="auto"/>
        <w:ind w:firstLine="420" w:firstLineChars="200"/>
        <w:rPr>
          <w:szCs w:val="21"/>
        </w:rPr>
      </w:pPr>
      <w:r>
        <w:rPr>
          <w:rFonts w:hint="eastAsia"/>
          <w:szCs w:val="21"/>
        </w:rPr>
        <w:t>d. 监理人在发生电力安全质量事故、事件后,瞒报、虚报安全事件、事故。</w:t>
      </w:r>
    </w:p>
    <w:p>
      <w:pPr>
        <w:spacing w:line="360" w:lineRule="auto"/>
        <w:ind w:firstLine="422" w:firstLineChars="200"/>
        <w:rPr>
          <w:b/>
          <w:bCs/>
          <w:szCs w:val="21"/>
        </w:rPr>
      </w:pPr>
      <w:r>
        <w:rPr>
          <w:rFonts w:hint="eastAsia"/>
          <w:b/>
          <w:bCs/>
          <w:szCs w:val="21"/>
        </w:rPr>
        <w:t>C综合管理</w:t>
      </w:r>
    </w:p>
    <w:p>
      <w:pPr>
        <w:spacing w:line="360" w:lineRule="auto"/>
        <w:ind w:firstLine="420" w:firstLineChars="200"/>
        <w:rPr>
          <w:szCs w:val="21"/>
        </w:rPr>
      </w:pPr>
      <w:r>
        <w:rPr>
          <w:rFonts w:hint="eastAsia"/>
          <w:szCs w:val="21"/>
        </w:rPr>
        <w:t>a. 在工程建设过程中，由于监理人未按合同约定履行职责，给委托人造成巨大经济损失。</w:t>
      </w:r>
    </w:p>
    <w:p>
      <w:pPr>
        <w:spacing w:line="360" w:lineRule="auto"/>
        <w:ind w:firstLine="420" w:firstLineChars="200"/>
        <w:rPr>
          <w:szCs w:val="21"/>
        </w:rPr>
      </w:pPr>
      <w:r>
        <w:rPr>
          <w:rFonts w:hint="eastAsia"/>
          <w:szCs w:val="21"/>
        </w:rPr>
        <w:t>b. 监理人造成恶劣影响的社会事件的。</w:t>
      </w:r>
    </w:p>
    <w:p>
      <w:pPr>
        <w:spacing w:line="360" w:lineRule="auto"/>
        <w:ind w:firstLine="420" w:firstLineChars="200"/>
        <w:rPr>
          <w:b/>
          <w:bCs/>
          <w:szCs w:val="21"/>
        </w:rPr>
      </w:pPr>
      <w:r>
        <w:rPr>
          <w:rFonts w:eastAsia="微软雅黑" w:cs="Calibri"/>
          <w:b/>
          <w:bCs/>
          <w:szCs w:val="21"/>
        </w:rPr>
        <w:t>④</w:t>
      </w:r>
      <w:r>
        <w:rPr>
          <w:rFonts w:hint="eastAsia"/>
          <w:b/>
          <w:bCs/>
          <w:szCs w:val="21"/>
        </w:rPr>
        <w:t>终止合同</w:t>
      </w:r>
    </w:p>
    <w:p>
      <w:pPr>
        <w:spacing w:line="360" w:lineRule="auto"/>
        <w:ind w:firstLine="420" w:firstLineChars="200"/>
        <w:rPr>
          <w:szCs w:val="21"/>
        </w:rPr>
      </w:pPr>
      <w:r>
        <w:rPr>
          <w:rFonts w:hint="eastAsia"/>
          <w:szCs w:val="21"/>
        </w:rPr>
        <w:t>如果监理人有下列行为，委托人应有权终止合同：</w:t>
      </w:r>
    </w:p>
    <w:p>
      <w:pPr>
        <w:spacing w:line="360" w:lineRule="auto"/>
        <w:ind w:firstLine="422" w:firstLineChars="200"/>
        <w:rPr>
          <w:b/>
          <w:bCs/>
          <w:szCs w:val="21"/>
        </w:rPr>
      </w:pPr>
      <w:r>
        <w:rPr>
          <w:rFonts w:hint="eastAsia"/>
          <w:b/>
          <w:bCs/>
          <w:szCs w:val="21"/>
        </w:rPr>
        <w:t>A采购管理</w:t>
      </w:r>
    </w:p>
    <w:p>
      <w:pPr>
        <w:spacing w:line="360" w:lineRule="auto"/>
        <w:ind w:firstLine="420" w:firstLineChars="200"/>
        <w:rPr>
          <w:szCs w:val="21"/>
        </w:rPr>
      </w:pPr>
      <w:r>
        <w:rPr>
          <w:rFonts w:hint="eastAsia"/>
          <w:szCs w:val="21"/>
        </w:rPr>
        <w:t>监理人被建设行政主管部门给予处罚，因企业资质等级降低或被吊销资质证书，导致</w:t>
      </w:r>
      <w:r>
        <w:rPr>
          <w:szCs w:val="21"/>
        </w:rPr>
        <w:t>资质</w:t>
      </w:r>
      <w:r>
        <w:rPr>
          <w:rFonts w:hint="eastAsia"/>
          <w:szCs w:val="21"/>
        </w:rPr>
        <w:t>等级已不满足</w:t>
      </w:r>
      <w:r>
        <w:rPr>
          <w:szCs w:val="21"/>
        </w:rPr>
        <w:t>承揽</w:t>
      </w:r>
      <w:r>
        <w:rPr>
          <w:rFonts w:hint="eastAsia"/>
          <w:szCs w:val="21"/>
        </w:rPr>
        <w:t>本合同</w:t>
      </w:r>
      <w:r>
        <w:rPr>
          <w:szCs w:val="21"/>
        </w:rPr>
        <w:t>业务范围</w:t>
      </w:r>
      <w:r>
        <w:rPr>
          <w:rFonts w:hint="eastAsia"/>
          <w:szCs w:val="21"/>
        </w:rPr>
        <w:t>；</w:t>
      </w:r>
    </w:p>
    <w:p>
      <w:pPr>
        <w:spacing w:line="360" w:lineRule="auto"/>
        <w:ind w:firstLine="422" w:firstLineChars="200"/>
        <w:rPr>
          <w:b/>
          <w:bCs/>
          <w:szCs w:val="21"/>
        </w:rPr>
      </w:pPr>
      <w:r>
        <w:rPr>
          <w:rFonts w:hint="eastAsia"/>
          <w:b/>
          <w:bCs/>
          <w:szCs w:val="21"/>
        </w:rPr>
        <w:t>B质量安全管理</w:t>
      </w:r>
    </w:p>
    <w:p>
      <w:pPr>
        <w:spacing w:line="360" w:lineRule="auto"/>
        <w:ind w:firstLine="420" w:firstLineChars="200"/>
        <w:rPr>
          <w:szCs w:val="21"/>
        </w:rPr>
      </w:pPr>
      <w:r>
        <w:rPr>
          <w:rFonts w:hint="eastAsia"/>
          <w:szCs w:val="21"/>
        </w:rPr>
        <w:t>a. 监理人在施工中发生较大及以上电力安全质量事故，且恶意隐瞒事故或破坏现场；</w:t>
      </w:r>
    </w:p>
    <w:p>
      <w:pPr>
        <w:spacing w:line="360" w:lineRule="auto"/>
        <w:ind w:firstLine="420" w:firstLineChars="200"/>
        <w:rPr>
          <w:szCs w:val="21"/>
        </w:rPr>
      </w:pPr>
      <w:r>
        <w:rPr>
          <w:rFonts w:hint="eastAsia"/>
          <w:szCs w:val="21"/>
        </w:rPr>
        <w:t>b. 监理人在施工中发生一般电力安全质量事故，且恶意隐瞒事故或破坏现场，后果严重的；</w:t>
      </w:r>
    </w:p>
    <w:p>
      <w:pPr>
        <w:spacing w:line="360" w:lineRule="auto"/>
        <w:ind w:firstLine="422" w:firstLineChars="200"/>
        <w:rPr>
          <w:b/>
          <w:bCs/>
          <w:szCs w:val="21"/>
        </w:rPr>
      </w:pPr>
      <w:r>
        <w:rPr>
          <w:rFonts w:hint="eastAsia"/>
          <w:b/>
          <w:bCs/>
          <w:szCs w:val="21"/>
        </w:rPr>
        <w:t>C综合管理</w:t>
      </w:r>
    </w:p>
    <w:p>
      <w:pPr>
        <w:spacing w:line="360" w:lineRule="auto"/>
        <w:ind w:firstLine="420" w:firstLineChars="200"/>
        <w:rPr>
          <w:szCs w:val="21"/>
        </w:rPr>
      </w:pPr>
      <w:r>
        <w:rPr>
          <w:rFonts w:hint="eastAsia"/>
          <w:szCs w:val="21"/>
        </w:rPr>
        <w:t>a. 监理人因违反国家有关的法律法规，并被政府部门追究民事责任、行政责任和刑事责任，不具备执行合同能力；</w:t>
      </w:r>
    </w:p>
    <w:p>
      <w:pPr>
        <w:spacing w:line="360" w:lineRule="auto"/>
        <w:ind w:firstLine="420" w:firstLineChars="200"/>
        <w:rPr>
          <w:szCs w:val="21"/>
        </w:rPr>
      </w:pPr>
      <w:r>
        <w:rPr>
          <w:rFonts w:hint="eastAsia"/>
          <w:szCs w:val="21"/>
        </w:rPr>
        <w:t>b. 监理人造成恶劣影响社会事件，且不能容忍的。</w:t>
      </w:r>
    </w:p>
    <w:p>
      <w:pPr>
        <w:spacing w:line="360" w:lineRule="auto"/>
        <w:ind w:firstLine="420" w:firstLineChars="200"/>
        <w:rPr>
          <w:rFonts w:ascii="宋体" w:hAnsi="宋体" w:cs="宋体"/>
          <w:kern w:val="0"/>
          <w:szCs w:val="21"/>
        </w:rPr>
      </w:pPr>
      <w:r>
        <w:rPr>
          <w:rFonts w:hint="eastAsia"/>
          <w:szCs w:val="21"/>
        </w:rPr>
        <w:t xml:space="preserve">11.4.2 </w:t>
      </w:r>
      <w:r>
        <w:rPr>
          <w:rFonts w:hint="eastAsia" w:ascii="宋体" w:hAnsi="宋体" w:cs="宋体"/>
          <w:kern w:val="0"/>
          <w:szCs w:val="21"/>
        </w:rPr>
        <w:t>对过期应付而未付的商定赔偿款：</w:t>
      </w:r>
      <w:permStart w:id="127" w:edGrp="everyone"/>
      <w:r>
        <w:rPr>
          <w:rFonts w:hint="eastAsia"/>
          <w:szCs w:val="21"/>
          <w:u w:val="single"/>
        </w:rPr>
        <w:t xml:space="preserve">            </w:t>
      </w:r>
      <w:r>
        <w:rPr>
          <w:rFonts w:hint="eastAsia" w:ascii="宋体" w:hAnsi="宋体" w:cs="宋体"/>
          <w:kern w:val="0"/>
          <w:szCs w:val="21"/>
        </w:rPr>
        <w:t>。</w:t>
      </w:r>
    </w:p>
    <w:permEnd w:id="127"/>
    <w:p>
      <w:pPr>
        <w:spacing w:line="360" w:lineRule="auto"/>
        <w:ind w:firstLine="420" w:firstLineChars="200"/>
        <w:rPr>
          <w:szCs w:val="21"/>
          <w:lang w:val="zh-CN"/>
        </w:rPr>
      </w:pPr>
      <w:r>
        <w:rPr>
          <w:rFonts w:hint="eastAsia"/>
          <w:szCs w:val="21"/>
        </w:rPr>
        <w:t xml:space="preserve">11.4.3 </w:t>
      </w:r>
      <w:r>
        <w:rPr>
          <w:rFonts w:hint="eastAsia"/>
          <w:szCs w:val="21"/>
          <w:lang w:val="zh-CN"/>
        </w:rPr>
        <w:t>赔偿的限额：</w:t>
      </w:r>
      <w:permStart w:id="128" w:edGrp="everyone"/>
      <w:r>
        <w:rPr>
          <w:rFonts w:hint="eastAsia"/>
          <w:szCs w:val="21"/>
          <w:u w:val="single"/>
        </w:rPr>
        <w:t xml:space="preserve">            </w:t>
      </w:r>
      <w:r>
        <w:rPr>
          <w:rFonts w:hint="eastAsia"/>
          <w:szCs w:val="21"/>
          <w:lang w:val="zh-CN"/>
        </w:rPr>
        <w:t>。</w:t>
      </w:r>
      <w:permEnd w:id="128"/>
    </w:p>
    <w:p>
      <w:pPr>
        <w:autoSpaceDE w:val="0"/>
        <w:autoSpaceDN w:val="0"/>
        <w:adjustRightInd w:val="0"/>
        <w:spacing w:line="360" w:lineRule="auto"/>
        <w:ind w:firstLine="420" w:firstLineChars="200"/>
        <w:jc w:val="left"/>
        <w:rPr>
          <w:szCs w:val="21"/>
        </w:rPr>
      </w:pPr>
      <w:r>
        <w:rPr>
          <w:rFonts w:hint="eastAsia"/>
          <w:szCs w:val="21"/>
        </w:rPr>
        <w:t xml:space="preserve">11.4.4 </w:t>
      </w:r>
      <w:r>
        <w:rPr>
          <w:rFonts w:hint="eastAsia" w:ascii="宋体" w:hAnsi="宋体" w:cs="宋体"/>
          <w:kern w:val="0"/>
          <w:szCs w:val="21"/>
          <w:lang w:val="zh-CN"/>
        </w:rPr>
        <w:t>除非在</w:t>
      </w:r>
      <w:permStart w:id="129" w:edGrp="everyone"/>
      <w:r>
        <w:rPr>
          <w:rFonts w:hint="eastAsia" w:ascii="宋体" w:hAnsi="宋体" w:cs="宋体"/>
          <w:kern w:val="0"/>
          <w:szCs w:val="21"/>
          <w:u w:val="single"/>
        </w:rPr>
        <w:t>由索赔事件发生之日起，至本合同执行完毕</w:t>
      </w:r>
      <w:r>
        <w:rPr>
          <w:rFonts w:ascii="宋体" w:hAnsi="宋体" w:cs="宋体"/>
          <w:kern w:val="0"/>
          <w:szCs w:val="21"/>
          <w:u w:val="single"/>
        </w:rPr>
        <w:t>180</w:t>
      </w:r>
      <w:r>
        <w:rPr>
          <w:rFonts w:hint="eastAsia" w:ascii="宋体" w:hAnsi="宋体" w:cs="宋体"/>
          <w:kern w:val="0"/>
          <w:szCs w:val="21"/>
          <w:u w:val="single"/>
        </w:rPr>
        <w:t>日之内</w:t>
      </w:r>
      <w:r>
        <w:rPr>
          <w:rFonts w:hint="eastAsia" w:ascii="宋体" w:hAnsi="宋体" w:cs="宋体"/>
          <w:kern w:val="0"/>
          <w:szCs w:val="21"/>
          <w:lang w:val="zh-CN"/>
        </w:rPr>
        <w:t>或</w:t>
      </w:r>
      <w:permEnd w:id="129"/>
      <w:r>
        <w:rPr>
          <w:rFonts w:hint="eastAsia" w:ascii="宋体" w:hAnsi="宋体" w:cs="宋体"/>
          <w:kern w:val="0"/>
          <w:szCs w:val="21"/>
          <w:lang w:val="zh-CN"/>
        </w:rPr>
        <w:t>法律可能规定的更早日期之前，正式向委托人或监理人提出索赔，否则无论是委托人还是监理人均不应对由任何事件所引起的任何损失或损害负责。</w:t>
      </w:r>
    </w:p>
    <w:p>
      <w:pPr>
        <w:spacing w:line="360" w:lineRule="auto"/>
        <w:ind w:firstLine="420" w:firstLineChars="200"/>
        <w:rPr>
          <w:szCs w:val="21"/>
        </w:rPr>
      </w:pPr>
      <w:r>
        <w:rPr>
          <w:rFonts w:hint="eastAsia"/>
          <w:szCs w:val="21"/>
        </w:rPr>
        <w:t xml:space="preserve">11.4.5 </w:t>
      </w:r>
      <w:r>
        <w:rPr>
          <w:rFonts w:hint="eastAsia"/>
          <w:szCs w:val="21"/>
          <w:lang w:val="zh-CN"/>
        </w:rPr>
        <w:t>监理人发生以下情形时，在工程竣工结算时，最高扣减结算价款</w:t>
      </w:r>
      <w:sdt>
        <w:sdtPr>
          <w:rPr>
            <w:rFonts w:hint="eastAsia" w:asciiTheme="minorHAnsi" w:hAnsiTheme="minorHAnsi" w:eastAsiaTheme="minorEastAsia" w:cstheme="minorBidi"/>
            <w:kern w:val="2"/>
            <w:sz w:val="28"/>
            <w:szCs w:val="36"/>
            <w:lang w:val="en-US" w:eastAsia="zh-CN" w:bidi="ar-SA"/>
          </w:rPr>
          <w:alias w:val="违约金不应过分高于或低于实际损失。"/>
          <w:tag w:val="违约金金额"/>
          <w:id w:val="147471471"/>
          <w:placeholder>
            <w:docPart w:val="{f1e7378d-6f73-44ab-95ea-5710ae8abb1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30" w:edGrp="everyone"/>
          <w:r>
            <w:rPr>
              <w:rFonts w:hint="eastAsia" w:ascii="宋体" w:hAnsi="宋体" w:eastAsia="宋体" w:cs="宋体"/>
              <w:kern w:val="2"/>
              <w:sz w:val="21"/>
              <w:szCs w:val="21"/>
              <w:u w:val="single"/>
              <w:lang w:val="en-US" w:eastAsia="zh-CN" w:bidi="ar-SA"/>
            </w:rPr>
            <w:t xml:space="preserve"> 5万元</w:t>
          </w:r>
          <w:permEnd w:id="130"/>
        </w:sdtContent>
      </w:sdt>
      <w:r>
        <w:rPr>
          <w:rFonts w:hint="eastAsia"/>
          <w:szCs w:val="21"/>
        </w:rPr>
        <w:t>。</w:t>
      </w:r>
    </w:p>
    <w:p>
      <w:pPr>
        <w:spacing w:line="360" w:lineRule="auto"/>
        <w:ind w:firstLine="420" w:firstLineChars="200"/>
        <w:rPr>
          <w:szCs w:val="21"/>
        </w:rPr>
      </w:pPr>
      <w:r>
        <w:rPr>
          <w:rFonts w:hint="eastAsia"/>
          <w:szCs w:val="21"/>
        </w:rPr>
        <w:t>（1）监理人未能及时、准确、完整地将项目档案移交至委托人并经书面警告的，不能执行工程竣工结算。</w:t>
      </w:r>
    </w:p>
    <w:p>
      <w:pPr>
        <w:spacing w:line="360" w:lineRule="auto"/>
        <w:ind w:firstLine="420" w:firstLineChars="200"/>
        <w:rPr>
          <w:szCs w:val="21"/>
        </w:rPr>
      </w:pPr>
      <w:r>
        <w:rPr>
          <w:rFonts w:hint="eastAsia"/>
          <w:szCs w:val="21"/>
        </w:rPr>
        <w:t>（2）已归档项目文件不满足档案归档要求，且不进行整改的。</w:t>
      </w:r>
    </w:p>
    <w:p>
      <w:pPr>
        <w:spacing w:line="360" w:lineRule="auto"/>
        <w:ind w:firstLine="420" w:firstLineChars="200"/>
        <w:rPr>
          <w:szCs w:val="21"/>
        </w:rPr>
      </w:pPr>
      <w:r>
        <w:rPr>
          <w:rFonts w:hint="eastAsia"/>
          <w:szCs w:val="21"/>
        </w:rPr>
        <w:t>（3）工程实施过程中若因监理人过失造成重大安全、质量事故的。</w:t>
      </w:r>
    </w:p>
    <w:p>
      <w:pPr>
        <w:spacing w:line="360" w:lineRule="auto"/>
        <w:ind w:firstLine="420" w:firstLineChars="200"/>
        <w:rPr>
          <w:szCs w:val="21"/>
        </w:rPr>
      </w:pPr>
      <w:r>
        <w:rPr>
          <w:rFonts w:hint="eastAsia"/>
          <w:szCs w:val="21"/>
        </w:rPr>
        <w:t>（4）由于监理人原因，未能及时、准确、完整地在企业级资产管理系统中录入、审批数据并经书面警告的。</w:t>
      </w:r>
    </w:p>
    <w:p>
      <w:pPr>
        <w:spacing w:line="360" w:lineRule="auto"/>
        <w:ind w:firstLine="420" w:firstLineChars="200"/>
        <w:rPr>
          <w:szCs w:val="21"/>
        </w:rPr>
      </w:pPr>
      <w:r>
        <w:rPr>
          <w:rFonts w:hint="eastAsia"/>
          <w:szCs w:val="21"/>
        </w:rPr>
        <w:t>11.4.6 其他扣罚情形：以下扣罚属于单独的项目管理行为，与本条款外的合同条款其他处罚可分别进行。以下扣罚累计最多不超过</w:t>
      </w:r>
      <w:permStart w:id="131" w:edGrp="everyone"/>
      <w:r>
        <w:rPr>
          <w:rFonts w:hint="eastAsia"/>
          <w:szCs w:val="21"/>
          <w:u w:val="single"/>
        </w:rPr>
        <w:t>合同总额的</w:t>
      </w:r>
      <w:sdt>
        <w:sdtPr>
          <w:rPr>
            <w:rFonts w:hint="eastAsia"/>
            <w:szCs w:val="21"/>
            <w:u w:val="single"/>
            <w:lang w:val="en-US" w:eastAsia="zh-CN"/>
          </w:rPr>
          <w:alias w:val="违约金不应过分高于或低于实际损失。"/>
          <w:tag w:val="违约金比例"/>
          <w:id w:val="601498372"/>
          <w:placeholder>
            <w:docPart w:val="{1e423f1b-893a-4f94-80e7-7cac0ddbe03b}"/>
          </w:placeholder>
          <w:text w:multiLine="1"/>
        </w:sdtPr>
        <w:sdtEndPr>
          <w:rPr>
            <w:rFonts w:hint="eastAsia"/>
            <w:szCs w:val="21"/>
            <w:u w:val="single"/>
            <w:lang w:val="en-US" w:eastAsia="zh-CN"/>
          </w:rPr>
        </w:sdtEndPr>
        <w:sdtContent>
          <w:r>
            <w:rPr>
              <w:rFonts w:hint="eastAsia"/>
              <w:szCs w:val="21"/>
              <w:u w:val="single"/>
              <w:lang w:val="en-US" w:eastAsia="zh-CN"/>
            </w:rPr>
            <w:t>1%</w:t>
          </w:r>
          <w:permEnd w:id="131"/>
        </w:sdtContent>
      </w:sdt>
      <w:r>
        <w:rPr>
          <w:rFonts w:hint="eastAsia"/>
          <w:szCs w:val="21"/>
        </w:rPr>
        <w:t>。</w:t>
      </w:r>
    </w:p>
    <w:p>
      <w:pPr>
        <w:spacing w:line="360" w:lineRule="auto"/>
        <w:ind w:firstLine="420" w:firstLineChars="200"/>
        <w:rPr>
          <w:szCs w:val="21"/>
        </w:rPr>
      </w:pPr>
      <w:r>
        <w:rPr>
          <w:rFonts w:hint="eastAsia"/>
          <w:szCs w:val="21"/>
        </w:rPr>
        <w:t>（1）监理人根据工程进展实际情况，及时更新信息系统数据，并保证数据质量，如发生监理人不配合完成信息系统填报的情况，每发生一次扣除合同总额的0.2%，最多可考核监理人合同总额的1%。</w:t>
      </w:r>
    </w:p>
    <w:p>
      <w:pPr>
        <w:spacing w:line="360" w:lineRule="auto"/>
        <w:ind w:firstLine="420" w:firstLineChars="200"/>
        <w:rPr>
          <w:szCs w:val="21"/>
        </w:rPr>
      </w:pPr>
      <w:r>
        <w:rPr>
          <w:rFonts w:hint="eastAsia"/>
          <w:szCs w:val="21"/>
        </w:rPr>
        <w:t>（2）监理人根据</w:t>
      </w:r>
      <w:r>
        <w:rPr>
          <w:rFonts w:hint="eastAsia"/>
          <w:szCs w:val="21"/>
          <w:lang w:val="en-US" w:eastAsia="zh-CN"/>
        </w:rPr>
        <w:t>中国</w:t>
      </w:r>
      <w:r>
        <w:rPr>
          <w:rFonts w:hint="eastAsia"/>
          <w:szCs w:val="21"/>
        </w:rPr>
        <w:t>南方电网</w:t>
      </w:r>
      <w:r>
        <w:rPr>
          <w:rFonts w:hint="eastAsia"/>
          <w:szCs w:val="21"/>
          <w:lang w:val="en-US" w:eastAsia="zh-CN"/>
        </w:rPr>
        <w:t>有限责任</w:t>
      </w:r>
      <w:r>
        <w:rPr>
          <w:rFonts w:hint="eastAsia"/>
          <w:szCs w:val="21"/>
        </w:rPr>
        <w:t>公司基建管理相关规定，参与编制、督促执行二级进度计划，如因监理人原因发生工程进度失控，每发生一次扣除合同总额的0.2%，最多可考核监理人合同总额的1%。</w:t>
      </w:r>
    </w:p>
    <w:p>
      <w:pPr>
        <w:spacing w:line="360" w:lineRule="auto"/>
        <w:ind w:firstLine="420" w:firstLineChars="200"/>
        <w:rPr>
          <w:szCs w:val="21"/>
        </w:rPr>
      </w:pPr>
      <w:r>
        <w:rPr>
          <w:rFonts w:hint="eastAsia"/>
          <w:szCs w:val="21"/>
        </w:rPr>
        <w:t>（3）输变电工程投产后一个月内，业主项目部负责组织工程各参建单位审查工程竣工资料，审查通过后移交建设档案部门。建设单位档案部门在收到资料后15个工作日内提出需要整改的问题，业主项目部负责督促参建单位，在收到整改问题后在15个工作日内整改完毕并移交，未向委托人档案管理部门移交项目档案，档案资料不齐全，根据情节严重程度，最多可考核监理人合同总额的1%。</w:t>
      </w:r>
    </w:p>
    <w:p>
      <w:pPr>
        <w:spacing w:line="360" w:lineRule="auto"/>
        <w:ind w:firstLine="420" w:firstLineChars="200"/>
        <w:rPr>
          <w:szCs w:val="21"/>
        </w:rPr>
      </w:pPr>
      <w:r>
        <w:rPr>
          <w:rFonts w:hint="eastAsia"/>
          <w:szCs w:val="21"/>
        </w:rPr>
        <w:t>（4）确保工程安全、质量管理措施到位，如发生一般及以上事故，根据情节严重程度，最多可扣除合同额的1%。</w:t>
      </w:r>
    </w:p>
    <w:p>
      <w:pPr>
        <w:spacing w:line="360" w:lineRule="auto"/>
        <w:ind w:firstLine="420" w:firstLineChars="200"/>
        <w:rPr>
          <w:szCs w:val="21"/>
        </w:rPr>
      </w:pPr>
      <w:r>
        <w:rPr>
          <w:rFonts w:hint="eastAsia"/>
          <w:szCs w:val="21"/>
        </w:rPr>
        <w:t>11.4.7 监理人未履行责任构成违约的，每项违约责任扣减合同总额的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77611775"/>
          <w:placeholder>
            <w:docPart w:val="{c7ae8a37-64ae-43f6-b203-d14e71b36e72}"/>
          </w:placeholder>
          <w:text w:multiLine="1"/>
        </w:sdtPr>
        <w:sdtEndPr>
          <w:rPr>
            <w:rFonts w:hint="eastAsia" w:asciiTheme="minorHAnsi" w:hAnsiTheme="minorHAnsi" w:eastAsiaTheme="minorEastAsia" w:cstheme="minorBidi"/>
            <w:kern w:val="2"/>
            <w:sz w:val="28"/>
            <w:szCs w:val="21"/>
            <w:u w:val="single"/>
            <w:lang w:val="en-US" w:eastAsia="zh-CN" w:bidi="ar-SA"/>
          </w:rPr>
        </w:sdtEndPr>
        <w:sdtContent>
          <w:permStart w:id="132" w:edGrp="everyone"/>
          <w:r>
            <w:rPr>
              <w:rFonts w:hint="eastAsia"/>
              <w:szCs w:val="21"/>
              <w:u w:val="single"/>
              <w:lang w:val="en-US" w:eastAsia="zh-CN"/>
            </w:rPr>
            <w:t xml:space="preserve">  %</w:t>
          </w:r>
          <w:permEnd w:id="132"/>
        </w:sdtContent>
      </w:sdt>
      <w:r>
        <w:rPr>
          <w:rFonts w:hint="eastAsia"/>
          <w:szCs w:val="21"/>
        </w:rPr>
        <w:t>。</w:t>
      </w:r>
    </w:p>
    <w:p>
      <w:pPr>
        <w:spacing w:line="360" w:lineRule="auto"/>
        <w:ind w:firstLine="420" w:firstLineChars="200"/>
        <w:rPr>
          <w:szCs w:val="21"/>
        </w:rPr>
      </w:pPr>
      <w:r>
        <w:rPr>
          <w:rFonts w:hint="eastAsia"/>
          <w:szCs w:val="21"/>
        </w:rPr>
        <w:t>11.4.8 未按要求及时完成完工工程量审核或审核错误，扣减合同总额</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911811673"/>
          <w:placeholder>
            <w:docPart w:val="{e332e9b4-8f9d-4d3c-8b26-cae0a52c1e42}"/>
          </w:placeholder>
          <w:text w:multiLine="1"/>
        </w:sdtPr>
        <w:sdtEndPr>
          <w:rPr>
            <w:rFonts w:hint="eastAsia" w:asciiTheme="minorHAnsi" w:hAnsiTheme="minorHAnsi" w:eastAsiaTheme="minorEastAsia" w:cstheme="minorBidi"/>
            <w:kern w:val="2"/>
            <w:sz w:val="28"/>
            <w:szCs w:val="21"/>
            <w:u w:val="single"/>
            <w:lang w:val="en-US" w:eastAsia="zh-CN" w:bidi="ar-SA"/>
          </w:rPr>
        </w:sdtEndPr>
        <w:sdtContent>
          <w:permStart w:id="133" w:edGrp="everyone"/>
          <w:r>
            <w:rPr>
              <w:rFonts w:hint="eastAsia"/>
              <w:szCs w:val="21"/>
              <w:u w:val="single"/>
              <w:lang w:val="en-US" w:eastAsia="zh-CN"/>
            </w:rPr>
            <w:t xml:space="preserve">  %</w:t>
          </w:r>
          <w:permEnd w:id="133"/>
        </w:sdtContent>
      </w:sdt>
      <w:r>
        <w:rPr>
          <w:rFonts w:hint="eastAsia"/>
          <w:szCs w:val="21"/>
        </w:rPr>
        <w:t>。</w:t>
      </w:r>
    </w:p>
    <w:p>
      <w:pPr>
        <w:pStyle w:val="5"/>
        <w:rPr>
          <w:rFonts w:hint="eastAsia" w:ascii="Times New Roman" w:hAnsi="Times New Roman"/>
        </w:rPr>
      </w:pPr>
      <w:r>
        <w:rPr>
          <w:rFonts w:ascii="Times New Roman" w:hAnsi="Times New Roman"/>
        </w:rPr>
        <w:t>1</w:t>
      </w:r>
      <w:r>
        <w:rPr>
          <w:rFonts w:hint="eastAsia" w:ascii="Times New Roman" w:hAnsi="Times New Roman"/>
        </w:rPr>
        <w:t>3</w:t>
      </w:r>
      <w:r>
        <w:rPr>
          <w:rFonts w:ascii="Times New Roman" w:hAnsi="Times New Roman"/>
        </w:rPr>
        <w:t xml:space="preserve">. </w:t>
      </w:r>
      <w:r>
        <w:rPr>
          <w:rFonts w:hint="eastAsia" w:ascii="Times New Roman" w:hAnsi="Times New Roman"/>
        </w:rPr>
        <w:t>其他</w:t>
      </w:r>
    </w:p>
    <w:p>
      <w:pPr>
        <w:spacing w:line="360" w:lineRule="auto"/>
        <w:ind w:firstLine="420" w:firstLineChars="200"/>
      </w:pPr>
      <w:permStart w:id="134" w:edGrp="everyone"/>
      <w:r>
        <w:rPr>
          <w:rFonts w:hint="eastAsia"/>
          <w:szCs w:val="21"/>
          <w:u w:val="single"/>
        </w:rPr>
        <w:t xml:space="preserve">     </w:t>
      </w:r>
      <w:r>
        <w:rPr>
          <w:rFonts w:hint="eastAsia"/>
          <w:szCs w:val="21"/>
        </w:rPr>
        <w:t>。</w:t>
      </w:r>
      <w:permEnd w:id="134"/>
      <w:r>
        <w:br w:type="page"/>
      </w:r>
      <w:bookmarkStart w:id="246" w:name="_Toc247085834"/>
      <w:bookmarkEnd w:id="246"/>
      <w:bookmarkStart w:id="247" w:name="_Toc246997062"/>
      <w:bookmarkEnd w:id="247"/>
      <w:bookmarkStart w:id="248" w:name="_Toc29298"/>
      <w:bookmarkEnd w:id="248"/>
      <w:bookmarkStart w:id="249" w:name="_Toc296602565"/>
      <w:bookmarkEnd w:id="249"/>
      <w:bookmarkStart w:id="250" w:name="_Toc9766"/>
      <w:bookmarkEnd w:id="250"/>
      <w:bookmarkStart w:id="251" w:name="_Toc369531675"/>
      <w:bookmarkEnd w:id="251"/>
      <w:bookmarkStart w:id="252" w:name="_Toc184635117"/>
      <w:bookmarkEnd w:id="252"/>
      <w:bookmarkStart w:id="253" w:name="_Toc246996319"/>
      <w:bookmarkEnd w:id="253"/>
      <w:bookmarkStart w:id="254" w:name="_Toc369531676"/>
      <w:bookmarkEnd w:id="254"/>
    </w:p>
    <w:p>
      <w:pPr>
        <w:pStyle w:val="4"/>
        <w:ind w:firstLine="883" w:firstLineChars="200"/>
        <w:jc w:val="center"/>
        <w:rPr>
          <w:rFonts w:ascii="Times New Roman" w:hAnsi="Times New Roman"/>
        </w:rPr>
      </w:pPr>
      <w:bookmarkStart w:id="255" w:name="_Toc13114"/>
      <w:permStart w:id="135" w:edGrp="everyone"/>
      <w:r>
        <w:rPr>
          <w:rFonts w:ascii="Times New Roman" w:hAnsi="Times New Roman"/>
        </w:rPr>
        <w:t>第</w:t>
      </w:r>
      <w:r>
        <w:rPr>
          <w:rFonts w:hint="eastAsia"/>
          <w:lang w:val="en-US" w:eastAsia="zh-CN"/>
        </w:rPr>
        <w:t>四</w:t>
      </w:r>
      <w:r>
        <w:rPr>
          <w:rFonts w:ascii="Times New Roman" w:hAnsi="Times New Roman"/>
        </w:rPr>
        <w:t>节</w:t>
      </w:r>
      <w:r>
        <w:rPr>
          <w:rFonts w:hint="eastAsia"/>
          <w:lang w:val="en-US" w:eastAsia="zh-CN"/>
        </w:rPr>
        <w:t xml:space="preserve"> </w:t>
      </w:r>
      <w:r>
        <w:rPr>
          <w:rFonts w:ascii="Times New Roman" w:hAnsi="Times New Roman"/>
        </w:rPr>
        <w:t>合同附件格式</w:t>
      </w:r>
      <w:bookmarkEnd w:id="255"/>
    </w:p>
    <w:p>
      <w:pPr>
        <w:pStyle w:val="5"/>
        <w:ind w:firstLine="137"/>
        <w:jc w:val="left"/>
        <w:rPr>
          <w:rFonts w:ascii="Times New Roman"/>
        </w:rPr>
      </w:pPr>
      <w:r>
        <w:rPr>
          <w:rFonts w:ascii="Times New Roman"/>
        </w:rPr>
        <w:br w:type="page"/>
      </w:r>
      <w:bookmarkStart w:id="256" w:name="_Toc48"/>
      <w:bookmarkStart w:id="257" w:name="_Toc491798523"/>
      <w:r>
        <w:rPr>
          <w:rFonts w:hint="eastAsia" w:ascii="Times New Roman"/>
        </w:rPr>
        <w:t>附件</w:t>
      </w:r>
      <w:r>
        <w:rPr>
          <w:rFonts w:hint="eastAsia" w:ascii="Times New Roman"/>
          <w:lang w:val="en-US" w:eastAsia="zh-CN"/>
        </w:rPr>
        <w:t>一</w:t>
      </w:r>
      <w:r>
        <w:rPr>
          <w:rFonts w:hint="eastAsia" w:ascii="Times New Roman"/>
        </w:rPr>
        <w:t>：</w:t>
      </w:r>
      <w:r>
        <w:rPr>
          <w:rFonts w:hint="eastAsia" w:ascii="宋体" w:hAnsi="宋体" w:cs="仿宋_GB2312"/>
          <w:kern w:val="0"/>
          <w:szCs w:val="21"/>
        </w:rPr>
        <w:t>监理服务范围、内容和要求</w:t>
      </w:r>
      <w:bookmarkEnd w:id="256"/>
    </w:p>
    <w:p>
      <w:pPr>
        <w:spacing w:line="440" w:lineRule="exact"/>
        <w:jc w:val="center"/>
        <w:rPr>
          <w:rFonts w:eastAsia="黑体"/>
          <w:sz w:val="28"/>
        </w:rPr>
      </w:pPr>
      <w:r>
        <w:rPr>
          <w:rFonts w:hint="eastAsia" w:eastAsia="黑体"/>
          <w:sz w:val="28"/>
        </w:rPr>
        <w:t>监理服务范围、内容和要求</w:t>
      </w:r>
    </w:p>
    <w:p>
      <w:pPr>
        <w:autoSpaceDE w:val="0"/>
        <w:autoSpaceDN w:val="0"/>
        <w:adjustRightInd w:val="0"/>
        <w:spacing w:line="360" w:lineRule="auto"/>
        <w:jc w:val="left"/>
        <w:rPr>
          <w:rFonts w:ascii="宋体" w:hAnsi="宋体"/>
          <w:szCs w:val="21"/>
        </w:rPr>
      </w:pPr>
    </w:p>
    <w:p>
      <w:pPr>
        <w:spacing w:line="440" w:lineRule="exact"/>
        <w:ind w:firstLine="422" w:firstLineChars="200"/>
        <w:rPr>
          <w:rFonts w:ascii="宋体" w:hAnsi="宋体" w:cs="宋体"/>
          <w:szCs w:val="21"/>
          <w:u w:val="single"/>
        </w:rPr>
      </w:pPr>
      <w:r>
        <w:rPr>
          <w:rFonts w:hint="eastAsia" w:ascii="宋体" w:hAnsi="宋体" w:cs="宋体"/>
          <w:b/>
          <w:bCs/>
          <w:szCs w:val="21"/>
        </w:rPr>
        <w:t>1 监理服务范围</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spacing w:line="440" w:lineRule="exact"/>
        <w:ind w:firstLine="422" w:firstLineChars="200"/>
        <w:rPr>
          <w:rFonts w:ascii="宋体" w:hAnsi="宋体" w:cs="宋体"/>
          <w:b/>
          <w:bCs/>
          <w:szCs w:val="21"/>
        </w:rPr>
      </w:pPr>
      <w:r>
        <w:rPr>
          <w:rFonts w:hint="eastAsia" w:ascii="宋体" w:hAnsi="宋体" w:cs="宋体"/>
          <w:b/>
          <w:bCs/>
          <w:szCs w:val="21"/>
        </w:rPr>
        <w:t>2 监理服务内容和要求</w:t>
      </w:r>
    </w:p>
    <w:p>
      <w:pPr>
        <w:spacing w:line="440" w:lineRule="exact"/>
        <w:ind w:firstLine="422" w:firstLineChars="200"/>
        <w:rPr>
          <w:rFonts w:ascii="宋体" w:hAnsi="宋体" w:cs="宋体"/>
          <w:b/>
          <w:bCs/>
          <w:szCs w:val="21"/>
        </w:rPr>
      </w:pPr>
      <w:r>
        <w:rPr>
          <w:rFonts w:hint="eastAsia" w:ascii="宋体" w:hAnsi="宋体" w:cs="宋体"/>
          <w:b/>
          <w:bCs/>
          <w:szCs w:val="21"/>
        </w:rPr>
        <w:t>2.1 监理工作职责</w:t>
      </w:r>
    </w:p>
    <w:p>
      <w:pPr>
        <w:spacing w:line="440" w:lineRule="exact"/>
        <w:ind w:firstLine="420" w:firstLineChars="200"/>
        <w:rPr>
          <w:rFonts w:ascii="宋体" w:hAnsi="宋体" w:cs="宋体"/>
          <w:szCs w:val="21"/>
        </w:rPr>
      </w:pPr>
      <w:r>
        <w:rPr>
          <w:rFonts w:hint="eastAsia" w:ascii="宋体" w:hAnsi="宋体" w:cs="宋体"/>
          <w:szCs w:val="21"/>
        </w:rPr>
        <w:t>2.1.1职责</w:t>
      </w:r>
    </w:p>
    <w:p>
      <w:pPr>
        <w:spacing w:line="440" w:lineRule="exact"/>
        <w:ind w:firstLine="420" w:firstLineChars="200"/>
        <w:rPr>
          <w:rFonts w:ascii="宋体" w:hAnsi="宋体" w:cs="宋体"/>
          <w:szCs w:val="21"/>
          <w:lang w:val="zh-CN"/>
        </w:rPr>
      </w:pPr>
      <w:r>
        <w:rPr>
          <w:rFonts w:hint="eastAsia" w:ascii="宋体" w:hAnsi="宋体" w:cs="宋体"/>
          <w:szCs w:val="21"/>
          <w:lang w:val="zh-CN"/>
        </w:rPr>
        <w:t>2.1.1.1 委托人（业主项目部）负责对监理项目部进行监督、检查和评价。</w:t>
      </w:r>
    </w:p>
    <w:p>
      <w:pPr>
        <w:spacing w:line="440" w:lineRule="exact"/>
        <w:ind w:firstLine="420" w:firstLineChars="200"/>
        <w:rPr>
          <w:rFonts w:ascii="宋体" w:hAnsi="宋体" w:cs="宋体"/>
          <w:szCs w:val="21"/>
          <w:lang w:val="zh-CN"/>
        </w:rPr>
      </w:pPr>
      <w:r>
        <w:rPr>
          <w:rFonts w:hint="eastAsia" w:ascii="宋体" w:hAnsi="宋体" w:cs="宋体"/>
          <w:szCs w:val="21"/>
          <w:lang w:val="zh-CN"/>
        </w:rPr>
        <w:t>2.1.1.2 监理项目部应严格执行本手册，对发现的问题及时通过监理人向委托人和有关单位反馈。</w:t>
      </w:r>
    </w:p>
    <w:p>
      <w:pPr>
        <w:spacing w:line="440" w:lineRule="exact"/>
        <w:ind w:firstLine="420" w:firstLineChars="200"/>
        <w:rPr>
          <w:rFonts w:ascii="宋体" w:hAnsi="宋体" w:cs="宋体"/>
          <w:szCs w:val="21"/>
          <w:lang w:val="zh-CN"/>
        </w:rPr>
      </w:pPr>
      <w:r>
        <w:rPr>
          <w:rFonts w:hint="eastAsia" w:ascii="宋体" w:hAnsi="宋体" w:cs="宋体"/>
          <w:szCs w:val="21"/>
          <w:lang w:val="zh-CN"/>
        </w:rPr>
        <w:t>2.1.1.3</w:t>
      </w:r>
      <w:r>
        <w:rPr>
          <w:rFonts w:hint="eastAsia" w:ascii="宋体" w:hAnsi="宋体" w:cs="宋体"/>
          <w:szCs w:val="21"/>
        </w:rPr>
        <w:t>监理项目部资源配置</w:t>
      </w:r>
    </w:p>
    <w:p>
      <w:pPr>
        <w:spacing w:line="44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kern w:val="0"/>
          <w:szCs w:val="21"/>
        </w:rPr>
        <w:t>）</w:t>
      </w:r>
      <w:r>
        <w:rPr>
          <w:rFonts w:hint="eastAsia" w:ascii="宋体" w:hAnsi="宋体" w:cs="宋体"/>
          <w:szCs w:val="21"/>
        </w:rPr>
        <w:t>监理项目部人员配置</w:t>
      </w:r>
    </w:p>
    <w:p>
      <w:pPr>
        <w:spacing w:line="440" w:lineRule="exact"/>
        <w:ind w:firstLine="420" w:firstLineChars="200"/>
        <w:rPr>
          <w:rFonts w:ascii="宋体" w:hAnsi="宋体" w:cs="宋体"/>
          <w:szCs w:val="21"/>
        </w:rPr>
      </w:pPr>
      <w:r>
        <w:rPr>
          <w:rFonts w:hint="eastAsia" w:ascii="宋体" w:hAnsi="宋体" w:cs="宋体"/>
          <w:szCs w:val="21"/>
        </w:rPr>
        <w:t>监理人应在建设工程监理合同订立后，及时将总监理工程师任命书及监理项目部人员组成一览表和相关设施配置一览表书面报送委托人。</w:t>
      </w:r>
    </w:p>
    <w:p>
      <w:pPr>
        <w:spacing w:line="440" w:lineRule="exact"/>
        <w:ind w:firstLine="420" w:firstLineChars="200"/>
        <w:rPr>
          <w:rFonts w:ascii="宋体" w:hAnsi="宋体" w:cs="宋体"/>
          <w:szCs w:val="21"/>
        </w:rPr>
      </w:pPr>
      <w:r>
        <w:rPr>
          <w:rFonts w:hint="eastAsia" w:ascii="宋体" w:hAnsi="宋体" w:cs="宋体"/>
          <w:szCs w:val="21"/>
        </w:rPr>
        <w:t>监理人需要调整总监理工程师的，应征得委托人同意并书面通知；需要调整专业监理工程师的，总监理工程师应书面通知委托人和施工项目部。监理项目部的人员配置应遵守监理人投标的承诺和满足工程建设的需要。</w:t>
      </w:r>
    </w:p>
    <w:p>
      <w:pPr>
        <w:spacing w:line="440" w:lineRule="exact"/>
        <w:ind w:firstLine="420" w:firstLineChars="200"/>
        <w:rPr>
          <w:rFonts w:ascii="宋体" w:hAnsi="宋体" w:cs="宋体"/>
          <w:szCs w:val="21"/>
        </w:rPr>
      </w:pPr>
      <w:r>
        <w:rPr>
          <w:rFonts w:hint="eastAsia" w:ascii="宋体" w:hAnsi="宋体" w:cs="宋体"/>
          <w:szCs w:val="21"/>
        </w:rPr>
        <w:t>（1）主网变电站、换流站工程监理人员配置基本要求</w:t>
      </w:r>
    </w:p>
    <w:p>
      <w:pPr>
        <w:spacing w:line="440" w:lineRule="exact"/>
        <w:ind w:firstLine="420" w:firstLineChars="200"/>
        <w:rPr>
          <w:rFonts w:ascii="宋体" w:hAnsi="宋体" w:cs="宋体"/>
          <w:szCs w:val="21"/>
        </w:rPr>
      </w:pPr>
      <w:r>
        <w:rPr>
          <w:rFonts w:hint="eastAsia" w:ascii="宋体" w:hAnsi="宋体" w:cs="宋体"/>
          <w:szCs w:val="21"/>
        </w:rPr>
        <w:t>主网变电站、换流站工程监理人员配置基本要求见表1。</w:t>
      </w:r>
    </w:p>
    <w:p>
      <w:pPr>
        <w:autoSpaceDE w:val="0"/>
        <w:autoSpaceDN w:val="0"/>
        <w:adjustRightInd w:val="0"/>
        <w:spacing w:line="360" w:lineRule="auto"/>
        <w:jc w:val="center"/>
        <w:rPr>
          <w:rFonts w:ascii="宋体" w:hAnsi="宋体" w:cs="宋体"/>
          <w:b/>
          <w:bCs/>
          <w:kern w:val="0"/>
          <w:szCs w:val="21"/>
        </w:rPr>
      </w:pPr>
      <w:r>
        <w:rPr>
          <w:rFonts w:hint="eastAsia" w:ascii="宋体" w:hAnsi="宋体" w:cs="宋体"/>
          <w:b/>
          <w:bCs/>
          <w:kern w:val="0"/>
          <w:szCs w:val="21"/>
        </w:rPr>
        <w:t>表1 主网变电站、换流站工程监理人员配置基本要求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354"/>
        <w:gridCol w:w="1379"/>
        <w:gridCol w:w="700"/>
        <w:gridCol w:w="1596"/>
        <w:gridCol w:w="874"/>
        <w:gridCol w:w="808"/>
        <w:gridCol w:w="817"/>
        <w:gridCol w:w="999"/>
        <w:gridCol w:w="868"/>
        <w:gridCol w:w="70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354"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序号</w:t>
            </w:r>
          </w:p>
        </w:tc>
        <w:tc>
          <w:tcPr>
            <w:tcW w:w="1379"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监理项目部名称</w:t>
            </w:r>
          </w:p>
        </w:tc>
        <w:tc>
          <w:tcPr>
            <w:tcW w:w="700"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总监理工程师</w:t>
            </w:r>
          </w:p>
        </w:tc>
        <w:tc>
          <w:tcPr>
            <w:tcW w:w="1596"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总监理工程师代表或副总监理工程师</w:t>
            </w:r>
          </w:p>
        </w:tc>
        <w:tc>
          <w:tcPr>
            <w:tcW w:w="1682" w:type="dxa"/>
            <w:gridSpan w:val="2"/>
            <w:noWrap w:val="0"/>
            <w:vAlign w:val="center"/>
          </w:tcPr>
          <w:p>
            <w:pPr>
              <w:spacing w:line="360" w:lineRule="auto"/>
              <w:jc w:val="center"/>
              <w:rPr>
                <w:rFonts w:ascii="宋体" w:hAnsi="宋体" w:cs="宋体"/>
                <w:b/>
                <w:bCs/>
                <w:szCs w:val="21"/>
              </w:rPr>
            </w:pPr>
            <w:r>
              <w:rPr>
                <w:rFonts w:hint="eastAsia" w:ascii="宋体" w:hAnsi="宋体" w:cs="宋体"/>
                <w:b/>
                <w:bCs/>
                <w:szCs w:val="21"/>
              </w:rPr>
              <w:t>专业监理工程师</w:t>
            </w:r>
          </w:p>
        </w:tc>
        <w:tc>
          <w:tcPr>
            <w:tcW w:w="817"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安全监理工程师</w:t>
            </w:r>
          </w:p>
        </w:tc>
        <w:tc>
          <w:tcPr>
            <w:tcW w:w="999"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监理员</w:t>
            </w:r>
          </w:p>
        </w:tc>
        <w:tc>
          <w:tcPr>
            <w:tcW w:w="868" w:type="dxa"/>
            <w:vMerge w:val="restart"/>
            <w:noWrap w:val="0"/>
            <w:vAlign w:val="center"/>
          </w:tcPr>
          <w:p>
            <w:pPr>
              <w:spacing w:line="360" w:lineRule="auto"/>
              <w:jc w:val="center"/>
              <w:rPr>
                <w:rFonts w:hint="eastAsia" w:ascii="宋体" w:hAnsi="宋体" w:eastAsia="宋体" w:cs="宋体"/>
                <w:b/>
                <w:bCs/>
                <w:szCs w:val="21"/>
                <w:lang w:eastAsia="zh-CN"/>
              </w:rPr>
            </w:pPr>
            <w:r>
              <w:rPr>
                <w:rFonts w:hint="eastAsia" w:ascii="宋体" w:hAnsi="宋体" w:cs="宋体"/>
                <w:b/>
                <w:bCs/>
                <w:szCs w:val="21"/>
              </w:rPr>
              <w:t>造价</w:t>
            </w:r>
          </w:p>
          <w:p>
            <w:pPr>
              <w:spacing w:line="360" w:lineRule="auto"/>
              <w:jc w:val="center"/>
              <w:rPr>
                <w:rFonts w:ascii="宋体" w:hAnsi="宋体" w:cs="宋体"/>
                <w:b/>
                <w:bCs/>
                <w:szCs w:val="21"/>
              </w:rPr>
            </w:pPr>
            <w:r>
              <w:rPr>
                <w:rFonts w:hint="eastAsia" w:ascii="宋体" w:hAnsi="宋体" w:cs="宋体"/>
                <w:b/>
                <w:bCs/>
                <w:szCs w:val="21"/>
              </w:rPr>
              <w:t>人员</w:t>
            </w:r>
          </w:p>
        </w:tc>
        <w:tc>
          <w:tcPr>
            <w:tcW w:w="706" w:type="dxa"/>
            <w:vMerge w:val="restart"/>
            <w:noWrap w:val="0"/>
            <w:vAlign w:val="center"/>
          </w:tcPr>
          <w:p>
            <w:pPr>
              <w:spacing w:line="360" w:lineRule="auto"/>
              <w:jc w:val="center"/>
              <w:rPr>
                <w:rFonts w:ascii="宋体" w:hAnsi="宋体" w:cs="宋体"/>
                <w:b/>
                <w:bCs/>
                <w:szCs w:val="21"/>
              </w:rPr>
            </w:pPr>
            <w:r>
              <w:rPr>
                <w:rFonts w:hint="eastAsia" w:ascii="宋体" w:hAnsi="宋体" w:cs="宋体"/>
                <w:b/>
                <w:bCs/>
                <w:szCs w:val="21"/>
              </w:rPr>
              <w:t>信息管理人员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tblHeader/>
          <w:jc w:val="center"/>
        </w:trPr>
        <w:tc>
          <w:tcPr>
            <w:tcW w:w="354" w:type="dxa"/>
            <w:vMerge w:val="continue"/>
            <w:noWrap w:val="0"/>
            <w:vAlign w:val="center"/>
          </w:tcPr>
          <w:p>
            <w:pPr>
              <w:spacing w:line="360" w:lineRule="auto"/>
              <w:jc w:val="center"/>
              <w:rPr>
                <w:rFonts w:ascii="宋体" w:hAnsi="宋体" w:cs="宋体"/>
                <w:szCs w:val="21"/>
              </w:rPr>
            </w:pPr>
          </w:p>
        </w:tc>
        <w:tc>
          <w:tcPr>
            <w:tcW w:w="1379" w:type="dxa"/>
            <w:vMerge w:val="continue"/>
            <w:noWrap w:val="0"/>
            <w:vAlign w:val="center"/>
          </w:tcPr>
          <w:p>
            <w:pPr>
              <w:spacing w:line="360" w:lineRule="auto"/>
              <w:jc w:val="center"/>
              <w:rPr>
                <w:rFonts w:ascii="宋体" w:hAnsi="宋体" w:cs="宋体"/>
                <w:szCs w:val="21"/>
              </w:rPr>
            </w:pPr>
          </w:p>
        </w:tc>
        <w:tc>
          <w:tcPr>
            <w:tcW w:w="700" w:type="dxa"/>
            <w:vMerge w:val="continue"/>
            <w:noWrap w:val="0"/>
            <w:vAlign w:val="center"/>
          </w:tcPr>
          <w:p>
            <w:pPr>
              <w:spacing w:line="360" w:lineRule="auto"/>
              <w:jc w:val="center"/>
              <w:rPr>
                <w:rFonts w:ascii="宋体" w:hAnsi="宋体" w:cs="宋体"/>
                <w:szCs w:val="21"/>
              </w:rPr>
            </w:pPr>
          </w:p>
        </w:tc>
        <w:tc>
          <w:tcPr>
            <w:tcW w:w="1596" w:type="dxa"/>
            <w:vMerge w:val="continue"/>
            <w:noWrap w:val="0"/>
            <w:vAlign w:val="center"/>
          </w:tcPr>
          <w:p>
            <w:pPr>
              <w:spacing w:line="360" w:lineRule="auto"/>
              <w:jc w:val="center"/>
              <w:rPr>
                <w:rFonts w:ascii="宋体" w:hAnsi="宋体" w:cs="宋体"/>
                <w:szCs w:val="21"/>
              </w:rPr>
            </w:pPr>
          </w:p>
        </w:tc>
        <w:tc>
          <w:tcPr>
            <w:tcW w:w="874" w:type="dxa"/>
            <w:noWrap w:val="0"/>
            <w:vAlign w:val="center"/>
          </w:tcPr>
          <w:p>
            <w:pPr>
              <w:spacing w:line="360" w:lineRule="auto"/>
              <w:jc w:val="center"/>
              <w:rPr>
                <w:rFonts w:ascii="宋体" w:hAnsi="宋体" w:cs="宋体"/>
                <w:b/>
                <w:bCs/>
                <w:szCs w:val="21"/>
              </w:rPr>
            </w:pPr>
            <w:r>
              <w:rPr>
                <w:rFonts w:hint="eastAsia" w:ascii="宋体" w:hAnsi="宋体" w:cs="宋体"/>
                <w:b/>
                <w:bCs/>
                <w:szCs w:val="21"/>
              </w:rPr>
              <w:t>土建</w:t>
            </w:r>
          </w:p>
        </w:tc>
        <w:tc>
          <w:tcPr>
            <w:tcW w:w="808" w:type="dxa"/>
            <w:noWrap w:val="0"/>
            <w:vAlign w:val="center"/>
          </w:tcPr>
          <w:p>
            <w:pPr>
              <w:spacing w:line="360" w:lineRule="auto"/>
              <w:jc w:val="center"/>
              <w:rPr>
                <w:rFonts w:ascii="宋体" w:hAnsi="宋体" w:cs="宋体"/>
                <w:b/>
                <w:bCs/>
                <w:szCs w:val="21"/>
              </w:rPr>
            </w:pPr>
            <w:r>
              <w:rPr>
                <w:rFonts w:hint="eastAsia" w:ascii="宋体" w:hAnsi="宋体" w:cs="宋体"/>
                <w:b/>
                <w:bCs/>
                <w:szCs w:val="21"/>
              </w:rPr>
              <w:t>电气</w:t>
            </w:r>
          </w:p>
        </w:tc>
        <w:tc>
          <w:tcPr>
            <w:tcW w:w="817" w:type="dxa"/>
            <w:vMerge w:val="continue"/>
            <w:noWrap w:val="0"/>
            <w:vAlign w:val="center"/>
          </w:tcPr>
          <w:p>
            <w:pPr>
              <w:spacing w:line="360" w:lineRule="auto"/>
              <w:jc w:val="center"/>
              <w:rPr>
                <w:rFonts w:ascii="宋体" w:hAnsi="宋体" w:cs="宋体"/>
                <w:szCs w:val="21"/>
              </w:rPr>
            </w:pPr>
          </w:p>
        </w:tc>
        <w:tc>
          <w:tcPr>
            <w:tcW w:w="999" w:type="dxa"/>
            <w:vMerge w:val="continue"/>
            <w:noWrap w:val="0"/>
            <w:vAlign w:val="center"/>
          </w:tcPr>
          <w:p>
            <w:pPr>
              <w:spacing w:line="360" w:lineRule="auto"/>
              <w:jc w:val="center"/>
              <w:rPr>
                <w:rFonts w:ascii="宋体" w:hAnsi="宋体" w:cs="宋体"/>
                <w:szCs w:val="21"/>
              </w:rPr>
            </w:pPr>
          </w:p>
        </w:tc>
        <w:tc>
          <w:tcPr>
            <w:tcW w:w="868" w:type="dxa"/>
            <w:vMerge w:val="continue"/>
            <w:noWrap w:val="0"/>
            <w:vAlign w:val="center"/>
          </w:tcPr>
          <w:p>
            <w:pPr>
              <w:spacing w:line="360" w:lineRule="auto"/>
              <w:jc w:val="center"/>
              <w:rPr>
                <w:rFonts w:ascii="宋体" w:hAnsi="宋体" w:cs="宋体"/>
                <w:szCs w:val="21"/>
              </w:rPr>
            </w:pPr>
          </w:p>
        </w:tc>
        <w:tc>
          <w:tcPr>
            <w:tcW w:w="706" w:type="dxa"/>
            <w:vMerge w:val="continue"/>
            <w:noWrap w:val="0"/>
            <w:vAlign w:val="center"/>
          </w:tcPr>
          <w:p>
            <w:pPr>
              <w:spacing w:line="360" w:lineRule="auto"/>
              <w:jc w:val="center"/>
              <w:rPr>
                <w:rFonts w:ascii="宋体" w:hAnsi="宋体" w:cs="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379" w:type="dxa"/>
            <w:noWrap w:val="0"/>
            <w:vAlign w:val="center"/>
          </w:tcPr>
          <w:p>
            <w:pPr>
              <w:spacing w:line="360" w:lineRule="auto"/>
              <w:jc w:val="center"/>
              <w:rPr>
                <w:rFonts w:ascii="宋体" w:hAnsi="宋体" w:cs="宋体"/>
                <w:szCs w:val="21"/>
              </w:rPr>
            </w:pPr>
            <w:r>
              <w:rPr>
                <w:rFonts w:hint="eastAsia" w:ascii="宋体" w:hAnsi="宋体" w:cs="宋体"/>
                <w:szCs w:val="21"/>
              </w:rPr>
              <w:t>±800kV及以下换流站工程</w:t>
            </w:r>
          </w:p>
        </w:tc>
        <w:tc>
          <w:tcPr>
            <w:tcW w:w="700"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pPr>
              <w:spacing w:line="360" w:lineRule="auto"/>
              <w:jc w:val="center"/>
              <w:rPr>
                <w:rFonts w:ascii="宋体" w:hAnsi="宋体" w:cs="宋体"/>
                <w:szCs w:val="21"/>
              </w:rPr>
            </w:pPr>
            <w:r>
              <w:rPr>
                <w:rFonts w:hint="eastAsia" w:ascii="宋体" w:hAnsi="宋体" w:cs="宋体"/>
                <w:szCs w:val="21"/>
              </w:rPr>
              <w:t>3</w:t>
            </w:r>
          </w:p>
        </w:tc>
        <w:tc>
          <w:tcPr>
            <w:tcW w:w="808" w:type="dxa"/>
            <w:noWrap w:val="0"/>
            <w:vAlign w:val="center"/>
          </w:tcPr>
          <w:p>
            <w:pPr>
              <w:spacing w:line="360" w:lineRule="auto"/>
              <w:jc w:val="center"/>
              <w:rPr>
                <w:rFonts w:ascii="宋体" w:hAnsi="宋体" w:cs="宋体"/>
                <w:szCs w:val="21"/>
              </w:rPr>
            </w:pPr>
            <w:r>
              <w:rPr>
                <w:rFonts w:hint="eastAsia" w:ascii="宋体" w:hAnsi="宋体" w:cs="宋体"/>
                <w:szCs w:val="21"/>
              </w:rPr>
              <w:t>3</w:t>
            </w:r>
          </w:p>
        </w:tc>
        <w:tc>
          <w:tcPr>
            <w:tcW w:w="81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999" w:type="dxa"/>
            <w:noWrap w:val="0"/>
            <w:vAlign w:val="center"/>
          </w:tcPr>
          <w:p>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706" w:type="dxa"/>
            <w:noWrap w:val="0"/>
            <w:vAlign w:val="center"/>
          </w:tcPr>
          <w:p>
            <w:pPr>
              <w:spacing w:line="360" w:lineRule="auto"/>
              <w:jc w:val="center"/>
              <w:rPr>
                <w:rFonts w:ascii="宋体" w:hAnsi="宋体" w:cs="宋体"/>
                <w:szCs w:val="21"/>
              </w:rPr>
            </w:pPr>
            <w:r>
              <w:rPr>
                <w:rFonts w:hint="eastAsia" w:ascii="宋体" w:hAnsi="宋体" w:cs="宋体"/>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pPr>
              <w:spacing w:line="360" w:lineRule="auto"/>
              <w:jc w:val="center"/>
              <w:rPr>
                <w:rFonts w:ascii="宋体" w:hAnsi="宋体" w:cs="宋体"/>
                <w:szCs w:val="21"/>
              </w:rPr>
            </w:pPr>
            <w:r>
              <w:rPr>
                <w:rFonts w:hint="eastAsia" w:ascii="宋体" w:hAnsi="宋体" w:cs="宋体"/>
                <w:szCs w:val="21"/>
              </w:rPr>
              <w:t>2</w:t>
            </w:r>
          </w:p>
        </w:tc>
        <w:tc>
          <w:tcPr>
            <w:tcW w:w="1379" w:type="dxa"/>
            <w:noWrap w:val="0"/>
            <w:vAlign w:val="center"/>
          </w:tcPr>
          <w:p>
            <w:pPr>
              <w:spacing w:line="360" w:lineRule="auto"/>
              <w:jc w:val="center"/>
              <w:rPr>
                <w:rFonts w:ascii="宋体" w:hAnsi="宋体" w:cs="宋体"/>
                <w:szCs w:val="21"/>
              </w:rPr>
            </w:pPr>
            <w:r>
              <w:rPr>
                <w:rFonts w:hint="eastAsia" w:ascii="宋体" w:hAnsi="宋体" w:cs="宋体"/>
                <w:szCs w:val="21"/>
              </w:rPr>
              <w:t>500kV及以上交流变电工程</w:t>
            </w:r>
          </w:p>
        </w:tc>
        <w:tc>
          <w:tcPr>
            <w:tcW w:w="700"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pPr>
              <w:spacing w:line="360" w:lineRule="auto"/>
              <w:jc w:val="center"/>
              <w:rPr>
                <w:rFonts w:ascii="宋体" w:hAnsi="宋体" w:cs="宋体"/>
                <w:szCs w:val="21"/>
              </w:rPr>
            </w:pPr>
            <w:r>
              <w:rPr>
                <w:rFonts w:hint="eastAsia" w:ascii="宋体" w:hAnsi="宋体" w:cs="宋体"/>
                <w:szCs w:val="21"/>
              </w:rPr>
              <w:t>2</w:t>
            </w:r>
          </w:p>
        </w:tc>
        <w:tc>
          <w:tcPr>
            <w:tcW w:w="808" w:type="dxa"/>
            <w:noWrap w:val="0"/>
            <w:vAlign w:val="center"/>
          </w:tcPr>
          <w:p>
            <w:pPr>
              <w:spacing w:line="360" w:lineRule="auto"/>
              <w:jc w:val="center"/>
              <w:rPr>
                <w:rFonts w:ascii="宋体" w:hAnsi="宋体" w:cs="宋体"/>
                <w:szCs w:val="21"/>
              </w:rPr>
            </w:pPr>
            <w:r>
              <w:rPr>
                <w:rFonts w:hint="eastAsia" w:ascii="宋体" w:hAnsi="宋体" w:cs="宋体"/>
                <w:szCs w:val="21"/>
              </w:rPr>
              <w:t>2</w:t>
            </w:r>
          </w:p>
        </w:tc>
        <w:tc>
          <w:tcPr>
            <w:tcW w:w="81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999" w:type="dxa"/>
            <w:noWrap w:val="0"/>
            <w:vAlign w:val="center"/>
          </w:tcPr>
          <w:p>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pPr>
              <w:spacing w:line="360" w:lineRule="auto"/>
              <w:jc w:val="center"/>
              <w:rPr>
                <w:rFonts w:ascii="宋体" w:hAnsi="宋体" w:cs="宋体"/>
                <w:szCs w:val="21"/>
              </w:rPr>
            </w:pPr>
            <w:r>
              <w:rPr>
                <w:rFonts w:hint="eastAsia" w:ascii="宋体" w:hAnsi="宋体" w:cs="宋体"/>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pPr>
              <w:spacing w:line="360" w:lineRule="auto"/>
              <w:jc w:val="center"/>
              <w:rPr>
                <w:rFonts w:ascii="宋体" w:hAnsi="宋体" w:cs="宋体"/>
                <w:szCs w:val="21"/>
              </w:rPr>
            </w:pPr>
            <w:r>
              <w:rPr>
                <w:rFonts w:hint="eastAsia" w:ascii="宋体" w:hAnsi="宋体" w:cs="宋体"/>
                <w:szCs w:val="21"/>
              </w:rPr>
              <w:t>3</w:t>
            </w:r>
          </w:p>
        </w:tc>
        <w:tc>
          <w:tcPr>
            <w:tcW w:w="1379" w:type="dxa"/>
            <w:noWrap w:val="0"/>
            <w:vAlign w:val="center"/>
          </w:tcPr>
          <w:p>
            <w:pPr>
              <w:spacing w:line="360" w:lineRule="auto"/>
              <w:jc w:val="center"/>
              <w:rPr>
                <w:rFonts w:ascii="宋体" w:hAnsi="宋体" w:cs="宋体"/>
                <w:szCs w:val="21"/>
              </w:rPr>
            </w:pPr>
            <w:r>
              <w:rPr>
                <w:rFonts w:hint="eastAsia" w:ascii="宋体" w:hAnsi="宋体" w:cs="宋体"/>
                <w:szCs w:val="21"/>
              </w:rPr>
              <w:t>220kV变电站工程</w:t>
            </w:r>
          </w:p>
        </w:tc>
        <w:tc>
          <w:tcPr>
            <w:tcW w:w="700"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pPr>
              <w:spacing w:line="360" w:lineRule="auto"/>
              <w:jc w:val="center"/>
              <w:rPr>
                <w:rFonts w:ascii="宋体" w:hAnsi="宋体" w:cs="宋体"/>
                <w:szCs w:val="21"/>
              </w:rPr>
            </w:pPr>
            <w:r>
              <w:rPr>
                <w:rFonts w:hint="eastAsia" w:ascii="宋体" w:hAnsi="宋体" w:cs="宋体"/>
                <w:szCs w:val="21"/>
              </w:rPr>
              <w:t>4</w:t>
            </w:r>
          </w:p>
        </w:tc>
        <w:tc>
          <w:tcPr>
            <w:tcW w:w="1379" w:type="dxa"/>
            <w:noWrap w:val="0"/>
            <w:vAlign w:val="center"/>
          </w:tcPr>
          <w:p>
            <w:pPr>
              <w:spacing w:line="360" w:lineRule="auto"/>
              <w:jc w:val="center"/>
              <w:rPr>
                <w:rFonts w:ascii="宋体" w:hAnsi="宋体" w:cs="宋体"/>
                <w:szCs w:val="21"/>
              </w:rPr>
            </w:pPr>
            <w:r>
              <w:rPr>
                <w:rFonts w:hint="eastAsia" w:ascii="宋体" w:hAnsi="宋体" w:cs="宋体"/>
                <w:szCs w:val="21"/>
              </w:rPr>
              <w:t>110kV变电站工程</w:t>
            </w:r>
          </w:p>
        </w:tc>
        <w:tc>
          <w:tcPr>
            <w:tcW w:w="700"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54" w:type="dxa"/>
            <w:noWrap w:val="0"/>
            <w:vAlign w:val="center"/>
          </w:tcPr>
          <w:p>
            <w:pPr>
              <w:spacing w:line="360" w:lineRule="auto"/>
              <w:jc w:val="center"/>
              <w:rPr>
                <w:rFonts w:ascii="宋体" w:hAnsi="宋体" w:cs="宋体"/>
                <w:szCs w:val="21"/>
              </w:rPr>
            </w:pPr>
            <w:r>
              <w:rPr>
                <w:rFonts w:hint="eastAsia" w:ascii="宋体" w:hAnsi="宋体" w:cs="宋体"/>
                <w:szCs w:val="21"/>
              </w:rPr>
              <w:t>5</w:t>
            </w:r>
          </w:p>
        </w:tc>
        <w:tc>
          <w:tcPr>
            <w:tcW w:w="1379" w:type="dxa"/>
            <w:noWrap w:val="0"/>
            <w:vAlign w:val="center"/>
          </w:tcPr>
          <w:p>
            <w:pPr>
              <w:spacing w:line="360" w:lineRule="auto"/>
              <w:jc w:val="center"/>
              <w:rPr>
                <w:rFonts w:ascii="宋体" w:hAnsi="宋体" w:cs="宋体"/>
                <w:szCs w:val="21"/>
              </w:rPr>
            </w:pPr>
            <w:r>
              <w:rPr>
                <w:rFonts w:hint="eastAsia" w:ascii="宋体" w:hAnsi="宋体" w:cs="宋体"/>
                <w:szCs w:val="21"/>
              </w:rPr>
              <w:t>35kV变电站工程</w:t>
            </w:r>
          </w:p>
        </w:tc>
        <w:tc>
          <w:tcPr>
            <w:tcW w:w="700"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6"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74"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08"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817"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999" w:type="dxa"/>
            <w:noWrap w:val="0"/>
            <w:vAlign w:val="center"/>
          </w:tcPr>
          <w:p>
            <w:pPr>
              <w:spacing w:line="360" w:lineRule="auto"/>
              <w:jc w:val="center"/>
              <w:rPr>
                <w:rFonts w:ascii="宋体" w:hAnsi="宋体" w:cs="宋体"/>
                <w:szCs w:val="21"/>
              </w:rPr>
            </w:pPr>
            <w:r>
              <w:rPr>
                <w:rFonts w:hint="eastAsia" w:ascii="宋体" w:hAnsi="宋体" w:cs="宋体"/>
                <w:szCs w:val="21"/>
              </w:rPr>
              <w:t>按专业需要配置</w:t>
            </w:r>
          </w:p>
        </w:tc>
        <w:tc>
          <w:tcPr>
            <w:tcW w:w="868"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c>
          <w:tcPr>
            <w:tcW w:w="706" w:type="dxa"/>
            <w:noWrap w:val="0"/>
            <w:vAlign w:val="center"/>
          </w:tcPr>
          <w:p>
            <w:pPr>
              <w:spacing w:line="360" w:lineRule="auto"/>
              <w:jc w:val="center"/>
              <w:rPr>
                <w:rFonts w:ascii="宋体" w:hAnsi="宋体" w:cs="宋体"/>
                <w:szCs w:val="21"/>
              </w:rPr>
            </w:pPr>
            <w:r>
              <w:rPr>
                <w:rFonts w:hint="eastAsia" w:ascii="宋体" w:hAnsi="宋体" w:cs="宋体"/>
                <w:szCs w:val="21"/>
              </w:rPr>
              <w:t>兼1</w:t>
            </w:r>
          </w:p>
        </w:tc>
      </w:tr>
    </w:tbl>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注1．上表为主网变电站、换流站工程监理人员配置基本要求，改扩建工程监理人员配置参照执行。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2．当总监理工程师需同时兼任多个监理项目部总监工作时，应征得委托人同意。</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3．监理人应根据工程进展情况和工程施工强度及时派驻人员进场。在施工高峰期或针对特殊工程项目应适当增加监理人员数量。</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（2）主网线路工程监理人员配置基本要求</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主网线路工程监理人员配置基本要求见表2。</w:t>
      </w:r>
    </w:p>
    <w:p>
      <w:pPr>
        <w:autoSpaceDE w:val="0"/>
        <w:autoSpaceDN w:val="0"/>
        <w:adjustRightInd w:val="0"/>
        <w:spacing w:line="360" w:lineRule="auto"/>
        <w:jc w:val="center"/>
        <w:rPr>
          <w:rFonts w:ascii="宋体" w:hAnsi="宋体" w:cs="宋体"/>
          <w:b/>
          <w:bCs/>
          <w:kern w:val="0"/>
          <w:szCs w:val="21"/>
        </w:rPr>
      </w:pPr>
      <w:r>
        <w:rPr>
          <w:rFonts w:hint="eastAsia" w:ascii="宋体" w:hAnsi="宋体" w:cs="宋体"/>
          <w:b/>
          <w:bCs/>
          <w:kern w:val="0"/>
          <w:szCs w:val="21"/>
        </w:rPr>
        <w:t>表2 主网线路工程监理人员配置基本要求</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1870"/>
        <w:gridCol w:w="887"/>
        <w:gridCol w:w="1595"/>
        <w:gridCol w:w="863"/>
        <w:gridCol w:w="754"/>
        <w:gridCol w:w="1520"/>
        <w:gridCol w:w="497"/>
        <w:gridCol w:w="69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517" w:type="dxa"/>
            <w:noWrap w:val="0"/>
            <w:vAlign w:val="center"/>
          </w:tcPr>
          <w:p>
            <w:pPr>
              <w:spacing w:line="360" w:lineRule="auto"/>
              <w:jc w:val="center"/>
              <w:rPr>
                <w:rFonts w:ascii="宋体" w:hAnsi="宋体" w:cs="宋体"/>
                <w:b/>
                <w:bCs/>
                <w:szCs w:val="21"/>
              </w:rPr>
            </w:pPr>
            <w:r>
              <w:rPr>
                <w:rFonts w:hint="eastAsia" w:ascii="宋体" w:hAnsi="宋体" w:cs="宋体"/>
                <w:b/>
                <w:bCs/>
                <w:szCs w:val="21"/>
              </w:rPr>
              <w:t>序号</w:t>
            </w:r>
          </w:p>
        </w:tc>
        <w:tc>
          <w:tcPr>
            <w:tcW w:w="1870" w:type="dxa"/>
            <w:noWrap w:val="0"/>
            <w:vAlign w:val="center"/>
          </w:tcPr>
          <w:p>
            <w:pPr>
              <w:spacing w:line="360" w:lineRule="auto"/>
              <w:jc w:val="center"/>
              <w:rPr>
                <w:rFonts w:ascii="宋体" w:hAnsi="宋体" w:cs="宋体"/>
                <w:b/>
                <w:bCs/>
                <w:szCs w:val="21"/>
              </w:rPr>
            </w:pPr>
            <w:r>
              <w:rPr>
                <w:rFonts w:hint="eastAsia" w:ascii="宋体" w:hAnsi="宋体" w:cs="宋体"/>
                <w:b/>
                <w:bCs/>
                <w:szCs w:val="21"/>
              </w:rPr>
              <w:t>监理项目部名称</w:t>
            </w:r>
          </w:p>
        </w:tc>
        <w:tc>
          <w:tcPr>
            <w:tcW w:w="887" w:type="dxa"/>
            <w:noWrap w:val="0"/>
            <w:vAlign w:val="center"/>
          </w:tcPr>
          <w:p>
            <w:pPr>
              <w:spacing w:line="360" w:lineRule="auto"/>
              <w:jc w:val="center"/>
              <w:rPr>
                <w:rFonts w:ascii="宋体" w:hAnsi="宋体" w:cs="宋体"/>
                <w:b/>
                <w:bCs/>
                <w:szCs w:val="21"/>
              </w:rPr>
            </w:pPr>
            <w:r>
              <w:rPr>
                <w:rFonts w:hint="eastAsia" w:ascii="宋体" w:hAnsi="宋体" w:cs="宋体"/>
                <w:b/>
                <w:bCs/>
                <w:szCs w:val="21"/>
              </w:rPr>
              <w:t>总监理工程师</w:t>
            </w:r>
          </w:p>
        </w:tc>
        <w:tc>
          <w:tcPr>
            <w:tcW w:w="1595" w:type="dxa"/>
            <w:noWrap w:val="0"/>
            <w:vAlign w:val="center"/>
          </w:tcPr>
          <w:p>
            <w:pPr>
              <w:spacing w:line="360" w:lineRule="auto"/>
              <w:jc w:val="center"/>
              <w:rPr>
                <w:rFonts w:ascii="宋体" w:hAnsi="宋体" w:cs="宋体"/>
                <w:b/>
                <w:bCs/>
                <w:szCs w:val="21"/>
              </w:rPr>
            </w:pPr>
            <w:r>
              <w:rPr>
                <w:rFonts w:hint="eastAsia" w:ascii="宋体" w:hAnsi="宋体" w:cs="宋体"/>
                <w:b/>
                <w:bCs/>
                <w:szCs w:val="21"/>
              </w:rPr>
              <w:t>总监理工程师代表或副总监理工程师</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b/>
                <w:bCs/>
                <w:szCs w:val="21"/>
              </w:rPr>
            </w:pPr>
            <w:r>
              <w:rPr>
                <w:rFonts w:hint="eastAsia" w:ascii="宋体" w:hAnsi="宋体" w:cs="宋体"/>
                <w:b/>
                <w:bCs/>
                <w:szCs w:val="21"/>
              </w:rPr>
              <w:t>专业监理工程师</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b/>
                <w:bCs/>
                <w:szCs w:val="21"/>
              </w:rPr>
            </w:pPr>
            <w:r>
              <w:rPr>
                <w:rFonts w:hint="eastAsia" w:ascii="宋体" w:hAnsi="宋体" w:cs="宋体"/>
                <w:b/>
                <w:bCs/>
                <w:szCs w:val="21"/>
              </w:rPr>
              <w:t>安全监理</w:t>
            </w:r>
          </w:p>
          <w:p>
            <w:pPr>
              <w:spacing w:line="360" w:lineRule="auto"/>
              <w:jc w:val="center"/>
              <w:rPr>
                <w:rFonts w:ascii="宋体" w:hAnsi="宋体" w:cs="宋体"/>
                <w:b/>
                <w:bCs/>
                <w:szCs w:val="21"/>
              </w:rPr>
            </w:pPr>
            <w:r>
              <w:rPr>
                <w:rFonts w:hint="eastAsia" w:ascii="宋体" w:hAnsi="宋体" w:cs="宋体"/>
                <w:b/>
                <w:bCs/>
                <w:szCs w:val="21"/>
              </w:rPr>
              <w:t>工程师</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b/>
                <w:bCs/>
                <w:szCs w:val="21"/>
              </w:rPr>
            </w:pPr>
            <w:r>
              <w:rPr>
                <w:rFonts w:hint="eastAsia" w:ascii="宋体" w:hAnsi="宋体" w:cs="宋体"/>
                <w:b/>
                <w:bCs/>
                <w:szCs w:val="21"/>
              </w:rPr>
              <w:t>监理员</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b/>
                <w:bCs/>
                <w:szCs w:val="21"/>
              </w:rPr>
            </w:pPr>
            <w:r>
              <w:rPr>
                <w:rFonts w:hint="eastAsia" w:ascii="宋体" w:hAnsi="宋体" w:cs="宋体"/>
                <w:b/>
                <w:bCs/>
                <w:szCs w:val="21"/>
              </w:rPr>
              <w:t>造价人员</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b/>
                <w:bCs/>
                <w:szCs w:val="21"/>
              </w:rPr>
            </w:pPr>
            <w:r>
              <w:rPr>
                <w:rFonts w:hint="eastAsia" w:ascii="宋体" w:hAnsi="宋体" w:cs="宋体"/>
                <w:b/>
                <w:bCs/>
                <w:szCs w:val="21"/>
              </w:rPr>
              <w:t>信息管理人员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870" w:type="dxa"/>
            <w:noWrap w:val="0"/>
            <w:vAlign w:val="center"/>
          </w:tcPr>
          <w:p>
            <w:pPr>
              <w:spacing w:line="360" w:lineRule="auto"/>
              <w:jc w:val="center"/>
              <w:rPr>
                <w:rFonts w:ascii="宋体" w:hAnsi="宋体" w:cs="宋体"/>
                <w:szCs w:val="21"/>
              </w:rPr>
            </w:pPr>
            <w:r>
              <w:rPr>
                <w:rFonts w:hint="eastAsia" w:ascii="宋体" w:hAnsi="宋体" w:cs="宋体"/>
                <w:szCs w:val="21"/>
              </w:rPr>
              <w:t>±800kV及以下直流输电线路工程</w:t>
            </w:r>
          </w:p>
        </w:tc>
        <w:tc>
          <w:tcPr>
            <w:tcW w:w="88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1</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原则上每10km配备1名监理员</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pPr>
              <w:spacing w:line="360" w:lineRule="auto"/>
              <w:jc w:val="center"/>
              <w:rPr>
                <w:rFonts w:ascii="宋体" w:hAnsi="宋体" w:cs="宋体"/>
                <w:szCs w:val="21"/>
              </w:rPr>
            </w:pPr>
            <w:r>
              <w:rPr>
                <w:rFonts w:hint="eastAsia" w:ascii="宋体" w:hAnsi="宋体" w:cs="宋体"/>
                <w:szCs w:val="21"/>
              </w:rPr>
              <w:t>2</w:t>
            </w:r>
          </w:p>
        </w:tc>
        <w:tc>
          <w:tcPr>
            <w:tcW w:w="1870" w:type="dxa"/>
            <w:noWrap w:val="0"/>
            <w:vAlign w:val="center"/>
          </w:tcPr>
          <w:p>
            <w:pPr>
              <w:spacing w:line="360" w:lineRule="auto"/>
              <w:jc w:val="center"/>
              <w:rPr>
                <w:rFonts w:ascii="宋体" w:hAnsi="宋体" w:cs="宋体"/>
                <w:szCs w:val="21"/>
              </w:rPr>
            </w:pPr>
            <w:r>
              <w:rPr>
                <w:rFonts w:hint="eastAsia" w:ascii="宋体" w:hAnsi="宋体" w:cs="宋体"/>
                <w:szCs w:val="21"/>
              </w:rPr>
              <w:t>500kV及以上交流输电线路工程</w:t>
            </w:r>
          </w:p>
        </w:tc>
        <w:tc>
          <w:tcPr>
            <w:tcW w:w="88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1</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原则上每10km配备1名监理员</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pPr>
              <w:spacing w:line="360" w:lineRule="auto"/>
              <w:jc w:val="center"/>
              <w:rPr>
                <w:rFonts w:ascii="宋体" w:hAnsi="宋体" w:cs="宋体"/>
                <w:szCs w:val="21"/>
              </w:rPr>
            </w:pPr>
            <w:r>
              <w:rPr>
                <w:rFonts w:hint="eastAsia" w:ascii="宋体" w:hAnsi="宋体" w:cs="宋体"/>
                <w:szCs w:val="21"/>
              </w:rPr>
              <w:t>3</w:t>
            </w:r>
          </w:p>
        </w:tc>
        <w:tc>
          <w:tcPr>
            <w:tcW w:w="1870" w:type="dxa"/>
            <w:noWrap w:val="0"/>
            <w:vAlign w:val="center"/>
          </w:tcPr>
          <w:p>
            <w:pPr>
              <w:spacing w:line="360" w:lineRule="auto"/>
              <w:jc w:val="center"/>
              <w:rPr>
                <w:rFonts w:ascii="宋体" w:hAnsi="宋体" w:cs="宋体"/>
                <w:szCs w:val="21"/>
              </w:rPr>
            </w:pPr>
            <w:r>
              <w:rPr>
                <w:rFonts w:hint="eastAsia" w:ascii="宋体" w:hAnsi="宋体" w:cs="宋体"/>
                <w:szCs w:val="21"/>
              </w:rPr>
              <w:t>220kV输电线路工程</w:t>
            </w:r>
          </w:p>
        </w:tc>
        <w:tc>
          <w:tcPr>
            <w:tcW w:w="88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原则上每15km配备1名监理员</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pPr>
              <w:spacing w:line="360" w:lineRule="auto"/>
              <w:jc w:val="center"/>
              <w:rPr>
                <w:rFonts w:ascii="宋体" w:hAnsi="宋体" w:cs="宋体"/>
                <w:szCs w:val="21"/>
              </w:rPr>
            </w:pPr>
            <w:r>
              <w:rPr>
                <w:rFonts w:hint="eastAsia" w:ascii="宋体" w:hAnsi="宋体" w:cs="宋体"/>
                <w:szCs w:val="21"/>
              </w:rPr>
              <w:t>4</w:t>
            </w:r>
          </w:p>
        </w:tc>
        <w:tc>
          <w:tcPr>
            <w:tcW w:w="1870" w:type="dxa"/>
            <w:noWrap w:val="0"/>
            <w:vAlign w:val="center"/>
          </w:tcPr>
          <w:p>
            <w:pPr>
              <w:spacing w:line="360" w:lineRule="auto"/>
              <w:jc w:val="center"/>
              <w:rPr>
                <w:rFonts w:ascii="宋体" w:hAnsi="宋体" w:cs="宋体"/>
                <w:szCs w:val="21"/>
              </w:rPr>
            </w:pPr>
            <w:r>
              <w:rPr>
                <w:rFonts w:hint="eastAsia" w:ascii="宋体" w:hAnsi="宋体" w:cs="宋体"/>
                <w:szCs w:val="21"/>
              </w:rPr>
              <w:t>110kV输电线路工程</w:t>
            </w:r>
          </w:p>
        </w:tc>
        <w:tc>
          <w:tcPr>
            <w:tcW w:w="88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17" w:type="dxa"/>
            <w:noWrap w:val="0"/>
            <w:vAlign w:val="center"/>
          </w:tcPr>
          <w:p>
            <w:pPr>
              <w:spacing w:line="360" w:lineRule="auto"/>
              <w:jc w:val="center"/>
              <w:rPr>
                <w:rFonts w:ascii="宋体" w:hAnsi="宋体" w:cs="宋体"/>
                <w:szCs w:val="21"/>
              </w:rPr>
            </w:pPr>
            <w:r>
              <w:rPr>
                <w:rFonts w:hint="eastAsia" w:ascii="宋体" w:hAnsi="宋体" w:cs="宋体"/>
                <w:szCs w:val="21"/>
              </w:rPr>
              <w:t>5</w:t>
            </w:r>
          </w:p>
        </w:tc>
        <w:tc>
          <w:tcPr>
            <w:tcW w:w="1870" w:type="dxa"/>
            <w:noWrap w:val="0"/>
            <w:vAlign w:val="center"/>
          </w:tcPr>
          <w:p>
            <w:pPr>
              <w:spacing w:line="360" w:lineRule="auto"/>
              <w:jc w:val="center"/>
              <w:rPr>
                <w:rFonts w:ascii="宋体" w:hAnsi="宋体" w:cs="宋体"/>
                <w:szCs w:val="21"/>
              </w:rPr>
            </w:pPr>
            <w:r>
              <w:rPr>
                <w:rFonts w:hint="eastAsia" w:ascii="宋体" w:hAnsi="宋体" w:cs="宋体"/>
                <w:szCs w:val="21"/>
              </w:rPr>
              <w:t>35kV输电线路工程</w:t>
            </w:r>
          </w:p>
        </w:tc>
        <w:tc>
          <w:tcPr>
            <w:tcW w:w="887" w:type="dxa"/>
            <w:noWrap w:val="0"/>
            <w:vAlign w:val="center"/>
          </w:tcPr>
          <w:p>
            <w:pPr>
              <w:spacing w:line="360" w:lineRule="auto"/>
              <w:jc w:val="center"/>
              <w:rPr>
                <w:rFonts w:ascii="宋体" w:hAnsi="宋体" w:cs="宋体"/>
                <w:szCs w:val="21"/>
              </w:rPr>
            </w:pPr>
            <w:r>
              <w:rPr>
                <w:rFonts w:hint="eastAsia" w:ascii="宋体" w:hAnsi="宋体" w:cs="宋体"/>
                <w:szCs w:val="21"/>
              </w:rPr>
              <w:t>1</w:t>
            </w:r>
          </w:p>
        </w:tc>
        <w:tc>
          <w:tcPr>
            <w:tcW w:w="1595" w:type="dxa"/>
            <w:noWrap w:val="0"/>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863"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每30km配1名</w:t>
            </w:r>
          </w:p>
        </w:tc>
        <w:tc>
          <w:tcPr>
            <w:tcW w:w="754"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1520"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根据需要配备</w:t>
            </w:r>
          </w:p>
        </w:tc>
        <w:tc>
          <w:tcPr>
            <w:tcW w:w="497"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c>
          <w:tcPr>
            <w:tcW w:w="691" w:type="dxa"/>
            <w:noWrap w:val="0"/>
            <w:tcMar>
              <w:top w:w="57" w:type="dxa"/>
              <w:left w:w="0" w:type="dxa"/>
              <w:bottom w:w="57" w:type="dxa"/>
              <w:right w:w="0" w:type="dxa"/>
            </w:tcMar>
            <w:vAlign w:val="center"/>
          </w:tcPr>
          <w:p>
            <w:pPr>
              <w:spacing w:line="360" w:lineRule="auto"/>
              <w:jc w:val="center"/>
              <w:rPr>
                <w:rFonts w:ascii="宋体" w:hAnsi="宋体" w:cs="宋体"/>
                <w:szCs w:val="21"/>
              </w:rPr>
            </w:pPr>
            <w:r>
              <w:rPr>
                <w:rFonts w:hint="eastAsia" w:ascii="宋体" w:hAnsi="宋体" w:cs="宋体"/>
                <w:szCs w:val="21"/>
              </w:rPr>
              <w:t>兼1</w:t>
            </w:r>
          </w:p>
        </w:tc>
      </w:tr>
    </w:tbl>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注1．上表为主网线路工程监理人员配置基本要求，改线、加固工程监理人员配置参照执行。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2．当总监理工程师需同时兼任多个监理项目部总监工作时，应征得委托人同意。</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3．监理人应根据工程进展情况和工程施工强度及时派驻人员进场。在施工高峰期或针对特殊工程项目应适当增加监理员数量。</w:t>
      </w:r>
    </w:p>
    <w:p>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2）监理项目部各岗位人员任职资格及条件</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（1）总监理工程师的任职资格及条件：具有《注册监理工程师执业资格证》，年龄在65周岁以下，身体健康，并具有三年及以上同类工程监理工作经验。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（2）总监理工程师代表或副总监理工程师任职资格及条件：具有《注册监理工程师执业资格证》，年龄在65周岁以下，身体健康，并具有三年以上同类工程监理工作经验。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（3）专业监理工程师任职资格及条件：具有《注册监理工程师执业资格证》或工程类注册执业资格或中级及以上专业技术职称，年龄在65周岁以下，身体健康，并具有两年以上同类工程监理工作经验。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（4）安全监理工程师任职资格及条件：具有《注册监理工程师执业资格证》或《注册安全工程师执业资格证》,年龄在60周岁以下，身体健康，熟悉电力建设工程管理，并具有两年以上工程管理工作经验。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（5）造价人员任职资格及条件：具有国家注册造价工程师执业资格或具有电力工程造价工程师执业资格证书，年龄在65周岁以下，身体健康，并具有一年以上同类工程造价工作经验。</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（6）监理员任职资格及条件：具有中专及以上学历并经过电力建设工程监理业务培训，并取得电力工程监理从业人员培训合格证书或省级建设监理协会颁发的监理员岗位证书，年龄在65周岁以下，身体健康。</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（7）信息管理员任职资格及条件：熟悉电力建设监理信息档案管理知识，具备熟练的计算机操作技能，经监理公司内部培训合格。</w:t>
      </w:r>
    </w:p>
    <w:p>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3）监理项目部基本设备配置</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监理项目部应根据工程项目类别、规模、技术复杂程度、工程项目所在地的环境条件，按建设工程监理合同的约定，配备满足监理工作需要的常规检测设备、工具和办公设备。</w:t>
      </w:r>
    </w:p>
    <w:p>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4）监理项目部技术标准基本配置</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监理项目部应配置基本的法律法规、规程规章规范、技术标准。在工程实施前监理项目部根据工程实际情况及建设工程监理合同的约定，在此基础上进行补充，并建立监理项目部具体的《监理项目部法律、法规、规程规章规范、技术标准配置清单》。相应的法律、法规、规程规章规范、技术标准可用纸质版或电子版，同时应对其实施动态管理，以保证使用最新版本。</w:t>
      </w:r>
    </w:p>
    <w:p>
      <w:pPr>
        <w:autoSpaceDE w:val="0"/>
        <w:autoSpaceDN w:val="0"/>
        <w:adjustRightInd w:val="0"/>
        <w:spacing w:line="360" w:lineRule="auto"/>
        <w:ind w:firstLine="420" w:firstLineChars="200"/>
        <w:jc w:val="left"/>
        <w:rPr>
          <w:rFonts w:ascii="宋体" w:hAnsi="宋体" w:cs="宋体"/>
          <w:bCs/>
          <w:kern w:val="0"/>
          <w:szCs w:val="21"/>
        </w:rPr>
      </w:pPr>
      <w:r>
        <w:rPr>
          <w:rFonts w:hint="eastAsia" w:ascii="宋体" w:hAnsi="宋体" w:cs="宋体"/>
          <w:bCs/>
          <w:kern w:val="0"/>
          <w:szCs w:val="21"/>
        </w:rPr>
        <w:t>5） 监理项目部标识标志</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（1）监理项目部应在办公室门外悬挂监理项目部铭牌，规格（600*400mm)。铭牌应清晰、简洁，并有监理人标志及名称、监理项目部名称。</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（2）监理项目部办公室内墙标识标志主要应有：</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a）监理项目部组织机构及人员分工图，规格（400*600mm)。</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b）监理人员工作守则，规格（400*600mm)。</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c）二级进度计划控制图（动态）。</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d）质量控制点（WHS）设置表（动态）。</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e）安全风险评价表（动态）。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 管理组织关系</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2.1.2.1 监理人受委托人委托，根据建设工程监理合同约定的监理服务期限、监理范围和监理工作内容开展监理工作。委托人和监理人应依据建设工程监理合同履行双方的权利、责任和义务。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2.1.2.2 监理项目部与业主项目部根据相关工作规则履行职能。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2.1.2.3 监理项目部与施工项目部：监理与被监理的关系。监理项目部根据建设工程监理合同和施工合同，围绕工程开展协调工作并对建设工程的质量、安全风险、进度、造价进行控制，对合同、信息进行管理。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w:t>
      </w:r>
      <w:r>
        <w:rPr>
          <w:rFonts w:hint="eastAsia" w:ascii="宋体" w:hAnsi="宋体" w:cs="宋体"/>
          <w:kern w:val="0"/>
          <w:szCs w:val="21"/>
        </w:rPr>
        <w:t>4</w:t>
      </w:r>
      <w:r>
        <w:rPr>
          <w:rFonts w:hint="eastAsia" w:ascii="宋体" w:hAnsi="宋体" w:cs="宋体"/>
          <w:kern w:val="0"/>
          <w:szCs w:val="21"/>
          <w:lang w:val="zh-CN"/>
        </w:rPr>
        <w:t xml:space="preserve"> 监理项目部与设计人：监理项目部协助委托人协调设计文件的提交进度以满足工程建设的需要。在工程实施阶段及时提出所发现的设计问题，经设计人确认后监督落实。</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2.1.2.5 监理项目部与物资供应商：通过委托人围绕工程建设开展的协调关系。监理项目部参加由物流中心组织的主要设备开箱检验，重点关注甲供物资的供货进度、到达现场物资的质量。</w:t>
      </w:r>
    </w:p>
    <w:p>
      <w:pPr>
        <w:autoSpaceDE w:val="0"/>
        <w:autoSpaceDN w:val="0"/>
        <w:adjustRightInd w:val="0"/>
        <w:spacing w:line="360" w:lineRule="auto"/>
        <w:ind w:firstLine="420" w:firstLineChars="200"/>
        <w:jc w:val="left"/>
        <w:rPr>
          <w:rFonts w:ascii="宋体" w:hAnsi="宋体" w:cs="宋体"/>
          <w:bCs/>
          <w:kern w:val="0"/>
          <w:szCs w:val="21"/>
          <w:lang w:val="zh-CN"/>
        </w:rPr>
      </w:pPr>
      <w:r>
        <w:rPr>
          <w:rFonts w:hint="eastAsia" w:ascii="宋体" w:hAnsi="宋体" w:cs="宋体"/>
          <w:bCs/>
          <w:kern w:val="0"/>
          <w:szCs w:val="21"/>
          <w:lang w:val="zh-CN"/>
        </w:rPr>
        <w:t>2.1.3 监理项目部职责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 严格履行建设工程监理合同赋予的职责、权利和义务，负责组织实施工程项目监理服务的具体工作。确保工程各项目标的实现。</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2.1.3.2 按照法律法规和工程建设强制性标准实施监理，履行电力建设工程安全生产管理的监理职责。监理单位资源配置应当满足工程监理要求，依据合同约定履行电力建设工程施工安全监理职责。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2.1.3.3 建立健全安全监理工作制度，编制含有安全监理内容的监理规划和监理实施细则，明确监理人员安全职责以及相关工作安全监理措施和目标。</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2.1.3.4 组织或参加各类安全检查活动，掌握现场安全生产动态，建立安全管理台帐。重点审查、监督下列工作：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a按照工程建设强制性标准和安全生产标准及时审查施工组织设计中的安全技术措施和专项施工方案；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b审查和验证分包单位的资质文件和拟签订的分包合同、人员资质、安全协议；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c审查安全管理人员、特种作业人员、特种设备操作人员资格证明文件和主要施工机械、工器具、安全用具的安全性能证明文件是否符合国家有关标准；检查现场作业人员及设备配置是否满足安全施工的要求；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d对大中型起重机械、脚手架、跨越架、施工用电、危险品库房等重要施工设施投入使用前进行安全检查签证。土建交付安装、安装交付调试及整套启动等重大工序交接前进行安全检查签证；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对工程关键部位、关键工序、特殊作业和危险作业进行旁站监理；对复杂自然条件、复杂结构、技术难度大及危险性较大分部分项工程专项施工方案的实施进行现场监理；监督交叉作业和工序交接中的安全施工措施的落实；</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f监督施工单位安全生产费的使用、安全教育培训情况。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2.1.3.5在实施监理过程中，发现存在生产安全事故隐患的，应当要求施工单位及时整改；情节严重的，应当要求施工单位暂时或部分停止施工，并及时报告委托人。施工单位拒不整改或者不停止施工的，监理单位应当及时向国家能源局派出机构和政府有关部门报告。</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2.1.3.6按照相关规定设置安全管理机构，配置符合要求的安全管理人员，服从委托人管理，定期参加安全会议，协调解决项目建设中的安全管理问题，并及时督促各参建单位贯彻落实安委会会议纪要的要求。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2.1.3.7必须依据中国南方电网公司安全风险管理文件中的有关规定，开展基建项目监理安全工作。建立健全安全风险管理体系，落实监理项目部的安全责任制及岗位职责，进行危险源和环境因素的辨识、评价与控制。在安委会领导下或自主开展各项安全活动，履行安全风险管理职能，做好安全预控措施。按规定程序上报安全事故，参加安全事故调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2.1.3.8监理项目部在基建安全管理中须贯彻安全生产方针，制定安全生产责任制。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2.1.3.9建立健全质量管理体系，落实质量责任制及岗位职责，履行质量管理职能。严格执行国家及行业施工规范、规程、标准、强制性条文件, 根据质量验收评定标准落实质量控制工作，保证工序质量。按规定程序上报质量事故，参加质量事故调查。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2.1.3.10按照国家、电力行业和中国南方电网公司的有关质量标准和规定，建立、健全质量管理体系并有效运转，监理项目部从组织机构、质量管理、技术管理制度等方面审查承包人的质量管理体系，满足要求时予以确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2.1.3.11监理单位承诺建立工程质量责任终身制，并层层分解质量管理责任。</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2.1.3.12进行工程造价控制，严格执行工程变更的管理程序；审核工程进度款支付申请，配合建设单位进行竣工结算；按索赔的管理程序，收集参建各方索赔的证据和资料。</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2.1.3.13审查施工项目部编制的三级施工进度计划，并督促实施；分析进度偏差的原因，提出监理意见，督促施工项目部落实进度纠偏措施。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2.1.3.14在建设单位的委托范围内进行合同管理。督促施工项目部严格按照施工合同履行义务。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2.1.3.15进行工程信息管理，完成工程监理资料的收集、整理、上报、移交工作，督促施工资料的归档移交工作。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2.1.3.16做好与业主项目部、施工项目部、设计单位的协调工作，协助做好物资供应商的协调工作。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2.1.3.17 鼓励监理项目部在施工现场积极推进QC小组活动，进行质量管理思路、方法创新。</w:t>
      </w:r>
    </w:p>
    <w:p>
      <w:pPr>
        <w:autoSpaceDE w:val="0"/>
        <w:autoSpaceDN w:val="0"/>
        <w:adjustRightInd w:val="0"/>
        <w:spacing w:line="360" w:lineRule="auto"/>
        <w:ind w:firstLine="422" w:firstLineChars="200"/>
        <w:jc w:val="left"/>
        <w:rPr>
          <w:rFonts w:ascii="宋体" w:hAnsi="宋体" w:cs="宋体"/>
          <w:b/>
          <w:kern w:val="0"/>
          <w:szCs w:val="21"/>
          <w:lang w:val="zh-CN"/>
        </w:rPr>
      </w:pPr>
      <w:r>
        <w:rPr>
          <w:rFonts w:hint="eastAsia" w:ascii="宋体" w:hAnsi="宋体" w:cs="宋体"/>
          <w:b/>
          <w:kern w:val="0"/>
          <w:szCs w:val="21"/>
          <w:lang w:val="zh-CN"/>
        </w:rPr>
        <w:t>2.2</w:t>
      </w:r>
      <w:r>
        <w:rPr>
          <w:rFonts w:hint="eastAsia" w:ascii="宋体" w:hAnsi="宋体" w:cs="宋体"/>
          <w:b/>
          <w:kern w:val="0"/>
          <w:szCs w:val="21"/>
        </w:rPr>
        <w:t xml:space="preserve"> </w:t>
      </w:r>
      <w:r>
        <w:rPr>
          <w:rFonts w:hint="eastAsia" w:ascii="宋体" w:hAnsi="宋体" w:cs="宋体"/>
          <w:b/>
          <w:kern w:val="0"/>
          <w:szCs w:val="21"/>
          <w:lang w:val="zh-CN"/>
        </w:rPr>
        <w:t>安全管理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根据法律法规、工程建设强制性标准，履行建设工程安全生产管理的监理职责，监理工作的主要内容包括危害辨识与风险评估、安全监理策划、风险管控（含防风防汛）、分包安全管理、文明施工管理（含“</w:t>
      </w:r>
      <w:r>
        <w:rPr>
          <w:rFonts w:hint="eastAsia" w:ascii="宋体" w:hAnsi="宋体" w:cs="宋体"/>
          <w:kern w:val="0"/>
          <w:szCs w:val="21"/>
        </w:rPr>
        <w:t>7</w:t>
      </w:r>
      <w:r>
        <w:rPr>
          <w:rFonts w:hint="eastAsia" w:ascii="宋体" w:hAnsi="宋体" w:cs="宋体"/>
          <w:kern w:val="0"/>
          <w:szCs w:val="21"/>
          <w:lang w:val="zh-CN"/>
        </w:rPr>
        <w:t>S”管理）、环保与水保管理、征地移民、应急与事故事件管理、安全监理总结等。</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2.2.1 施工准备阶段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（1）危害辨识与风险评估</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监理项目部应督促施工项目部以电网建设施工作业指导书为主线，结合工程实际情况开展项目作业危害辨识与风险评估，并初步制定预控措施。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（2）工作策划</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根据国家现行的法律、法规、规定及项目监理合同、项目特点、施工现场实际情况在监理规划及监理实施细则中明确安全监理的目标、范围、内容、工作程序、方法和措施，并重点阐述危险性较大分部分项工程或“高风险”及以上风险的监理管控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2）依据</w:t>
      </w:r>
      <w:r>
        <w:rPr>
          <w:rFonts w:hint="eastAsia" w:ascii="宋体" w:hAnsi="宋体" w:cs="宋体"/>
          <w:kern w:val="0"/>
          <w:szCs w:val="21"/>
          <w:lang w:val="en-US" w:eastAsia="zh-CN"/>
        </w:rPr>
        <w:t>中国南方电网有限责任</w:t>
      </w:r>
      <w:r>
        <w:rPr>
          <w:rFonts w:hint="eastAsia" w:ascii="宋体" w:hAnsi="宋体" w:cs="宋体"/>
          <w:kern w:val="0"/>
          <w:szCs w:val="21"/>
          <w:lang w:val="zh-CN"/>
        </w:rPr>
        <w:t>公司《基建项目作业环境管理（7S）工作指引》编制项目现场7S管理措施，融入监理规划和监理细则中。</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3）制订《监理项目部应急处置方案》，报业主项目部备案。</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4）基于现场监理风险为监理人员配备满足监理工作需要的个人防护用品。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5）总监理工程师应根据项目危害辨识与风险评估情况组织监理项目部人员学习并进行交底，并形成安全风险监理工作交底记录。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（3）施工安全准备工作审查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1）总监理工程师应组织监理项目部人员审查施工单位提交的施工组织设计或专项方案中的安全技术措施是否符合工程建设强制性标准，符合要求的由总监理工程师签字确认报建设单位审批。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2）审查施工项目部报送的《人员资格报审表》，主要包括项目经理、专职安全生产管理人员、特殊工种人员和特种作业人员等资格证明文件，证件应合法有效，符合要求后才准予上岗。</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3）依据公司《施工机械（具）和设备管理业务指导书》审查施工单位报送的《主要施工机械/工器具/安全用具报审表》中主要施工机械/工器具/安全用具安全性能文件。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4）核查施工项目部人员“三级”安全生产培训记录,督促施工项目部对施工人员进行安全产生教育培训，培训考试合格方能进场。</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5）审查施工单位的《安全文明施工措施费使用计划》，安全生产投入计划是否符合安全生产要求。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6）审查施工单位报送的《工程建设强制性条文实施计划》中安全方面的“强条”内容，应符合工程实际要求，条文正确、完整。</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（4）分包单位资质审查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工程有分包的，监理项目部应在分包项目开工前，依据国家相关法律、法规及公司《基建项目承包商管理业务指导书》、《分包管理业务指导书》进行分包资质审查，审查施工单位报送《分包单位资格报审表》及附件，符合规定后由总监理工程师签认，报业主项目部审批。施工项目部应对所报送分包单位的资质文件真实性负责。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2.2.2 施工阶段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（1）风险管控</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应基于项目危害辨识与风险评估情况，有针对性的开展安全监理工作，督促施工项目部针对不同的风险种类、风险等级采取有效的风险防范措施。对一般风险的施工作业任务，监理项目部通过安全巡查、会议、评价等方式实施管控，督促施工项目部落实安全风险管理工作。对“高风险”施工作业任务或危险性较大分部分项工程进行安全旁站，并拍摄数码照片和填写检查记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（2）“四步法”管理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日常应坚持对施工单位“四步法”实施情况进行监督，重点关注是否正确使用作业指导书并进行差异化分析；风险辨识与分析是否符合实际，预控措施是否有效；是否正确使用施工安全作业票，签字齐全；并检查施工项目部是否按规定召开“站班会”，督促施工项目部对参加作业人员进行“三交”和“三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（3）施工机械（具）和设备管理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核查施工项目部执行施工机（具）和设备管理情况，督促施工项目部按公司《施工机械（具）和设备管理业务指导书》做好施工机械（具）和设备的管理工作，由专人管理并建立档案。</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（4）人员持证管理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施工过程中，通过文件审查、现场抽查等方式，对施工人员持证情况进行管理，按照公司基建承包商人员持证上岗工作要求，现场检查特殊工种、特种作业人员持证上岗情况。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（5）7S管理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监理项目部依据公司《基建项目作业环境管理（7S）工作指引》开展5S管理巡视与评价。</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（6）日常安全管理及检查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施工过程中，通过文件审查、现场巡视检查、定期检查与评价等方式开展日常安全监理工作，填写安全检查记录，督促施工单位进行安全自查工作，核查施工项目部是否按施工组织设计、施工方案、作业指导书等组织施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（7）分包安全管理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工程存在分包时，监理项目部应按照公司《基建工程安全管理业务指导书》及《分包管理业务指导书》的要求做好分包人员、机具、材料、社会保险、现场管理等工作。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（8）环保与水保管理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1）环保与水保工作内容按监理合同要求执行。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2）项目区环境保护与水土保持措施及运行应执行“同时设计、同时建设、同时投运”的三同时原则，实施与运行情况应符合施工合同规定和设计技术要求。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3）根据相关行政主管部门批复的水土保持和环境保护方案，督促施工项目部实施水土保持和环境保护措施。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4）加强施工环保与水保的监督检查，督促施工项目部采取有效措施减少临时占地，严格按照设计施工，避免大开挖，采取表土剥离单独堆放，做到工完料尽场地清，不发生环境二次污染。</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5）在有水土流失的地方施工时，按照“先防护后施工”的原则对施工项目部的施工情况进行监督。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6）施工用水宜循环利用，防止地表水土流失而引起下游河床淤积，必须排放的施工弃水、生产废水、生活污水、施工粉尘、废气、废油等，应按规定进行处理。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7）督促施工项目部按照承包合同约定，做好施工界区之内的施工环境保护工作。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8）督促施工项目部按照批准的弃土方案施工，取弃土结束后要采取有效的排水、植被恢复等措施。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9）督促施工项目部进入现场的材料和设备有序地放置，防止任意堆放，污染环境。</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10）督促施工项目部遵守有关环境保护法律法规，在施工现场采取措施，防止或减少粉尘、废气、废水、废油、固体废物、噪声、振动和施工照明对人和环境的危害和污染。</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11）督促施工项目部在完工后按照合同约定或相关规定，拆除不需要保留的施工临时设施，清理场地，恢复植被，并办理移交手续。</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12）配合环保与水保的专项验收。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（9）应急与事故事件管理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1）制订《应急处置方案》，并报业主项目部备案。</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督促施工项目部定期检查应急物资，并按应急处置预案要求定期演练，针对不足及时制定改进措施，确保应急处置预案的有效性；当发生安全事故事件时，监理项目部应按《中国南方电网有限责任公司电力事故事件调查规程》规定程序及时上报，保护现场、取证收集资料，配合事故事件调查，根据处理意见督促施工单位整改落实。</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2.2.3 总结评价阶段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在《监理工作总结》中对工程安全风险控制工作进行总结评价。</w:t>
      </w:r>
    </w:p>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2.3 质量控制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质量控制范围主要包括项目建设施工准备阶段质量控制、施工阶段质量控制、工程竣工验收阶段质量控制、总结评价阶段质量控制等四方面内容。</w:t>
      </w:r>
    </w:p>
    <w:p>
      <w:pPr>
        <w:autoSpaceDE w:val="0"/>
        <w:autoSpaceDN w:val="0"/>
        <w:adjustRightInd w:val="0"/>
        <w:spacing w:line="360" w:lineRule="auto"/>
        <w:ind w:firstLine="420" w:firstLineChars="200"/>
        <w:jc w:val="left"/>
        <w:rPr>
          <w:rFonts w:ascii="宋体" w:hAnsi="宋体" w:cs="宋体"/>
          <w:kern w:val="0"/>
          <w:szCs w:val="21"/>
          <w:lang w:val="zh-CN"/>
        </w:rPr>
      </w:pPr>
      <w:bookmarkStart w:id="258" w:name="_Toc295815732"/>
      <w:bookmarkStart w:id="259" w:name="_Toc295810502"/>
      <w:bookmarkStart w:id="260" w:name="_Toc298848085"/>
      <w:bookmarkStart w:id="261" w:name="_Toc296669140"/>
      <w:r>
        <w:rPr>
          <w:rFonts w:hint="eastAsia" w:ascii="宋体" w:hAnsi="宋体" w:cs="宋体"/>
          <w:kern w:val="0"/>
          <w:szCs w:val="21"/>
          <w:lang w:val="zh-CN"/>
        </w:rPr>
        <w:t>2.3.1 施工准备阶段</w:t>
      </w:r>
      <w:bookmarkEnd w:id="258"/>
      <w:bookmarkEnd w:id="259"/>
      <w:bookmarkEnd w:id="260"/>
      <w:bookmarkEnd w:id="261"/>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（1）质量监理工作策划</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在签订建设工程监理合同及收到设计文件后，监理项目部应依据《建设工程监理合同》、设计文件、《监理大纲》,由总监理工程师主持、专业监理工程师参加编制《监理规划》，并经监理单位技术负责人批准后报建设单位备案后实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按照已批准的《监理规划》、与专业工程相关的标准、设计文件、技术资料及施工组织设计编制《专业监理实施细则》、《旁站监理实施细则》、《工程建设标准强制性条文监理实施细则》、《安全风险及文明施工监理实施细则》等监理实施细则，由总监理工程师审批后下发执行。对于规模较小、技术较简单的工程且有成熟管理经验和措施的配网工程、改扩建（技改）工程可不必单独编制《监理实施细则》。</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（2）施工项目部质量管理体系审查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由总监理工程师组织审查施工项目部的质量管理体系，应审查以下内容：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1）组织机构；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2）质量管理、技术管理制度；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3）主要管理人员资格证，特别是项目经理和专职质量管理人员。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（3）施工图审查、图纸会审及设计交底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1）应业主要求参加施工图审查。根据施工图设计文件审查制度，监理工作应当以施工图审查机构审查合格的施工图为依据。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2）参加由业主项目部组织的设计交底会议。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3）参加业主项目部组织的图纸会审会议。在会审前，总监理工程师应组织监理项目部人员对施工图进行预审，并形成《施工图纸预审意见》。监理项目部负责编写《施工图纸会审纪要》。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（4）施工组织设计、（专项）施工方案审查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审查施工项目部报送的《施工组织设计》，编审程序应符合相关规定，施工进度、施工方案及工程质量保证措施应符合施工合同要求，资源（资金、劳动力、材料、设备）供应计划应满足工程施工需要，安全技术措施应符合工程建设强制性标准，施工总平面布置应科学合理</w:t>
      </w:r>
      <w:bookmarkStart w:id="262" w:name="_Toc277843116"/>
      <w:bookmarkStart w:id="263" w:name="_Toc277853436"/>
      <w:r>
        <w:rPr>
          <w:rFonts w:hint="eastAsia" w:ascii="宋体" w:hAnsi="宋体" w:cs="宋体"/>
          <w:kern w:val="0"/>
          <w:szCs w:val="21"/>
          <w:lang w:val="zh-CN"/>
        </w:rPr>
        <w:t>。</w:t>
      </w:r>
      <w:bookmarkEnd w:id="262"/>
      <w:bookmarkEnd w:id="263"/>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2）审核施工项目部报审的重要作业、重点部位、关键工序的《专项施工方案》、《特殊试验方案》，主要审核编审程序应符合相关规定、安全技术措施应符合工程建设强制性标准。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3）审查施工项目部报送的工程建设标准强制性条文实施方案。</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（5）其他施工准备审查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组织审查《施工质量验收及评定项目划分报审表》、《试验/供货单位资质报审表》、《主要测量计量器具/试验设备检验报审表》、《施工控制测量成果报验表》《人员资格报审表》，审查要点可参考“典表”的“填写说明及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（6）WHS质量控制点设置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工程开工前，监理项目部应根据基建工程质量控制点设置要求和工程实际，筛选确定适用于本工程的WHS质量控制点（并可根据现场需要适当增设），分专业编制完成WHS质量控制点设置表。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（7）工程创优策划</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对于有创行优、国优工程奖要求的工程项目，依据监理合同的约定和公司《优质工程评选管理规定》以及业主项目部下发的《项目总体策划》，总监理工程师组织编写《工程创优监理实施细则》。</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（8）开工条件确认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专业监理工程师审查施工项目部报审的《工程开工报审表》及附件，并进行现场核查，符合条件时，由总监理工程师签认，报业主项目部批准。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总监理工程师应在业主项目部批准《工程开工报审表》后，签发《工程开工令》。</w:t>
      </w:r>
    </w:p>
    <w:p>
      <w:pPr>
        <w:autoSpaceDE w:val="0"/>
        <w:autoSpaceDN w:val="0"/>
        <w:adjustRightInd w:val="0"/>
        <w:spacing w:line="360" w:lineRule="auto"/>
        <w:ind w:firstLine="420" w:firstLineChars="200"/>
        <w:jc w:val="left"/>
        <w:rPr>
          <w:rFonts w:ascii="宋体" w:hAnsi="宋体" w:cs="宋体"/>
          <w:kern w:val="0"/>
          <w:szCs w:val="21"/>
          <w:lang w:val="zh-CN"/>
        </w:rPr>
      </w:pPr>
      <w:bookmarkStart w:id="264" w:name="_Toc295810503"/>
      <w:bookmarkStart w:id="265" w:name="_Toc298848086"/>
      <w:bookmarkStart w:id="266" w:name="_Toc295815733"/>
      <w:bookmarkStart w:id="267" w:name="_Toc296669141"/>
      <w:r>
        <w:rPr>
          <w:rFonts w:hint="eastAsia" w:ascii="宋体" w:hAnsi="宋体" w:cs="宋体"/>
          <w:kern w:val="0"/>
          <w:szCs w:val="21"/>
          <w:lang w:val="zh-CN"/>
        </w:rPr>
        <w:t>2.3.2  施工阶段</w:t>
      </w:r>
      <w:bookmarkEnd w:id="264"/>
      <w:bookmarkEnd w:id="265"/>
      <w:bookmarkEnd w:id="266"/>
      <w:bookmarkEnd w:id="267"/>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（1）落实标准设计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督促落实标准设计，履行施工图和工程变更管理职责，加强设计质量管理。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1）审查《设计变更联系单》，从技术、造价等方面进行判断是否需要变更；《设计变更联系单》经业主项目部审批后，由设计单位出具《设计变更通知单》。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2）审查《设计变更通知单》，审查对质量、造价和工期的影响是否在可控范围内。</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3）监督设计变更的实施，根据实施情况审核已完成的《设计变更通知单》，并提交业主项目部。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（2）施工作业指导书应用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落实南方电网施工作业指导书的全面应用，监督施工单位执行施工作业指导书“筛选—分析—审批—应用”四步骤。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（3）工程WHS质量控制点应用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1）WHS质量控制点实施检查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工程施工过程中，专业监理工程师应根据工程实际进度，按基建工程质量控制（WHS）标准及时检查WHS质量控制点的实体质量，填写相应的检查表，及时组卷、存档。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（4）施工过程质量检查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根据施工进展，对施工现场进行巡视，重点检查施工质量管理是否到位、施工作业是否满足规范和设计要求，发现问题及时纠正。监理人员应将检查情况记录在《监理日志》中。</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（5）工程建设强制性条文执行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督促施工项目部落实《工程建设标准强制性条文实施方案》，施工单位相关责任人应根据工程进展按分项工程及时记录强制条文的执行情况，如实填写《工程施工强制性条文执行检查表》，并由专业监理工程师同步对施工单位强制性条文执行情况进行核查，签填核查情况及整改要求，存在整改要求的，应及时下达《监理通知单》，要求责任单位限期整改，完成整改后报监理项目部复检，闭环。</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（6）工程质量验收与评定标准应用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按照《基建项目投产及移交管理业务指导书》、《10kV～500kV输变电及配电工程质量验收与评定标准》、《基建验收管理业务指导书》组织或参与验收工作，并完成各阶段（中间）验收及竣工验收所需监理资料。监理项目部应要求各施工项目部使用统一的验评表格。</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（7）缺陷管理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按《10kV～500kV输变电及配电工程质量验收及评定标准》等相关标准进行检查验收，检查出属于《南方电网公司输变电设备缺陷定级标准》的质量缺陷，应向责任单位发出《质量缺陷通知单》。责任单位应按照整改要求在规定的时限内对质量缺陷进行整改，并使用《质量缺陷整改回复》（包括佐证影像资料）报监理项目部复查。监理项目部对质量缺陷初验合格后，由设计/物资单位验收（必要时），并报建设单位（业主项目部）确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（8）质量事故调查与处理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当发现施工中存在重大质量隐患时，监理项目部首先口头指令暂停施工，然后在报业主项目部同意后，及时签发《工程暂停令》，要求施工项目部停工整改并报送整改方案，整改完毕后填报《工程复工报审表》,并经监理人员复查，符合规定要求后，监理项目部及时报业主项目部同意后签署《工程复工报审表》，总监理工程师应在经业主项目部批准复工后签发《工程复工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发生质量事故/事件时，监理项目部应立即向业主项目部经理上报有关事故/事件情况，并协助业主项目部经理按照《中国南方电网有限责任公司电力事故事件调查规程》的相关要求上报上级主管部门。同时监理项目部应督促事故责任单位立即采取措施，防止事故扩大，并参加有关部门组织的质量事故调查，提出监理处理建议，并监督事故处理方案的实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（9）基建承包商日常检查扣分管理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根据《基建项目承包商管理业务指导书》的相关要求做好以下工作：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1）对施工现场有违反承包商违章扣分处罚条款的质量方面行为需立即责令整改，并发出《监理通知单》，情节严重的可建议业主项目部对责任单位进行违章扣分。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2）按照时间承包商评价的时间节点要求，负责对承包商进行项目履约评价。</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（10）QC管理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监理项目部可联合各参建单位或独立开展QC活动，持续开展基建质量改进活动，形成QC成果。</w:t>
      </w:r>
    </w:p>
    <w:p>
      <w:pPr>
        <w:autoSpaceDE w:val="0"/>
        <w:autoSpaceDN w:val="0"/>
        <w:adjustRightInd w:val="0"/>
        <w:spacing w:line="360" w:lineRule="auto"/>
        <w:ind w:firstLine="420" w:firstLineChars="200"/>
        <w:jc w:val="left"/>
        <w:rPr>
          <w:rFonts w:ascii="宋体" w:hAnsi="宋体" w:cs="宋体"/>
          <w:kern w:val="0"/>
          <w:szCs w:val="21"/>
          <w:lang w:val="zh-CN"/>
        </w:rPr>
      </w:pPr>
      <w:bookmarkStart w:id="268" w:name="_Toc295815734"/>
      <w:bookmarkStart w:id="269" w:name="_Toc298848087"/>
      <w:bookmarkStart w:id="270" w:name="_Toc296669142"/>
      <w:bookmarkStart w:id="271" w:name="_Toc295810504"/>
      <w:r>
        <w:rPr>
          <w:rFonts w:hint="eastAsia" w:ascii="宋体" w:hAnsi="宋体" w:cs="宋体"/>
          <w:kern w:val="0"/>
          <w:szCs w:val="21"/>
          <w:lang w:val="zh-CN"/>
        </w:rPr>
        <w:t>2.3.3  工程竣工验收阶段</w:t>
      </w:r>
      <w:bookmarkEnd w:id="268"/>
      <w:bookmarkEnd w:id="269"/>
      <w:bookmarkEnd w:id="270"/>
      <w:bookmarkEnd w:id="271"/>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（1）工程竣工验收程序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按照公司《基建验收管理业务指导书》，监理项目部在收到《工程启动/竣工验收报审表》后对施工项目部报送的竣工资料进行审查，于7日内组织工程竣工阶段初检工作，并按照《10kV～500kV输变电及配电工程质量验收与评定标准》/《水电站基本建设工程验收规程》DL /T5123-2000进行验收。对发现属于《南方电网公司输变电设备缺陷定级标准》的质量缺陷，发出《质量缺陷通知单》,由施工项目部编制整改措施并实施，整改完毕后使用《质量缺陷整改回复单》报监理项目部组织复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2）监理初检合格后，由监理项目部提交《工程监理竣工初检报告》和施工项目部《工程竣工验收报审表》报业主项目部审批。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3）依据公司《基建验收管理业务指导书》参加启动验收及竣工验收，对验收中提出的问题和缺陷，督促责任单位进行整改后复检；参加工程启动会议，提交汇报资料。</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4）参加工程项目系统调试、启动、试运行。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（2）工程总体质量评估</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在监理初检的同时进行整体工程质量验收汇总工作，审查施工项目部报审的《工程质量验评记录汇总报审表》（小型基建工程除外），并形成《工程质量评估报告》。</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（3）专项工程验收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1）特种设备安装完毕后，配合特种设备安全监督管理部门（技术监督局）检查、检验，督促处理存在的问题。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2）消防工程完成后，配合公安消防部门检查验收，督促处理存在的问题。</w:t>
      </w:r>
    </w:p>
    <w:p>
      <w:pPr>
        <w:autoSpaceDE w:val="0"/>
        <w:autoSpaceDN w:val="0"/>
        <w:adjustRightInd w:val="0"/>
        <w:spacing w:line="360" w:lineRule="auto"/>
        <w:ind w:firstLine="420" w:firstLineChars="200"/>
        <w:jc w:val="left"/>
        <w:rPr>
          <w:rFonts w:ascii="宋体" w:hAnsi="宋体" w:cs="宋体"/>
          <w:kern w:val="0"/>
          <w:szCs w:val="21"/>
          <w:lang w:val="zh-CN"/>
        </w:rPr>
      </w:pPr>
      <w:bookmarkStart w:id="272" w:name="_Toc295810505"/>
      <w:bookmarkStart w:id="273" w:name="_Toc296669143"/>
      <w:bookmarkStart w:id="274" w:name="_Toc298848088"/>
      <w:bookmarkStart w:id="275" w:name="_Toc295815735"/>
      <w:r>
        <w:rPr>
          <w:rFonts w:hint="eastAsia" w:ascii="宋体" w:hAnsi="宋体" w:cs="宋体"/>
          <w:kern w:val="0"/>
          <w:szCs w:val="21"/>
          <w:lang w:val="zh-CN"/>
        </w:rPr>
        <w:t>2.3.4  总结评价阶段</w:t>
      </w:r>
      <w:bookmarkEnd w:id="272"/>
      <w:bookmarkEnd w:id="273"/>
      <w:bookmarkEnd w:id="274"/>
      <w:bookmarkEnd w:id="275"/>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（1）质量总结</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总结质量监理工作经验，对质量控制工作进行评价，并按要求完成《监理工作总结》质量控制部分的编写。</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（2）质量保修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1）对工程质量缺陷进行检查、记录、调查分析，并与建设单位及参建单位共同确定责任归属。</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2）对施工原因造成的工程质量缺陷，监理项目部应督促施工项目部及时修复，对无法修复部分进行重建。</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3）参与修复和重建工程的质量验收。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（3）资料、档案移交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工程竣工后，监理项目部负责整理、移交监理档案资料，督促施工项目部及时编制完整、准确的竣工草图，对竣工图进行审核、签认。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（4）达标创优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1）对于有达标投产、创优要求的工程，按照建设工程监理合同的要求以及公司《基建达标投产及工程评优管理业务指导书》，进行自检并参加达标投产、创优工作。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2）按照建设工程监理合同的要求参加相关单位组织的后评价工作。</w:t>
      </w:r>
    </w:p>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2.4 进度控制</w:t>
      </w:r>
    </w:p>
    <w:p>
      <w:pPr>
        <w:autoSpaceDE w:val="0"/>
        <w:autoSpaceDN w:val="0"/>
        <w:adjustRightInd w:val="0"/>
        <w:spacing w:line="360" w:lineRule="auto"/>
        <w:ind w:firstLine="420" w:firstLineChars="200"/>
        <w:jc w:val="left"/>
        <w:rPr>
          <w:rFonts w:ascii="宋体" w:hAnsi="宋体" w:cs="宋体"/>
          <w:kern w:val="0"/>
          <w:szCs w:val="21"/>
          <w:lang w:val="zh-CN"/>
        </w:rPr>
      </w:pPr>
      <w:bookmarkStart w:id="276" w:name="_Toc278619713"/>
      <w:bookmarkStart w:id="277" w:name="_Toc278621096"/>
      <w:bookmarkStart w:id="278" w:name="_Toc278629419"/>
      <w:bookmarkStart w:id="279" w:name="_Toc278372200"/>
      <w:bookmarkStart w:id="280" w:name="_Toc278988461"/>
      <w:r>
        <w:rPr>
          <w:rFonts w:hint="eastAsia" w:ascii="宋体" w:hAnsi="宋体" w:cs="宋体"/>
          <w:kern w:val="0"/>
          <w:szCs w:val="21"/>
          <w:lang w:val="zh-CN"/>
        </w:rPr>
        <w:t>建设工程进度控制是指对工程项目建设施工阶段的工作内容、工作程序、持续时间和衔接关系根据进度控制里程碑计划及资源优化配置的原则编制计划并付诸实施，在进度计划的实施过程中检查实际进度是否按计划要求进行，对出现的偏差情况进行分析，要求施工项目部采取补救措施或调整、修改原计划后再付诸实施，如此循环直到建设工程竣工验收交付使用。项目实施过程中，工程进度和质量、成本、安全等因素相互影响、息息相关，是工程项目实施中的重点控制内容之一。进度控制的目的是在保证工程安全与质量的前提下，按资源优化配置的原则合理安排资源供应、节约工程成本，确保工程项目的既定目标工期的实现。</w:t>
      </w:r>
    </w:p>
    <w:p>
      <w:pPr>
        <w:autoSpaceDE w:val="0"/>
        <w:autoSpaceDN w:val="0"/>
        <w:adjustRightInd w:val="0"/>
        <w:spacing w:line="360" w:lineRule="auto"/>
        <w:ind w:firstLine="420" w:firstLineChars="200"/>
        <w:jc w:val="left"/>
        <w:rPr>
          <w:rFonts w:ascii="宋体" w:hAnsi="宋体" w:cs="宋体"/>
          <w:kern w:val="0"/>
          <w:szCs w:val="21"/>
          <w:lang w:val="zh-CN"/>
        </w:rPr>
      </w:pPr>
      <w:bookmarkStart w:id="281" w:name="_Toc298848113"/>
      <w:bookmarkStart w:id="282" w:name="_Toc304925811"/>
      <w:bookmarkStart w:id="283" w:name="_Toc295815759"/>
      <w:r>
        <w:rPr>
          <w:rFonts w:hint="eastAsia" w:ascii="宋体" w:hAnsi="宋体" w:cs="宋体"/>
          <w:kern w:val="0"/>
          <w:szCs w:val="21"/>
          <w:lang w:val="zh-CN"/>
        </w:rPr>
        <w:t xml:space="preserve">2.4.1 </w:t>
      </w:r>
      <w:bookmarkEnd w:id="281"/>
      <w:r>
        <w:rPr>
          <w:rFonts w:hint="eastAsia" w:ascii="宋体" w:hAnsi="宋体" w:cs="宋体"/>
          <w:kern w:val="0"/>
          <w:szCs w:val="21"/>
          <w:lang w:val="zh-CN"/>
        </w:rPr>
        <w:t>工作内容与方法</w:t>
      </w:r>
      <w:bookmarkEnd w:id="282"/>
    </w:p>
    <w:p>
      <w:pPr>
        <w:autoSpaceDE w:val="0"/>
        <w:autoSpaceDN w:val="0"/>
        <w:adjustRightInd w:val="0"/>
        <w:spacing w:line="360" w:lineRule="auto"/>
        <w:ind w:firstLine="420" w:firstLineChars="200"/>
        <w:jc w:val="left"/>
        <w:rPr>
          <w:rFonts w:ascii="宋体" w:hAnsi="宋体" w:cs="宋体"/>
          <w:kern w:val="0"/>
          <w:szCs w:val="21"/>
          <w:lang w:val="zh-CN"/>
        </w:rPr>
      </w:pPr>
      <w:bookmarkStart w:id="284" w:name="_Toc298848114"/>
      <w:r>
        <w:rPr>
          <w:rFonts w:hint="eastAsia" w:ascii="宋体" w:hAnsi="宋体" w:cs="宋体"/>
          <w:kern w:val="0"/>
          <w:szCs w:val="21"/>
          <w:lang w:val="zh-CN"/>
        </w:rPr>
        <w:t>2.4.1.1 监理项目部应依据施工合同有关条款、设计文件及经过批准的施工组织设计制定施工进度控制方案，对进度目标进行风险分析，制定防范性对策。</w:t>
      </w:r>
      <w:bookmarkEnd w:id="283"/>
      <w:bookmarkEnd w:id="284"/>
      <w:bookmarkStart w:id="285" w:name="_Toc298848157"/>
      <w:bookmarkStart w:id="286" w:name="_Toc295815802"/>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2.4.1.2 进度控制准备</w:t>
      </w:r>
      <w:bookmarkEnd w:id="285"/>
      <w:bookmarkEnd w:id="286"/>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1）收集、整理进度控制依据，如施工合同、工程前期资料、工程内容、范围、工程性质、工程量及工程地点、交通、环境、气候等。</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2）根据业主项目部一级进度计划和工程项目关键节点控制的要求，审核施工项目部编制的二级进度计划，确定进度控制目标。</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在《监理实施细则》中应编写进度控制的内容，结合工程实际，从设计、施工技术、自然环境、社会环境、组织管理、材料、设备供应、资金投入等方面分析可能影响工程进度的因素，提出预控措施；明确进度检查、统计周期、数据采集方式、进度报表格式（《业主项目部工作手册》7B04附件）、统计分析方法、控制网络图等要素。</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4）监理项目部应根据开工条件审查情况，对满足开工要求的，及时签署《工程开工报审表》的审查意见。</w:t>
      </w:r>
    </w:p>
    <w:p>
      <w:pPr>
        <w:autoSpaceDE w:val="0"/>
        <w:autoSpaceDN w:val="0"/>
        <w:adjustRightInd w:val="0"/>
        <w:spacing w:line="360" w:lineRule="auto"/>
        <w:ind w:firstLine="420" w:firstLineChars="200"/>
        <w:jc w:val="left"/>
        <w:rPr>
          <w:rFonts w:ascii="宋体" w:hAnsi="宋体" w:cs="宋体"/>
          <w:kern w:val="0"/>
          <w:szCs w:val="21"/>
          <w:lang w:val="zh-CN"/>
        </w:rPr>
      </w:pPr>
      <w:bookmarkStart w:id="287" w:name="_Toc295815803"/>
      <w:bookmarkStart w:id="288" w:name="_Toc298848158"/>
      <w:r>
        <w:rPr>
          <w:rFonts w:hint="eastAsia" w:ascii="宋体" w:hAnsi="宋体" w:cs="宋体"/>
          <w:kern w:val="0"/>
          <w:szCs w:val="21"/>
          <w:lang w:val="zh-CN"/>
        </w:rPr>
        <w:t>2.4.1.3 进度计划审查</w:t>
      </w:r>
      <w:bookmarkEnd w:id="287"/>
      <w:bookmarkEnd w:id="288"/>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1）施工单位在监理转达二级进度计划后，根据二级计划编制三级进度计划并上报监理人审批。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2）审核物资供应商提出的供货计划，并协助业主项目部督促其执行。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3）督促施工项目部根据停电作业的需求，及时编制停电计划，并及时上报相应单位审批。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4）督促施工项目部就冬雨季施工编制合理的施工方案与施工计划，充分考虑天气、温度等自然因素对施工的影响，提前进行合理安排。</w:t>
      </w:r>
    </w:p>
    <w:p>
      <w:pPr>
        <w:autoSpaceDE w:val="0"/>
        <w:autoSpaceDN w:val="0"/>
        <w:adjustRightInd w:val="0"/>
        <w:spacing w:line="360" w:lineRule="auto"/>
        <w:ind w:firstLine="420" w:firstLineChars="200"/>
        <w:jc w:val="left"/>
        <w:rPr>
          <w:rFonts w:ascii="宋体" w:hAnsi="宋体" w:cs="宋体"/>
          <w:kern w:val="0"/>
          <w:szCs w:val="21"/>
          <w:lang w:val="zh-CN"/>
        </w:rPr>
      </w:pPr>
      <w:bookmarkStart w:id="289" w:name="_Toc295815804"/>
      <w:bookmarkStart w:id="290" w:name="_Toc298848159"/>
      <w:r>
        <w:rPr>
          <w:rFonts w:hint="eastAsia" w:ascii="宋体" w:hAnsi="宋体" w:cs="宋体"/>
          <w:kern w:val="0"/>
          <w:szCs w:val="21"/>
          <w:lang w:val="zh-CN"/>
        </w:rPr>
        <w:t>2.4.1.4 进度计划检查与调整</w:t>
      </w:r>
      <w:bookmarkEnd w:id="289"/>
      <w:bookmarkEnd w:id="290"/>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1）监理项目部应根据审批的施工进度计划和设计图纸交付计划对工程实际进度进行跟踪检查，掌握现场人员、材料、设备、机械、环境等情况，并做好相应记录。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2）专业监理工程师注意收集工程进度信息，了解工程进度计划中各分项、分部工程施工的实际进度情况，并与计划对比分析。</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3）对进度检查结果与进度计划进行比较、分析，发生偏差（不影响工程关键节点进度）时应发出《监理通知单》或召开协调会，要求责任单位及时采取调整措施，以实现进度目标。</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4）工程实际进度与计划进度发生严重偏差时，监理项目部应召集参建各方召开专题会议分析偏差产生原因，提出改善意见及建议，督促施工项目部调整施工计划采取有效措施保证进度目标的实现。</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5）在每月的《监理月报》中应向业主项目部报告工程实际进展情况，分析实际情况与计划进度的偏差，叙述本月监理所采取的控制措施，以及措施的执行情况。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工程实施过程中，应避免施工项目部因抢工期而出现安全隐患或工程质量下降，甚至不合格的情况出现；否则应发出《监理通知单》，要求施工项目部整改，整改完成后向监理项目部报送《监理通知回复单》，经监理项目部复查合格后签字闭环；必要时总监理工程师可发出《工程暂停令》，要求施工项目部停工整改，整改完毕并经监理人员复查，符合规定要求后，总监理工程师应及时签署《工程复工报审表》，经业主项目部审批同意后复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7）由非施工项目部原因引起的工程延期，监理项目部应根据施工合同中有关工程延期的约定，根据工期延期原因和实际影响工期的程度，对工期事件进行量化，审查《费用索赔报审表》。</w:t>
      </w:r>
    </w:p>
    <w:p>
      <w:pPr>
        <w:autoSpaceDE w:val="0"/>
        <w:autoSpaceDN w:val="0"/>
        <w:adjustRightInd w:val="0"/>
        <w:spacing w:line="360" w:lineRule="auto"/>
        <w:ind w:firstLine="420" w:firstLineChars="200"/>
        <w:jc w:val="left"/>
        <w:rPr>
          <w:rFonts w:ascii="宋体" w:hAnsi="宋体" w:cs="宋体"/>
          <w:kern w:val="0"/>
          <w:szCs w:val="21"/>
          <w:lang w:val="zh-CN"/>
        </w:rPr>
      </w:pPr>
      <w:bookmarkStart w:id="291" w:name="_Toc298848160"/>
      <w:bookmarkStart w:id="292" w:name="_Toc295815805"/>
      <w:r>
        <w:rPr>
          <w:rFonts w:hint="eastAsia" w:ascii="宋体" w:hAnsi="宋体" w:cs="宋体"/>
          <w:kern w:val="0"/>
          <w:szCs w:val="21"/>
          <w:lang w:val="zh-CN"/>
        </w:rPr>
        <w:t>2.4.1.5 进度文件管理</w:t>
      </w:r>
      <w:bookmarkEnd w:id="291"/>
      <w:bookmarkEnd w:id="292"/>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1）及时整理、收集工程进度有关资料，按公司文件管理的规定做好监理资料的归档。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2）工程结束后，总监理工程师应及时组织项目监理人员进行总结，编写工程进度控制监理工作总结。</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3）工程竣工后根据竣工档案资料移交的要求，督促设计人编制竣工图，并及时交付。</w:t>
      </w:r>
    </w:p>
    <w:bookmarkEnd w:id="276"/>
    <w:bookmarkEnd w:id="277"/>
    <w:bookmarkEnd w:id="278"/>
    <w:bookmarkEnd w:id="279"/>
    <w:bookmarkEnd w:id="280"/>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2.5  造价控制</w:t>
      </w:r>
    </w:p>
    <w:p>
      <w:pPr>
        <w:autoSpaceDE w:val="0"/>
        <w:autoSpaceDN w:val="0"/>
        <w:adjustRightInd w:val="0"/>
        <w:spacing w:line="360" w:lineRule="auto"/>
        <w:ind w:firstLine="420" w:firstLineChars="200"/>
        <w:jc w:val="left"/>
        <w:rPr>
          <w:rFonts w:ascii="宋体" w:hAnsi="宋体" w:cs="宋体"/>
          <w:kern w:val="0"/>
          <w:szCs w:val="21"/>
          <w:lang w:val="zh-CN"/>
        </w:rPr>
      </w:pPr>
      <w:bookmarkStart w:id="293" w:name="_Toc304925807"/>
      <w:bookmarkStart w:id="294" w:name="_Toc296669152"/>
      <w:bookmarkStart w:id="295" w:name="_Toc295815746"/>
      <w:bookmarkStart w:id="296" w:name="_Toc298848101"/>
      <w:bookmarkStart w:id="297" w:name="_Toc295810516"/>
      <w:r>
        <w:rPr>
          <w:rFonts w:hint="eastAsia" w:ascii="宋体" w:hAnsi="宋体" w:cs="宋体"/>
          <w:kern w:val="0"/>
          <w:szCs w:val="21"/>
          <w:lang w:val="zh-CN"/>
        </w:rPr>
        <w:t>2.5.</w:t>
      </w:r>
      <w:r>
        <w:fldChar w:fldCharType="begin"/>
      </w:r>
      <w:r>
        <w:instrText xml:space="preserve"> HYPERLINK "file:///C:\\Documents%20and%20Settings\\talhm\\桌面\\南网监理项目部标准化工作手册\\《监理项目部标准化工作手册》编写造价控制部分.doc" \l "_Toc255562809" </w:instrText>
      </w:r>
      <w:r>
        <w:fldChar w:fldCharType="separate"/>
      </w:r>
      <w:r>
        <w:rPr>
          <w:rFonts w:hint="eastAsia" w:ascii="宋体" w:hAnsi="宋体" w:cs="宋体"/>
          <w:kern w:val="0"/>
          <w:szCs w:val="21"/>
          <w:lang w:val="zh-CN"/>
        </w:rPr>
        <w:t>1 工作内容</w:t>
      </w:r>
      <w:r>
        <w:rPr>
          <w:rFonts w:ascii="宋体" w:hAnsi="宋体" w:cs="宋体"/>
          <w:kern w:val="0"/>
          <w:szCs w:val="21"/>
          <w:lang w:val="zh-CN"/>
        </w:rPr>
        <w:fldChar w:fldCharType="end"/>
      </w:r>
      <w:r>
        <w:rPr>
          <w:rFonts w:hint="eastAsia" w:ascii="宋体" w:hAnsi="宋体" w:cs="宋体"/>
          <w:kern w:val="0"/>
          <w:szCs w:val="21"/>
          <w:lang w:val="zh-CN"/>
        </w:rPr>
        <w:t>与方法</w:t>
      </w:r>
      <w:bookmarkEnd w:id="293"/>
      <w:bookmarkEnd w:id="294"/>
      <w:bookmarkEnd w:id="295"/>
      <w:bookmarkEnd w:id="296"/>
      <w:bookmarkEnd w:id="297"/>
    </w:p>
    <w:p>
      <w:pPr>
        <w:autoSpaceDE w:val="0"/>
        <w:autoSpaceDN w:val="0"/>
        <w:adjustRightInd w:val="0"/>
        <w:spacing w:line="360" w:lineRule="auto"/>
        <w:ind w:firstLine="420" w:firstLineChars="200"/>
        <w:jc w:val="left"/>
        <w:rPr>
          <w:rFonts w:ascii="宋体" w:hAnsi="宋体" w:cs="宋体"/>
          <w:kern w:val="0"/>
          <w:szCs w:val="21"/>
          <w:lang w:val="zh-CN"/>
        </w:rPr>
      </w:pPr>
      <w:bookmarkStart w:id="298" w:name="_Toc298848102"/>
      <w:bookmarkStart w:id="299" w:name="_Toc295815747"/>
      <w:bookmarkStart w:id="300" w:name="_Toc296669153"/>
      <w:bookmarkStart w:id="301" w:name="_Toc295810517"/>
      <w:bookmarkStart w:id="302" w:name="_Toc296669157"/>
      <w:bookmarkStart w:id="303" w:name="_Toc295815751"/>
      <w:bookmarkStart w:id="304" w:name="_Toc295810521"/>
      <w:r>
        <w:rPr>
          <w:rFonts w:hint="eastAsia" w:ascii="宋体" w:hAnsi="宋体" w:cs="宋体"/>
          <w:kern w:val="0"/>
          <w:szCs w:val="21"/>
          <w:lang w:val="zh-CN"/>
        </w:rPr>
        <w:t>2.5.1.1 施工准备阶段</w:t>
      </w:r>
      <w:bookmarkEnd w:id="298"/>
      <w:bookmarkEnd w:id="299"/>
      <w:bookmarkEnd w:id="300"/>
      <w:bookmarkEnd w:id="301"/>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1）依据中国南方电网有限责任公司《基建项目造价管理业务指导书》在《监理规划》中编制造价控制的内容。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2）建立工程计量、工程款支付签证制度。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3）收集造价控制方面的基础资料。依据施工合同有关条款、设计及施工文件，对工程造价进行风险分析，并向业主项目部提出防范性对策和建议。</w:t>
      </w:r>
    </w:p>
    <w:p>
      <w:pPr>
        <w:autoSpaceDE w:val="0"/>
        <w:autoSpaceDN w:val="0"/>
        <w:adjustRightInd w:val="0"/>
        <w:spacing w:line="360" w:lineRule="auto"/>
        <w:ind w:firstLine="420" w:firstLineChars="200"/>
        <w:jc w:val="left"/>
        <w:rPr>
          <w:rFonts w:ascii="宋体" w:hAnsi="宋体" w:cs="宋体"/>
          <w:kern w:val="0"/>
          <w:szCs w:val="21"/>
          <w:lang w:val="zh-CN"/>
        </w:rPr>
      </w:pPr>
      <w:bookmarkStart w:id="305" w:name="_Toc295810518"/>
      <w:bookmarkStart w:id="306" w:name="_Toc295815748"/>
      <w:bookmarkStart w:id="307" w:name="_Toc298848103"/>
      <w:bookmarkStart w:id="308" w:name="_Toc296669154"/>
      <w:r>
        <w:rPr>
          <w:rFonts w:hint="eastAsia" w:ascii="宋体" w:hAnsi="宋体" w:cs="宋体"/>
          <w:kern w:val="0"/>
          <w:szCs w:val="21"/>
          <w:lang w:val="zh-CN"/>
        </w:rPr>
        <w:t>2.5.1.2 施工阶段</w:t>
      </w:r>
      <w:bookmarkEnd w:id="305"/>
      <w:bookmarkEnd w:id="306"/>
      <w:bookmarkEnd w:id="307"/>
      <w:bookmarkEnd w:id="308"/>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1）工程计量与工程款支付审核</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（1）依据施工合同约定，对施工项目部提交的《工程款支付报审表》进行审核和签认，报业主项目部审批。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专业监理工程师依据清单报价和设计图纸对已经验收合格的工程实施工程计量，审核施工项目部填报的工程量清单和《工程款支付报审表》，报总监理工程师；总监理工程师审核和签认，并同《工程支付证书》一起报业主项目部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款支付申请的审查要点：审查申报完成的工程量是否为已报监理项目部质量验收合格；审查工程量统计是否准确，工程款计算是否正确；对施工项目部超出设计图纸范围和因施工项目部原因造成返工的工程量，监理项目部不予计量；未经监理项目部质量验收合格的工程量或不符合承包合同约定的工程量，监理项目部应拒绝计量和拒绝签认该部分的工程款支付申请。</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（4）依据有关合同规定审核其它费用付款申请。</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2）工程变更费用审查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（1）依据施工合同及在业主项目部授权范围内，在工程变更实施前对《设计变更通知单》的变更费用预算进行审查。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（2）施工项目部提出的工程变更应按照施工合同的约定，编制工程变更预算书，报送监理项目部审核，经业主项目部认可后，方可进入计量和工程款支付程序。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依据工程变更文件，查验现场执行情况并对工程量实施计量，该工程变更项目完成后，在施工合同约定的限期内，业主项目部、施工项目部和监理项目部三方共同会签《工程量签证单》(见附表2)。逾期办理的《工程量签证单》，监理项目部不得予以计量。未经总监理工程师审查同意而实施的工程变更，监理项目部不得予以计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在业主项目部和施工项目部未能就工程变更的费用等方面达成协议时，监理项目部可以协调提出一个暂定的价格，作为临时支付工程进度款的依据。该项工程款最终结算时，应以业主项目部和施工项目部达成的协议为依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3）工程造价控制分析</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建立工程量统计报表，对实际完成情况和计划完成情况进行比较、分析，向委托人提出调整建议。</w:t>
      </w:r>
    </w:p>
    <w:p>
      <w:pPr>
        <w:autoSpaceDE w:val="0"/>
        <w:autoSpaceDN w:val="0"/>
        <w:adjustRightInd w:val="0"/>
        <w:spacing w:line="360" w:lineRule="auto"/>
        <w:ind w:firstLine="420" w:firstLineChars="200"/>
        <w:jc w:val="left"/>
        <w:rPr>
          <w:rFonts w:ascii="宋体" w:hAnsi="宋体" w:cs="宋体"/>
          <w:kern w:val="0"/>
          <w:szCs w:val="21"/>
          <w:lang w:val="zh-CN"/>
        </w:rPr>
      </w:pPr>
      <w:bookmarkStart w:id="309" w:name="_Toc304925808"/>
      <w:bookmarkStart w:id="310" w:name="_Toc295810519"/>
      <w:bookmarkStart w:id="311" w:name="_Toc296669155"/>
      <w:bookmarkStart w:id="312" w:name="_Toc298848104"/>
      <w:bookmarkStart w:id="313" w:name="_Toc295815749"/>
      <w:r>
        <w:rPr>
          <w:rFonts w:hint="eastAsia" w:ascii="宋体" w:hAnsi="宋体" w:cs="宋体"/>
          <w:kern w:val="0"/>
          <w:szCs w:val="21"/>
          <w:lang w:val="zh-CN"/>
        </w:rPr>
        <w:t>2.5.1.3 竣工验收阶段</w:t>
      </w:r>
      <w:bookmarkEnd w:id="309"/>
      <w:bookmarkEnd w:id="310"/>
      <w:bookmarkEnd w:id="311"/>
      <w:bookmarkEnd w:id="312"/>
      <w:bookmarkEnd w:id="313"/>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1）监理费用结算</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按合同规定定期申报监理费，竣工结算时申请结清监理费。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2）工程结算审核</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依据施工合同以及中国南方电网有限责任公司《基建项目造价管理业务指导书》审核施工项目部提交的《工程竣工结算报告》，提出监理书面意见和建议，报业主项目审批。</w:t>
      </w:r>
    </w:p>
    <w:p>
      <w:pPr>
        <w:autoSpaceDE w:val="0"/>
        <w:autoSpaceDN w:val="0"/>
        <w:adjustRightInd w:val="0"/>
        <w:spacing w:line="360" w:lineRule="auto"/>
        <w:ind w:firstLine="420" w:firstLineChars="200"/>
        <w:jc w:val="left"/>
        <w:rPr>
          <w:rFonts w:ascii="宋体" w:hAnsi="宋体" w:cs="宋体"/>
          <w:kern w:val="0"/>
          <w:szCs w:val="21"/>
          <w:lang w:val="zh-CN"/>
        </w:rPr>
      </w:pPr>
      <w:bookmarkStart w:id="314" w:name="_Toc295810520"/>
      <w:bookmarkStart w:id="315" w:name="_Toc296669156"/>
      <w:bookmarkStart w:id="316" w:name="_Toc298848105"/>
      <w:bookmarkStart w:id="317" w:name="_Toc295815750"/>
      <w:r>
        <w:rPr>
          <w:rFonts w:hint="eastAsia" w:ascii="宋体" w:hAnsi="宋体" w:cs="宋体"/>
          <w:kern w:val="0"/>
          <w:szCs w:val="21"/>
          <w:lang w:val="zh-CN"/>
        </w:rPr>
        <w:t>2.5.1.4 工程总结评价阶段</w:t>
      </w:r>
      <w:bookmarkEnd w:id="314"/>
      <w:bookmarkEnd w:id="315"/>
      <w:bookmarkEnd w:id="316"/>
      <w:bookmarkEnd w:id="317"/>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在监理工作总结中对造价控制工作进行总结，并整理归档造价控制的相关资料。</w:t>
      </w:r>
    </w:p>
    <w:bookmarkEnd w:id="302"/>
    <w:bookmarkEnd w:id="303"/>
    <w:bookmarkEnd w:id="304"/>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2.6 合同管理</w:t>
      </w:r>
    </w:p>
    <w:p>
      <w:pPr>
        <w:autoSpaceDE w:val="0"/>
        <w:autoSpaceDN w:val="0"/>
        <w:adjustRightInd w:val="0"/>
        <w:spacing w:line="360" w:lineRule="auto"/>
        <w:ind w:firstLine="420" w:firstLineChars="200"/>
        <w:jc w:val="left"/>
        <w:rPr>
          <w:rFonts w:ascii="宋体" w:hAnsi="宋体" w:cs="宋体"/>
          <w:kern w:val="0"/>
          <w:szCs w:val="21"/>
          <w:lang w:val="zh-CN"/>
        </w:rPr>
      </w:pPr>
      <w:bookmarkStart w:id="318" w:name="_Toc296669221"/>
      <w:bookmarkStart w:id="319" w:name="_Toc295810536"/>
      <w:bookmarkStart w:id="320" w:name="_Toc295815816"/>
      <w:r>
        <w:rPr>
          <w:rFonts w:hint="eastAsia" w:ascii="宋体" w:hAnsi="宋体" w:cs="宋体"/>
          <w:kern w:val="0"/>
          <w:szCs w:val="21"/>
          <w:lang w:val="zh-CN"/>
        </w:rPr>
        <w:t>监理项目部应根据国家法律法规和中国南方电网有限责任公司的有关规定，促使工程参建各方依法履行合同，对合同的争议和纠纷进行调解，使工程项目顺利进行。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在合同管理方面的工作包括：代表委托人对工程质量、进度、造价、安全等进行监督管理；工程暂停及复工的管理；工程延期及工程延误的处理；费用索赔的处理；合同争议的调解和合同的解除、分包合同的管理。</w:t>
      </w:r>
    </w:p>
    <w:p>
      <w:pPr>
        <w:autoSpaceDE w:val="0"/>
        <w:autoSpaceDN w:val="0"/>
        <w:adjustRightInd w:val="0"/>
        <w:spacing w:line="360" w:lineRule="auto"/>
        <w:ind w:firstLine="420" w:firstLineChars="200"/>
        <w:jc w:val="left"/>
        <w:rPr>
          <w:rFonts w:ascii="宋体" w:hAnsi="宋体" w:cs="宋体"/>
          <w:kern w:val="0"/>
          <w:szCs w:val="21"/>
          <w:lang w:val="zh-CN"/>
        </w:rPr>
      </w:pPr>
      <w:bookmarkStart w:id="321" w:name="_Toc298848163"/>
      <w:bookmarkStart w:id="322" w:name="_Toc296669214"/>
      <w:bookmarkStart w:id="323" w:name="_Toc295815809"/>
      <w:bookmarkStart w:id="324" w:name="_Toc295810529"/>
      <w:bookmarkStart w:id="325" w:name="_Toc304925814"/>
      <w:r>
        <w:rPr>
          <w:rFonts w:hint="eastAsia" w:ascii="宋体" w:hAnsi="宋体" w:cs="宋体"/>
          <w:kern w:val="0"/>
          <w:szCs w:val="21"/>
          <w:lang w:val="zh-CN"/>
        </w:rPr>
        <w:t xml:space="preserve">2.6.1 </w:t>
      </w:r>
      <w:bookmarkEnd w:id="321"/>
      <w:bookmarkEnd w:id="322"/>
      <w:bookmarkEnd w:id="323"/>
      <w:bookmarkEnd w:id="324"/>
      <w:r>
        <w:rPr>
          <w:rFonts w:hint="eastAsia" w:ascii="宋体" w:hAnsi="宋体" w:cs="宋体"/>
          <w:kern w:val="0"/>
          <w:szCs w:val="21"/>
          <w:lang w:val="zh-CN"/>
        </w:rPr>
        <w:t>工作内容与方法</w:t>
      </w:r>
      <w:bookmarkEnd w:id="325"/>
    </w:p>
    <w:p>
      <w:pPr>
        <w:autoSpaceDE w:val="0"/>
        <w:autoSpaceDN w:val="0"/>
        <w:adjustRightInd w:val="0"/>
        <w:spacing w:line="360" w:lineRule="auto"/>
        <w:ind w:firstLine="420" w:firstLineChars="200"/>
        <w:jc w:val="left"/>
        <w:rPr>
          <w:rFonts w:ascii="宋体" w:hAnsi="宋体" w:cs="宋体"/>
          <w:kern w:val="0"/>
          <w:szCs w:val="21"/>
          <w:lang w:val="zh-CN"/>
        </w:rPr>
      </w:pPr>
      <w:bookmarkStart w:id="326" w:name="_Toc296669217"/>
      <w:bookmarkStart w:id="327" w:name="_Toc295815812"/>
      <w:bookmarkStart w:id="328" w:name="_Toc298848166"/>
      <w:bookmarkStart w:id="329" w:name="_Toc295810532"/>
      <w:r>
        <w:rPr>
          <w:rFonts w:hint="eastAsia" w:ascii="宋体" w:hAnsi="宋体" w:cs="宋体"/>
          <w:kern w:val="0"/>
          <w:szCs w:val="21"/>
          <w:lang w:val="zh-CN"/>
        </w:rPr>
        <w:t>2.6.1.1 施工准备阶段的合同管理</w:t>
      </w:r>
      <w:bookmarkEnd w:id="326"/>
      <w:bookmarkEnd w:id="327"/>
      <w:bookmarkEnd w:id="328"/>
      <w:bookmarkEnd w:id="329"/>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1）在《监理规划》等文件中明确各级监理人员合同管理职责和工作内容。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2）总监理工程师向监理项目部成员进行监理合同和施工合同交底，组织学习合同关键条款，形成书面交底记录。监理合同交底的主要内容是监理合同中的合同协议书和专用条款。施工合同交底的主要内容如下：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（1）工程概况及施工项目部的承包方式。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（2）合同工期控制总目标及阶段控制目标。</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（3）合同质量控制目标及合同规定执行的规范、标准和验收程序。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（4）合同对本工程的材料、设备采购、验收的规定。</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（5）造价及成本控制目标，特别是合同价款的支付及调整的条件、方式和程序。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（6）安全控制目标及安全风险管理要求。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（7）合同争议的调解方式、程序和要求。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（8）索赔的处理。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（9）甲供材料和设备的品种、规格、型号、数量、质量等级、提供时间、地点等。</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（10）约定由施工项目部采购的材料、设备明细。</w:t>
      </w:r>
    </w:p>
    <w:p>
      <w:pPr>
        <w:autoSpaceDE w:val="0"/>
        <w:autoSpaceDN w:val="0"/>
        <w:adjustRightInd w:val="0"/>
        <w:spacing w:line="360" w:lineRule="auto"/>
        <w:ind w:firstLine="420" w:firstLineChars="200"/>
        <w:jc w:val="left"/>
        <w:rPr>
          <w:rFonts w:ascii="宋体" w:hAnsi="宋体" w:cs="宋体"/>
          <w:kern w:val="0"/>
          <w:szCs w:val="21"/>
          <w:lang w:val="zh-CN"/>
        </w:rPr>
      </w:pPr>
      <w:bookmarkStart w:id="330" w:name="_Toc296669218"/>
      <w:bookmarkStart w:id="331" w:name="_Toc298848167"/>
      <w:bookmarkStart w:id="332" w:name="_Toc295815813"/>
      <w:bookmarkStart w:id="333" w:name="_Toc295810533"/>
      <w:r>
        <w:rPr>
          <w:rFonts w:hint="eastAsia" w:ascii="宋体" w:hAnsi="宋体" w:cs="宋体"/>
          <w:kern w:val="0"/>
          <w:szCs w:val="21"/>
          <w:lang w:val="zh-CN"/>
        </w:rPr>
        <w:t>2.6.1.2 施工阶段的合同管理</w:t>
      </w:r>
      <w:bookmarkEnd w:id="330"/>
      <w:bookmarkEnd w:id="331"/>
      <w:bookmarkEnd w:id="332"/>
      <w:bookmarkEnd w:id="333"/>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1）督促施工项目部严格按照建设工程施工合同履行责任和义务。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2）要求施工项目部严格按照分包合同管理分包单位，分包单位所有文件须经施工项目部签认后报监理项目部。</w:t>
      </w:r>
    </w:p>
    <w:p>
      <w:pPr>
        <w:autoSpaceDE w:val="0"/>
        <w:autoSpaceDN w:val="0"/>
        <w:adjustRightInd w:val="0"/>
        <w:spacing w:line="360" w:lineRule="auto"/>
        <w:ind w:firstLine="420" w:firstLineChars="200"/>
        <w:jc w:val="left"/>
        <w:rPr>
          <w:rFonts w:ascii="宋体" w:hAnsi="宋体" w:cs="宋体"/>
          <w:kern w:val="0"/>
          <w:szCs w:val="21"/>
          <w:lang w:val="zh-CN"/>
        </w:rPr>
      </w:pPr>
      <w:bookmarkStart w:id="334" w:name="_Toc295815814"/>
      <w:bookmarkStart w:id="335" w:name="_Toc298848168"/>
      <w:bookmarkStart w:id="336" w:name="_Toc296669219"/>
      <w:bookmarkStart w:id="337" w:name="_Toc295810534"/>
      <w:r>
        <w:rPr>
          <w:rFonts w:hint="eastAsia" w:ascii="宋体" w:hAnsi="宋体" w:cs="宋体"/>
          <w:kern w:val="0"/>
          <w:szCs w:val="21"/>
          <w:lang w:val="zh-CN"/>
        </w:rPr>
        <w:t>2.6.1.3 竣工阶段的合同管理</w:t>
      </w:r>
      <w:bookmarkEnd w:id="334"/>
      <w:bookmarkEnd w:id="335"/>
      <w:bookmarkEnd w:id="336"/>
      <w:bookmarkEnd w:id="337"/>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在《监理工作总结》中对工程合同履行情况进行总结评价。</w:t>
      </w:r>
    </w:p>
    <w:p>
      <w:pPr>
        <w:autoSpaceDE w:val="0"/>
        <w:autoSpaceDN w:val="0"/>
        <w:adjustRightInd w:val="0"/>
        <w:spacing w:line="360" w:lineRule="auto"/>
        <w:ind w:firstLine="420" w:firstLineChars="200"/>
        <w:jc w:val="left"/>
        <w:rPr>
          <w:rFonts w:ascii="宋体" w:hAnsi="宋体" w:cs="宋体"/>
          <w:kern w:val="0"/>
          <w:szCs w:val="21"/>
          <w:lang w:val="zh-CN"/>
        </w:rPr>
      </w:pPr>
      <w:bookmarkStart w:id="338" w:name="_Toc298848169"/>
      <w:bookmarkStart w:id="339" w:name="_Toc295815815"/>
      <w:bookmarkStart w:id="340" w:name="_Toc295810535"/>
      <w:bookmarkStart w:id="341" w:name="_Toc296669220"/>
      <w:r>
        <w:rPr>
          <w:rFonts w:hint="eastAsia" w:ascii="宋体" w:hAnsi="宋体" w:cs="宋体"/>
          <w:kern w:val="0"/>
          <w:szCs w:val="21"/>
          <w:lang w:val="zh-CN"/>
        </w:rPr>
        <w:t>2.6.1.4 合同管理的其他工作</w:t>
      </w:r>
      <w:bookmarkEnd w:id="338"/>
      <w:bookmarkEnd w:id="339"/>
      <w:bookmarkEnd w:id="340"/>
      <w:bookmarkEnd w:id="341"/>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1）工程暂停及复工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（1）出现下列情形之一的，总监理工程师应签发《工程暂停令》：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业主项目部要求暂停施工的；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为保证工程质量而需要进行停工处理的；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发现生产安全事故隐患，有必要停工以消除隐患的；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超过一定规模的危险性较大的分部分项工程未按照已通过专家论证的方案施工的；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发生必须暂时停止施工的紧急事件的；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施工项目部未经许可擅自施工，或拒绝执行监理项目部指令的。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（2）总监理工程师签发工程暂停令时，应根据停工原因的影响范围和影响程度，确定工程项目停工范围。</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（3）总监理工程师签发工程暂停令，应事先征得业主项目部同意，在紧急情况下未能事先报告的，则应在24小时内向业主项目部作出书面报告。</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（4）因非施工项目部原因造成施工暂停的，总监理工程师应协助业主项目部与施工项目部协商有关工期和费用索赔等事宜。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因非施工项目部原因暂停施工的，监理项目部应如实记录所发生的实际情况。总监理工程师应在暂停施工原因消失，具备复工条件时，及时签署《工程复工报审表》和《工程复工令》。或指令施工项目部恢复施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因施工项目部原因暂停施工，具备复工条件的，监理项目部应审查施工项目部报送的复工申请及有关材料，满足要求后由总监理工程师签署《工程复工报审表》和《工程复工令，经业主项目部同意后，施工项目部继续施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2）工程变更的管理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工程变更是指在工程项目实施过程中，按照合同约定的程序对部分或全部在材料、结构、工艺、功能、尺寸、技术指标、工程量等方面做出的改变。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（1）工程变更的一般规定</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工程变更可以由业主项目部、也可以由监理项目部、设计人或施工项目部提出，并填写《设计变更联系单》。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工程变更的申报、审查、批准等过程与依据文件，必须是有效的书面文件。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监理项目部对工程变更的审查、批准权限及审批程序，应根据建设工程监理合同和业主项目部的授权进行。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工程变更指令由监理项目部审查、总监理工程师签署，业主项目部批准后发出。</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当工程变更完工后，监理项目部必须在完工后5日内签字确认，如属隐蔽工程，必须在其覆盖之前在《工程变更通知单》上签字确认。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（2）监理项目部按下列程序处理工程变更。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由施工项目部或物资供应商提出的工程变更应填报《设计变更联系单》，由总监理工程师组织专业监理工程师审查后报业主项目部，由业主项目部转交设计人编制设计变更单。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当工程变更涉及消防、安全、环境保护等内容时，应按规定报有关部门审批。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 监理工程师应了解实际情况并收集与工程变更有关的资料。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总监理工程师必须根据实际情况、设计变更文件和其它有关资料，按照施工合同的有关条款，在指定专业监理工程师完成确定工程变更项目与原工程项目之间的类似程度和难易程度、确定工程变更项目的工程量以及确定工程变更的单价或总价后，对工程变更的费用和工期做出评估。</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总监理工程师就工程变更费用及工期的评估情况与施工项目部和业主项目部进行协调。</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总监理工程师签发工程变更申请单。工程变更应包括工程变更要求、工程变更说明、工程变更费用和工期、必要的附件等内容。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g 监理项目部根据《工程变更通知单》监督施工项目部实施工程变更。监理项目部应监督施工项目部执行《工程变更通知单》，并要求施工项目部填写《工程变更汇总表》。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（3）监理项目部处理工程变更应符合下列要求：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 监理项目部在工程变更的质量、费用和工期方面取得业主项目部授权后，总监理工程师按施工合同规定与施工项目部进行协商，经协商达成一致后，将协商结果向业主项目部通报，并由业主项目部与施工项目部在变更文件上签字。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b 在监理项目部未能就工程变更的质量、费用和工期方面取得业主项目部授权时，总监理工程师应协助业主项目部和施工项目部进行协商。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在业主项目部和施工项目部未能就工程变更的费用等方面达成协议时，监理项目部应提出一个暂定的价格，作为临时支付工程进度款的依据。该项工程款最终结算时，应以业主项目部和施工项目部达成的书面协议为依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e 在总监理工程师签发工程变更单之前，施工项目部不得实施工程变更。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未经总监理工程师审查同意而实施的工程变更，监理项目部不得予以计量。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g 施工项目部对原设计提出的变更包括合理化建议、修改施工方案、原设计材料代用等的变更应在征得总监理工程师、业主项目部同意后，送设计人审查，在取得相应的变更图纸和说明后执行。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h 由于设计错漏发生的设计变更，设计人应及时出具设计变更通知单。设计人对原设计提出的工程变更，要编制设计变更文件和施工预算。</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j 由于工程建设过程中实际情况变化等原因，业主项目部可直接以《工程联系单》（见附表1）的形式提出设计变更，设计人据此开展设计变更。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（4）监理项目部应及时组织有关单位审核设计变更图纸等文件。现场监理人员须对变更全过程进行监督和管理。如属隐蔽工程，必须在其覆盖之前在设计变更通知单上签字确认。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3）费用索赔的处理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（1）监理项目部处理合同索赔应依据下列内容：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国家的有关法律、法规和工程项目所在地的地方法规。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本工程的勘察、设计文件，施工合同文件。</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国家、部门和地方有关的标准和定额。</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施工合同履行过程中与索赔事件有关的凭证。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（2）当提出合同索赔的理由同时满足以下条件时，监理项目部应予受理：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索赔事件造成了索赔方直接经济损失。</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索赔事件是由于非索赔方的责任发生的。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c《费用索赔报审表》。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（3）监理项目部接到索赔报告后，应在建设工程监理合同规定的时限进行审核，并提出处理意见。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（4）施工项目部向业主项目部提出费用索赔，监理项目部按下列程序处理：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a 施工项目部在施工合同规定的期限内向监理提交对业主项目部的费用索赔意向通知书。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b 总监理工程师指定专业监理工程师收集与索赔有关的资料。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c 施工项目部在施工合同规定的期限内向监理项目部提交对业主项目部的费用索赔申请表和相关证明材料。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总监理工程师初步审查费用索赔申请，同时满足2.6.1.4  3）费用索赔的处理的第（2）条所规定的三个条件时予以受理。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总监理工程师进行费用索赔审查，并在初步确定一个额度后，与施工项目部和业主项目部进行协商。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总监理工程师应在施工合同规定的期限内签署费用索赔审批表，或在施工合同规定的期限内发出要求施工项目部提交有关索赔报告的进一步详细资料的通知。待收到施工项目部提交的详细资料后，再按以上费用索赔审批的程序进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（5）当施工项目部的费用索赔要求与工程延期要求相关联时，总监理工程师综合提出费用索赔和工程延期的处理意见。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（6）由于施工项目部的原因造成业主项目部的额外损失，业主项目部向施工项目部提出费用索赔时，总监理工程师在审查索赔报告后，应公平地与业主项目部和施工项目部进行协商，并及时提出处理意见。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4）工程延期及工期延误的处理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（1）当施工项目部提出工程延期要求符合施工合同文件的规定条件时，监理项目部应予以受理。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影响工期事件具有持续性时，监理项目部可在收到施工项目部提交的《工程临时/最终延期报审表》并经过审查后，由总监理工程师签署《工程临时/最终延期报审表》后报业主项目部批准。当施工项目部提交最终的工程延期申请表后，监理项目部应复查工程延期及临时延期情况，由总监理工程师签署《工程最终延期审批表》后报业主项目部批准。工程延期或临时延期获得批准后使用《施工进度计划报审表》重新报审。</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（3）监理项目部在作出临时工程延期批准或最终工程延期获得批准之前，均应与业主项目部和施工项目部进行协商。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（4）监理项目部在审查工程延期时，应依下列情况审核工程延期的时间：</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施工合同中有关工程延期的约定。</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工期拖延和影响工期事件的事实和程度。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影响工期事件对工期影响的量化程度。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（5）工程延期造成施工项目部提出费用索赔时，监理项目部应按2.6.1.4 3）费用索赔的处理的第（4）条规定处理。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（6）当施工项目部未能按照施工合同要求的工期竣工交付造成工期延误时，监理项目部应按施工合同规定从施工项目部应得款项中扣除误期损害赔偿费。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 xml:space="preserve">5）合同争议的调解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（1）监理项目部接到合同争议的调解要求后应进行以下工作：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调查和取证、及时了解合同争议的全部情况。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及时与合同争议的双方进行磋商。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在监理项目部提出调解方案后，由总监理工程师进行争议调解。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当调解未能达成一致时，总监理工程师应在施工合同规定的期限内提出处理该合同争议的意见。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在争议调解过程中，除已达到了施工合同规定的暂停履行合同的条件之外，监理项目部应要求施工合同的双方继续履行施工合同。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（2）在总监理工程师签署合同争议处理意见后，业主项目部或施工项目部在施工合同规定的期限内未对合同争议处理决定提出异议，在符合施工合同的前提下，此意见应成为最后的决定，双方必须执行。</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（3）在合同争议的仲裁或诉讼过程中，监理项目部接到仲裁机关或法院要求提供有关证据的通知后，应向仲裁机关或法院提供与争议有关的证据。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6）合同的解除</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（1）施工合同的解除必须符合法律程序。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当业主项目部违约导致施工合同最终解除时，监理项目部应就施工项目部按施工合同规定应得到的款项与业主项目部和施工项目部进行协商，并应按施工合同的规定从下列应得的款项中确定施工项目部应得到的全部款项，并书面通知业主项目部和施工项目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施工项目部已完成的工程量表中所列的各项工作所应得的款项。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按批准的采购计划订购工程材料、设备、半成品、构配件的款项。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施工项目部撤离施工设备至原基地或其他目的地的合理费用。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施工项目部所有人员的合理遣返费用。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合理的利润补偿。</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f 施工合同约定的业主项目部应支付的违约金。</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（3）由于施工项目部违约导致施工合同终止后，监理项目部应按下列程序清理施工项目部的应得款项，或偿还业主项目部的相关款项，并书面通知业主项目部和施工项目部：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a 施工合同终止时，清理施工项目部已按施工合同规定实际完成的工作所应得的款项和已经得到支付的款项。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b 施工现场余留的材料、设备及临时工程的价值。</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c 对已完工程进行检查和验收、移交工程资料、该部分工程的清理、质量缺陷修复等所需的费用。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d 施工合同约定的施工项目部应支付的违约金；</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e 总监理工程师按照承包合同的约定，在与业主项目部和施工项目部协商后，书面提交施工项目部应得款项或偿还业主项目部款项的证明。</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（4）由于不可抗力或非业主项目部、施工项目部原因导致施工合同终止时，监理项目部应按施工合同规定处理合同解除后的有关事宜。</w:t>
      </w:r>
    </w:p>
    <w:bookmarkEnd w:id="318"/>
    <w:bookmarkEnd w:id="319"/>
    <w:bookmarkEnd w:id="320"/>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2.7 环保、水保</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2.7.1 负责识别环境因素，并制定相应的监理措施，建立环保管理体系和制度，监督环评报告及其批复意见在设计、施工中落实，控制施工过程对环境的影响。</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2.7.2 选派的管理和作业人员应符合环保、水保管理工作的要求，环保、水保管理应指定专人。</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2.7.3 监理规划、监理实施细则中要写入环保、水保的相关内容，并编制环保、水保控制实施方案。分部工程开工前，结合现场的实际情况进行环境因素识别，制定控制措施。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2.7.4 将环境保护教育纳入教育培训计划，在各层次技术交底中，要对环保、水保措施交底。</w:t>
      </w:r>
    </w:p>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2.8信息管理</w:t>
      </w:r>
    </w:p>
    <w:p>
      <w:pPr>
        <w:autoSpaceDE w:val="0"/>
        <w:autoSpaceDN w:val="0"/>
        <w:adjustRightInd w:val="0"/>
        <w:spacing w:line="360" w:lineRule="auto"/>
        <w:ind w:firstLine="420" w:firstLineChars="200"/>
        <w:jc w:val="left"/>
        <w:rPr>
          <w:rFonts w:ascii="宋体" w:hAnsi="宋体" w:cs="宋体"/>
          <w:kern w:val="0"/>
          <w:szCs w:val="21"/>
          <w:lang w:val="zh-CN"/>
        </w:rPr>
      </w:pPr>
      <w:bookmarkStart w:id="342" w:name="_Toc296669235"/>
      <w:bookmarkStart w:id="343" w:name="_Toc295810551"/>
      <w:bookmarkStart w:id="344" w:name="_Toc295815831"/>
      <w:r>
        <w:rPr>
          <w:rFonts w:hint="eastAsia" w:ascii="宋体" w:hAnsi="宋体" w:cs="宋体"/>
          <w:kern w:val="0"/>
          <w:szCs w:val="21"/>
          <w:lang w:val="zh-CN"/>
        </w:rPr>
        <w:t>监理项目部按照《建设工程监理合同》及基建信息与档案管理规定履行监理的信息与档案管理职责，主动配合业主项目部基建信息系统管理工作，满足业主项目部的数字化、电子化信息管理、WHS运行资料要求。</w:t>
      </w:r>
    </w:p>
    <w:p>
      <w:pPr>
        <w:autoSpaceDE w:val="0"/>
        <w:autoSpaceDN w:val="0"/>
        <w:adjustRightInd w:val="0"/>
        <w:spacing w:line="360" w:lineRule="auto"/>
        <w:ind w:firstLine="420" w:firstLineChars="200"/>
        <w:jc w:val="left"/>
        <w:rPr>
          <w:rFonts w:ascii="宋体" w:hAnsi="宋体" w:cs="宋体"/>
          <w:kern w:val="0"/>
          <w:szCs w:val="21"/>
          <w:lang w:val="zh-CN"/>
        </w:rPr>
      </w:pPr>
      <w:bookmarkStart w:id="345" w:name="_Toc295810542"/>
      <w:bookmarkStart w:id="346" w:name="_Toc296669226"/>
      <w:bookmarkStart w:id="347" w:name="_Toc298848173"/>
      <w:bookmarkStart w:id="348" w:name="_Toc295815822"/>
      <w:bookmarkStart w:id="349" w:name="_Toc304925817"/>
      <w:r>
        <w:rPr>
          <w:rFonts w:hint="eastAsia" w:ascii="宋体" w:hAnsi="宋体" w:cs="宋体"/>
          <w:kern w:val="0"/>
          <w:szCs w:val="21"/>
          <w:lang w:val="zh-CN"/>
        </w:rPr>
        <w:t xml:space="preserve">2.8.1 </w:t>
      </w:r>
      <w:bookmarkEnd w:id="345"/>
      <w:bookmarkEnd w:id="346"/>
      <w:bookmarkEnd w:id="347"/>
      <w:bookmarkEnd w:id="348"/>
      <w:r>
        <w:rPr>
          <w:rFonts w:hint="eastAsia" w:ascii="宋体" w:hAnsi="宋体" w:cs="宋体"/>
          <w:kern w:val="0"/>
          <w:szCs w:val="21"/>
          <w:lang w:val="zh-CN"/>
        </w:rPr>
        <w:t>工作内容与方法</w:t>
      </w:r>
      <w:bookmarkEnd w:id="349"/>
    </w:p>
    <w:p>
      <w:pPr>
        <w:autoSpaceDE w:val="0"/>
        <w:autoSpaceDN w:val="0"/>
        <w:adjustRightInd w:val="0"/>
        <w:spacing w:line="360" w:lineRule="auto"/>
        <w:ind w:firstLine="420" w:firstLineChars="200"/>
        <w:jc w:val="left"/>
        <w:rPr>
          <w:rFonts w:ascii="宋体" w:hAnsi="宋体" w:cs="宋体"/>
          <w:kern w:val="0"/>
          <w:szCs w:val="21"/>
          <w:lang w:val="zh-CN"/>
        </w:rPr>
      </w:pPr>
      <w:bookmarkStart w:id="350" w:name="_Toc298848174"/>
      <w:bookmarkStart w:id="351" w:name="_Toc295815823"/>
      <w:bookmarkStart w:id="352" w:name="_Toc296669227"/>
      <w:bookmarkStart w:id="353" w:name="_Toc295810543"/>
      <w:r>
        <w:rPr>
          <w:rFonts w:hint="eastAsia" w:ascii="宋体" w:hAnsi="宋体" w:cs="宋体"/>
          <w:kern w:val="0"/>
          <w:szCs w:val="21"/>
          <w:lang w:val="zh-CN"/>
        </w:rPr>
        <w:t>2.8.1.1 信息管理</w:t>
      </w:r>
      <w:bookmarkEnd w:id="350"/>
    </w:p>
    <w:bookmarkEnd w:id="351"/>
    <w:bookmarkEnd w:id="352"/>
    <w:bookmarkEnd w:id="353"/>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1）落实工程信息文件传递流程和包括质量、安全风险、造价、进度控制及合同管理的信息管理制度。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工程开工前，监理项目部参加的第一次工地例会应含有信息管理内容，明确信息管理分工与职责、收集方式、信息范围、记录要求及提交的份数，要求各参建单位确定工程信息管理负责人及沟通方式，形成具有地址、姓名、职务、手机、电话、电子邮箱等详细信息的通信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3）监理项目部应要求施工项目部将信息管理人员作为主要施工管理人员，信息管理人员宜具有档案管理岗位证书，必须参加业主项目部组织的工程信息管理培训，并不得随意变动。</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4）采集整理工程建设过程中质量、安全风险、造价、进度控制及合同管理等信息，按照建设工程监理合同的要求协助做好基建信息系统相关信息的录入和业务流转，确保提供的监理数据及时、准确和完整。</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5）采集工程信息介质包括监理工作范围内的文字、图形、图像、语言和数字信息。</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6）督促参建单位及时报送工程报表和工程信息文件，配合业主项目部完成工程数据信息统计报送。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7）存贮于计算机中的重要工程信息每月定期需进行备份，或传递到中国南方电网有限责任公司信息管理部门异地备份，以防遗失。</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8）每月25日前编制《监理月报》报送业主项目部，总监理工程师应定期对《监理日志》记录的真实性、完整性进行检查并签认；监理文件格式应统一，形成标准化模式。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9）信息管理人员应参加现场工地例会、专题会议，及时掌握工程动态。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10）工程信息传递应及时、真实、准确和全面，信息分类管理，实施文件的收发登记，填写《接收文件登记表》及《发出文件登记表》，建立健全信息资源利用制度。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11）对具有密级的工程信息应按公司保密制度妥善管理。</w:t>
      </w:r>
    </w:p>
    <w:p>
      <w:pPr>
        <w:autoSpaceDE w:val="0"/>
        <w:autoSpaceDN w:val="0"/>
        <w:adjustRightInd w:val="0"/>
        <w:spacing w:line="360" w:lineRule="auto"/>
        <w:ind w:firstLine="420" w:firstLineChars="200"/>
        <w:jc w:val="left"/>
        <w:rPr>
          <w:rFonts w:ascii="宋体" w:hAnsi="宋体" w:cs="宋体"/>
          <w:kern w:val="0"/>
          <w:szCs w:val="21"/>
          <w:lang w:val="zh-CN"/>
        </w:rPr>
      </w:pPr>
      <w:bookmarkStart w:id="354" w:name="_Toc298848175"/>
      <w:r>
        <w:rPr>
          <w:rFonts w:hint="eastAsia" w:ascii="宋体" w:hAnsi="宋体" w:cs="宋体"/>
          <w:kern w:val="0"/>
          <w:szCs w:val="21"/>
          <w:lang w:val="zh-CN"/>
        </w:rPr>
        <w:t>2.8.1.2 档案管理</w:t>
      </w:r>
      <w:bookmarkEnd w:id="354"/>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总监理工程师是工程监理文件管理第一责任人，各专业监理工程师对工作范围内的监理文件的完整性、真实性、是否符合归档质量要求承担主要责任，信息管理人员根据工程建设进展进行监理文件的收集整理和流转工作，并对监理文件质量进行检查，不符合归档要求的文件，及时向责任人提出，整改落实后再进行文件处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2）监理项目部根据业主项目部的基建项目档案管理要求，建立预立卷制度。</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3）预立卷方式是按照工程档案来源性原则设置若干预立卷盒，预立卷盒背脊上有明显标识，设有卷内目录，分类放置在资料柜中；预立卷盒标识、卷内目录格式应统一，形成标准化模式。</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专业监理工程师分阶段对施工项目部形成的施工文件和记录进行检查，对不符合项目档案管理要求和发生错、漏或延迟归入预立卷盒的文件和记录应责成施工项目部及时补充完整，在《监理日志》上写好检查记录。</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5）对工程建设过程档案中间检查中发现缺失、造假等重大违反项目档案管理的问题，项目总监理工程师应结合工程进度情况签发工程暂停令，当日通知业主项目部，必须整改落实后才予以继续施工。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6）参与委托人、业主项目部组织的档案资料中间检查及验收，并根据意见在规定时间内进行整改和完善。</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7）在文件传递过程中，对符合归档要求的文件经各级签审后，按程序及时分发到相关参建方。对不符合归档要求的文件，填写收发文表后及时退回提交方。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8）监理文件应保存电子和纸质介质文件。项目总监理工程师、专业监理工程师应及时提供纸质文件记录、电子文件、数码工程图片及相片等满足档案管理六要素要求的信息给信息管理员统一管理，信息管理员每月进行自查和备份，按类别建立监理文件、资料分类台账，以方便查询、归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9）总监理工程师组织各专业监理工程师对照设计变更通知、工程联系单等记录审核施工项目部和设计人编制的竣工文件及竣工图的真实性、完整性和准确性。</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10）对施工项目部移交的档案进行监理初步验收，同意移交后在施工项目部的《基建项目档案移交表》（《基建项目档案管理规定》附录1）上签署监理意见。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11）监理项目部按照中国南方电网有限责任公司基建项目档案管理规定对监理资料进行分类整理、组卷，归档范围和案卷质量必须满足中国南方电网有限责任公司基建项目档案管理规定，录入各分子公司工程档案信息管理系统，编写监理档案信息管理说明。监理文件自检合格后，在工程投产后45天内提交委托人验收，验收合格才能移交归档。</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12）填写《基建项目档案移交表》并附移交清册，一式三份。经核对无误后各方签字盖章确认后，移交手续完成。</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13）监理项目部完成工程监理档案向委托人归档后15天内，整理监理内部档案及印章，同时向监理人档案部门移交纸质档案和电子档案各一份。工程竣工签证书、竣工报告、获奖材料等后续文件由项目总监理工程师继续收集整理，及时向监理人归档。</w:t>
      </w:r>
    </w:p>
    <w:p>
      <w:pPr>
        <w:autoSpaceDE w:val="0"/>
        <w:autoSpaceDN w:val="0"/>
        <w:adjustRightInd w:val="0"/>
        <w:spacing w:line="360" w:lineRule="auto"/>
        <w:ind w:firstLine="420" w:firstLineChars="200"/>
        <w:jc w:val="left"/>
        <w:rPr>
          <w:rFonts w:ascii="宋体" w:hAnsi="宋体" w:cs="宋体"/>
          <w:kern w:val="0"/>
          <w:szCs w:val="21"/>
          <w:lang w:val="zh-CN"/>
        </w:rPr>
      </w:pPr>
      <w:bookmarkStart w:id="355" w:name="_Toc295815828"/>
      <w:bookmarkStart w:id="356" w:name="_Toc295810548"/>
      <w:bookmarkStart w:id="357" w:name="_Toc296669232"/>
      <w:r>
        <w:rPr>
          <w:rFonts w:hint="eastAsia" w:ascii="宋体" w:hAnsi="宋体" w:cs="宋体"/>
          <w:kern w:val="0"/>
          <w:szCs w:val="21"/>
          <w:lang w:val="zh-CN"/>
        </w:rPr>
        <w:t>14）监理项目部全面</w:t>
      </w:r>
      <w:bookmarkEnd w:id="355"/>
      <w:bookmarkEnd w:id="356"/>
      <w:bookmarkEnd w:id="357"/>
      <w:r>
        <w:rPr>
          <w:rFonts w:hint="eastAsia" w:ascii="宋体" w:hAnsi="宋体" w:cs="宋体"/>
          <w:kern w:val="0"/>
          <w:szCs w:val="21"/>
          <w:lang w:val="zh-CN"/>
        </w:rPr>
        <w:t>应用中国南方电网有限责任公司工程信息管理系统，监理人</w:t>
      </w:r>
      <w:bookmarkStart w:id="358" w:name="_Toc296669233"/>
      <w:bookmarkStart w:id="359" w:name="_Toc295810549"/>
      <w:bookmarkStart w:id="360" w:name="_Toc295815829"/>
      <w:r>
        <w:rPr>
          <w:rFonts w:hint="eastAsia" w:ascii="宋体" w:hAnsi="宋体" w:cs="宋体"/>
          <w:kern w:val="0"/>
          <w:szCs w:val="21"/>
          <w:lang w:val="zh-CN"/>
        </w:rPr>
        <w:t xml:space="preserve">的监理信息管理系统应与中国南方电网工程信息管理系统相适应。 </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（15）监理人按要求参加南网基建管理信息系统使用培训，并按南方电网公司管理要求，及时、准确的在管理信息系统中录入监理人负责的相关数据，并通过审核,具体需使用的功能要求见下表:</w:t>
      </w:r>
    </w:p>
    <w:tbl>
      <w:tblPr>
        <w:tblStyle w:val="42"/>
        <w:tblW w:w="0" w:type="auto"/>
        <w:jc w:val="center"/>
        <w:tblLayout w:type="fixed"/>
        <w:tblCellMar>
          <w:top w:w="0" w:type="dxa"/>
          <w:left w:w="108" w:type="dxa"/>
          <w:bottom w:w="0" w:type="dxa"/>
          <w:right w:w="108" w:type="dxa"/>
        </w:tblCellMar>
      </w:tblPr>
      <w:tblGrid>
        <w:gridCol w:w="700"/>
        <w:gridCol w:w="760"/>
        <w:gridCol w:w="2123"/>
        <w:gridCol w:w="2477"/>
        <w:gridCol w:w="2059"/>
        <w:gridCol w:w="1399"/>
      </w:tblGrid>
      <w:tr>
        <w:tblPrEx>
          <w:tblCellMar>
            <w:top w:w="0" w:type="dxa"/>
            <w:left w:w="108" w:type="dxa"/>
            <w:bottom w:w="0" w:type="dxa"/>
            <w:right w:w="108" w:type="dxa"/>
          </w:tblCellMar>
        </w:tblPrEx>
        <w:trPr>
          <w:trHeight w:val="585"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编号</w:t>
            </w:r>
          </w:p>
        </w:tc>
        <w:tc>
          <w:tcPr>
            <w:tcW w:w="7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主/配网</w:t>
            </w:r>
          </w:p>
        </w:tc>
        <w:tc>
          <w:tcPr>
            <w:tcW w:w="212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功能名称</w:t>
            </w:r>
          </w:p>
        </w:tc>
        <w:tc>
          <w:tcPr>
            <w:tcW w:w="24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需操作内容</w:t>
            </w:r>
          </w:p>
        </w:tc>
        <w:tc>
          <w:tcPr>
            <w:tcW w:w="20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录入时间要求</w:t>
            </w:r>
          </w:p>
        </w:tc>
        <w:tc>
          <w:tcPr>
            <w:tcW w:w="139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kern w:val="0"/>
                <w:sz w:val="22"/>
              </w:rPr>
            </w:pPr>
            <w:r>
              <w:rPr>
                <w:rFonts w:hint="eastAsia" w:ascii="宋体" w:hAnsi="宋体" w:cs="宋体"/>
                <w:b/>
                <w:bCs/>
                <w:kern w:val="0"/>
                <w:sz w:val="22"/>
              </w:rPr>
              <w:t>录入质量</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合同录入</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录入合同</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合同签订后3天</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2</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合同补充管理</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录入合同</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合同签订后3天</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3</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分包检查</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录入分包检查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施工合同签订后，开工前30天</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4</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施工单位项目履约情况评价</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录入评价内容</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业主项目部对施工单位履约评价完成后5个工作日内</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5</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处罚通知单录入与整改</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审核处罚单数据</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整改完成时间之前</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6</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安全文明检查评价</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录入及审核</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检查评价发生后</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7</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安全文明检查整改通知</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整改完成时间之前</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8</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设备检查</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检查合格有效期满前1个月</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9</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安全应急预案与演练</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应急预案上报到监理节点后3个工作日内</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10</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质量控制点设置</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工程开工前</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11</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WHS执行检查及评价</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每月30号前</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12</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Qc活动</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业务发生后5个工作日内</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13</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质量教育培训</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业务发生后5个工作日内</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14</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标准表式管理</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审核</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单据上报到监理节点后3个工作日内</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15</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缺陷管理填报（在建阶段）</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缺陷发现后，整改日期前</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r>
        <w:tblPrEx>
          <w:tblCellMar>
            <w:top w:w="0" w:type="dxa"/>
            <w:left w:w="108" w:type="dxa"/>
            <w:bottom w:w="0" w:type="dxa"/>
            <w:right w:w="108" w:type="dxa"/>
          </w:tblCellMar>
        </w:tblPrEx>
        <w:trPr>
          <w:trHeight w:val="585" w:hRule="atLeast"/>
          <w:jc w:val="center"/>
        </w:trPr>
        <w:tc>
          <w:tcPr>
            <w:tcW w:w="700"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16</w:t>
            </w:r>
          </w:p>
        </w:tc>
        <w:tc>
          <w:tcPr>
            <w:tcW w:w="760"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主网</w:t>
            </w:r>
          </w:p>
        </w:tc>
        <w:tc>
          <w:tcPr>
            <w:tcW w:w="2123"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项目组织结构</w:t>
            </w:r>
          </w:p>
        </w:tc>
        <w:tc>
          <w:tcPr>
            <w:tcW w:w="2477"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录入</w:t>
            </w:r>
          </w:p>
        </w:tc>
        <w:tc>
          <w:tcPr>
            <w:tcW w:w="205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监理合同签订后5个工作日</w:t>
            </w:r>
          </w:p>
        </w:tc>
        <w:tc>
          <w:tcPr>
            <w:tcW w:w="1399" w:type="dxa"/>
            <w:tcBorders>
              <w:top w:val="nil"/>
              <w:left w:val="nil"/>
              <w:bottom w:val="single" w:color="auto" w:sz="4" w:space="0"/>
              <w:right w:val="single" w:color="auto" w:sz="4" w:space="0"/>
            </w:tcBorders>
            <w:noWrap w:val="0"/>
            <w:vAlign w:val="center"/>
          </w:tcPr>
          <w:p>
            <w:pPr>
              <w:jc w:val="center"/>
              <w:rPr>
                <w:rFonts w:ascii="宋体" w:hAnsi="宋体" w:cs="宋体"/>
                <w:kern w:val="0"/>
                <w:sz w:val="22"/>
              </w:rPr>
            </w:pPr>
            <w:r>
              <w:rPr>
                <w:rFonts w:hint="eastAsia" w:ascii="宋体" w:hAnsi="宋体" w:cs="宋体"/>
                <w:kern w:val="0"/>
                <w:sz w:val="22"/>
              </w:rPr>
              <w:t>与实际相符</w:t>
            </w:r>
          </w:p>
        </w:tc>
      </w:tr>
    </w:tbl>
    <w:p>
      <w:pPr>
        <w:spacing w:line="360" w:lineRule="auto"/>
        <w:ind w:firstLine="315" w:firstLineChars="150"/>
        <w:rPr>
          <w:rFonts w:ascii="宋体" w:hAnsi="宋体" w:cs="宋体"/>
          <w:kern w:val="0"/>
          <w:szCs w:val="21"/>
          <w:lang w:val="zh-CN"/>
        </w:rPr>
      </w:pPr>
    </w:p>
    <w:bookmarkEnd w:id="342"/>
    <w:bookmarkEnd w:id="343"/>
    <w:bookmarkEnd w:id="344"/>
    <w:bookmarkEnd w:id="358"/>
    <w:bookmarkEnd w:id="359"/>
    <w:bookmarkEnd w:id="360"/>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2.9组织协调</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监理项目部和监理人员运用书面文件、召开会议、口头交流等方法，围绕工程项目，协调所有参建单位的活动，促使各方协同一致，以实现工程目标。</w:t>
      </w:r>
    </w:p>
    <w:p>
      <w:pPr>
        <w:autoSpaceDE w:val="0"/>
        <w:autoSpaceDN w:val="0"/>
        <w:adjustRightInd w:val="0"/>
        <w:spacing w:line="360" w:lineRule="auto"/>
        <w:ind w:firstLine="420" w:firstLineChars="200"/>
        <w:jc w:val="left"/>
        <w:rPr>
          <w:rFonts w:ascii="宋体" w:hAnsi="宋体" w:cs="宋体"/>
          <w:kern w:val="0"/>
          <w:szCs w:val="21"/>
          <w:lang w:val="zh-CN"/>
        </w:rPr>
      </w:pPr>
      <w:bookmarkStart w:id="361" w:name="_Toc298848178"/>
      <w:bookmarkStart w:id="362" w:name="_Toc304925820"/>
      <w:bookmarkStart w:id="363" w:name="_Toc295810554"/>
      <w:bookmarkStart w:id="364" w:name="_Toc295815834"/>
      <w:r>
        <w:rPr>
          <w:rFonts w:hint="eastAsia" w:ascii="宋体" w:hAnsi="宋体" w:cs="宋体"/>
          <w:kern w:val="0"/>
          <w:szCs w:val="21"/>
          <w:lang w:val="zh-CN"/>
        </w:rPr>
        <w:t xml:space="preserve">2.9.1 </w:t>
      </w:r>
      <w:bookmarkEnd w:id="361"/>
      <w:r>
        <w:rPr>
          <w:rFonts w:hint="eastAsia" w:ascii="宋体" w:hAnsi="宋体" w:cs="宋体"/>
          <w:kern w:val="0"/>
          <w:szCs w:val="21"/>
          <w:lang w:val="zh-CN"/>
        </w:rPr>
        <w:t>工作内容与方法</w:t>
      </w:r>
      <w:bookmarkEnd w:id="362"/>
    </w:p>
    <w:p>
      <w:pPr>
        <w:autoSpaceDE w:val="0"/>
        <w:autoSpaceDN w:val="0"/>
        <w:adjustRightInd w:val="0"/>
        <w:spacing w:line="360" w:lineRule="auto"/>
        <w:ind w:firstLine="420" w:firstLineChars="200"/>
        <w:jc w:val="left"/>
        <w:rPr>
          <w:rFonts w:ascii="宋体" w:hAnsi="宋体" w:cs="宋体"/>
          <w:kern w:val="0"/>
          <w:szCs w:val="21"/>
          <w:lang w:val="zh-CN"/>
        </w:rPr>
      </w:pPr>
      <w:bookmarkStart w:id="365" w:name="_Toc298848179"/>
      <w:r>
        <w:rPr>
          <w:rFonts w:hint="eastAsia" w:ascii="宋体" w:hAnsi="宋体" w:cs="宋体"/>
          <w:kern w:val="0"/>
          <w:szCs w:val="21"/>
          <w:lang w:val="zh-CN"/>
        </w:rPr>
        <w:t>2.9.1.1 监理项目部应主动与所属监理公司职能部门进行沟通和协调，以取得资源、技术和后勤保障上的支持。</w:t>
      </w:r>
    </w:p>
    <w:bookmarkEnd w:id="363"/>
    <w:bookmarkEnd w:id="364"/>
    <w:bookmarkEnd w:id="365"/>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2.9.1.2 总监理工程师在开工前主持召开监理项目部内部交底会，介绍工程监理合同、施工合同的主要内容，介绍工程主要特点和委托人的要求，对监理人员提出工作要求。在监理过程中协调监理人员，以促进有效协作。</w:t>
      </w:r>
    </w:p>
    <w:p>
      <w:pPr>
        <w:autoSpaceDE w:val="0"/>
        <w:autoSpaceDN w:val="0"/>
        <w:adjustRightInd w:val="0"/>
        <w:spacing w:line="360" w:lineRule="auto"/>
        <w:ind w:firstLine="420" w:firstLineChars="200"/>
        <w:jc w:val="left"/>
        <w:rPr>
          <w:rFonts w:ascii="宋体" w:hAnsi="宋体" w:cs="宋体"/>
          <w:kern w:val="0"/>
          <w:szCs w:val="21"/>
          <w:lang w:val="zh-CN"/>
        </w:rPr>
      </w:pPr>
      <w:bookmarkStart w:id="366" w:name="_Toc298848181"/>
      <w:bookmarkStart w:id="367" w:name="_Toc295815837"/>
      <w:bookmarkStart w:id="368" w:name="_Toc295810557"/>
      <w:r>
        <w:rPr>
          <w:rFonts w:hint="eastAsia" w:ascii="宋体" w:hAnsi="宋体" w:cs="宋体"/>
          <w:kern w:val="0"/>
          <w:szCs w:val="21"/>
          <w:lang w:val="zh-CN"/>
        </w:rPr>
        <w:t>2.9.1.3</w:t>
      </w:r>
      <w:bookmarkEnd w:id="366"/>
      <w:bookmarkEnd w:id="367"/>
      <w:bookmarkEnd w:id="368"/>
      <w:r>
        <w:rPr>
          <w:rFonts w:hint="eastAsia" w:ascii="宋体" w:hAnsi="宋体" w:cs="宋体"/>
          <w:kern w:val="0"/>
          <w:szCs w:val="21"/>
          <w:lang w:val="zh-CN"/>
        </w:rPr>
        <w:t xml:space="preserve"> 监理项目部应主动了解建设工程的目标和要求，理解设计意图和委托人的管理要求；在项目建设过程中，及时向业主项目部报告过程建设的相关情况。</w:t>
      </w:r>
    </w:p>
    <w:p>
      <w:pPr>
        <w:autoSpaceDE w:val="0"/>
        <w:autoSpaceDN w:val="0"/>
        <w:adjustRightInd w:val="0"/>
        <w:spacing w:line="360" w:lineRule="auto"/>
        <w:ind w:firstLine="420" w:firstLineChars="200"/>
        <w:jc w:val="left"/>
        <w:rPr>
          <w:rFonts w:ascii="宋体" w:hAnsi="宋体" w:cs="宋体"/>
          <w:kern w:val="0"/>
          <w:szCs w:val="21"/>
          <w:lang w:val="zh-CN"/>
        </w:rPr>
      </w:pPr>
      <w:bookmarkStart w:id="369" w:name="_Toc295810559"/>
      <w:bookmarkStart w:id="370" w:name="_Toc295815839"/>
      <w:r>
        <w:rPr>
          <w:rFonts w:hint="eastAsia" w:ascii="宋体" w:hAnsi="宋体" w:cs="宋体"/>
          <w:kern w:val="0"/>
          <w:szCs w:val="21"/>
          <w:lang w:val="zh-CN"/>
        </w:rPr>
        <w:t>2.9.1.4</w:t>
      </w:r>
      <w:bookmarkEnd w:id="369"/>
      <w:bookmarkEnd w:id="370"/>
      <w:r>
        <w:rPr>
          <w:rFonts w:hint="eastAsia" w:ascii="宋体" w:hAnsi="宋体" w:cs="宋体"/>
          <w:kern w:val="0"/>
          <w:szCs w:val="21"/>
          <w:lang w:val="zh-CN"/>
        </w:rPr>
        <w:t xml:space="preserve"> 协助协调甲供设备、材料到货计划，以满足施工进度的要求。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2.9.1.5 依据合同合理地协调解决工程纠纷。</w:t>
      </w:r>
    </w:p>
    <w:p>
      <w:pPr>
        <w:autoSpaceDE w:val="0"/>
        <w:autoSpaceDN w:val="0"/>
        <w:adjustRightInd w:val="0"/>
        <w:spacing w:line="360" w:lineRule="auto"/>
        <w:ind w:firstLine="420" w:firstLineChars="200"/>
        <w:jc w:val="left"/>
        <w:rPr>
          <w:rFonts w:ascii="宋体" w:hAnsi="宋体" w:cs="宋体"/>
          <w:kern w:val="0"/>
          <w:szCs w:val="21"/>
          <w:lang w:val="zh-CN"/>
        </w:rPr>
      </w:pPr>
      <w:bookmarkStart w:id="371" w:name="_Toc295810560"/>
      <w:bookmarkStart w:id="372" w:name="_Toc295815840"/>
      <w:r>
        <w:rPr>
          <w:rFonts w:hint="eastAsia" w:ascii="宋体" w:hAnsi="宋体" w:cs="宋体"/>
          <w:kern w:val="0"/>
          <w:szCs w:val="21"/>
          <w:lang w:val="zh-CN"/>
        </w:rPr>
        <w:t>2.9.1.6 协调设计人的交图进度，以满足施工进度的要求。</w:t>
      </w:r>
      <w:bookmarkEnd w:id="371"/>
      <w:bookmarkEnd w:id="372"/>
      <w:r>
        <w:rPr>
          <w:rFonts w:hint="eastAsia" w:ascii="宋体" w:hAnsi="宋体" w:cs="宋体"/>
          <w:kern w:val="0"/>
          <w:szCs w:val="21"/>
          <w:lang w:val="zh-CN"/>
        </w:rPr>
        <w:t>及时沟通施工中发现的设计问题。</w:t>
      </w:r>
    </w:p>
    <w:p>
      <w:pPr>
        <w:autoSpaceDE w:val="0"/>
        <w:autoSpaceDN w:val="0"/>
        <w:adjustRightInd w:val="0"/>
        <w:spacing w:line="360" w:lineRule="auto"/>
        <w:ind w:firstLine="420" w:firstLineChars="200"/>
        <w:jc w:val="left"/>
        <w:rPr>
          <w:rFonts w:ascii="宋体" w:hAnsi="宋体" w:cs="宋体"/>
          <w:kern w:val="0"/>
          <w:szCs w:val="21"/>
          <w:lang w:val="zh-CN"/>
        </w:rPr>
      </w:pPr>
      <w:bookmarkStart w:id="373" w:name="_Toc295810561"/>
      <w:bookmarkStart w:id="374" w:name="_Toc295815841"/>
      <w:r>
        <w:rPr>
          <w:rFonts w:hint="eastAsia" w:ascii="宋体" w:hAnsi="宋体" w:cs="宋体"/>
          <w:kern w:val="0"/>
          <w:szCs w:val="21"/>
          <w:lang w:val="zh-CN"/>
        </w:rPr>
        <w:t>2.9.1.7 协调多个施工项目部之间的关系</w:t>
      </w:r>
      <w:bookmarkEnd w:id="373"/>
      <w:bookmarkEnd w:id="374"/>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1）督促做好工程控制高程和坐标位置交接；明确各自临时设施场地划分和定位；明确工程施工界面的划分与衔接。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2）督促做好各专业之间的平衡对接，各工种之间施工工艺、施工穿插搭接、施工过程中的成品保护，相互协作支持。</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3）督促项目交接单位做好对应交接项目有关技术资料及实物的交接，并形成交接文件。</w:t>
      </w:r>
    </w:p>
    <w:p>
      <w:pPr>
        <w:autoSpaceDE w:val="0"/>
        <w:autoSpaceDN w:val="0"/>
        <w:adjustRightInd w:val="0"/>
        <w:spacing w:line="360" w:lineRule="auto"/>
        <w:ind w:firstLine="420" w:firstLineChars="200"/>
        <w:jc w:val="left"/>
        <w:rPr>
          <w:rFonts w:ascii="宋体" w:hAnsi="宋体" w:cs="宋体"/>
          <w:kern w:val="0"/>
          <w:szCs w:val="21"/>
          <w:lang w:val="zh-CN"/>
        </w:rPr>
      </w:pPr>
      <w:bookmarkStart w:id="375" w:name="_Toc298848182"/>
      <w:bookmarkStart w:id="376" w:name="_Toc295810564"/>
      <w:bookmarkStart w:id="377" w:name="_Toc295815844"/>
      <w:r>
        <w:rPr>
          <w:rFonts w:hint="eastAsia" w:ascii="宋体" w:hAnsi="宋体" w:cs="宋体"/>
          <w:kern w:val="0"/>
          <w:szCs w:val="21"/>
          <w:lang w:val="zh-CN"/>
        </w:rPr>
        <w:t>2.9.1.8 第一次工地会议</w:t>
      </w:r>
      <w:bookmarkEnd w:id="375"/>
      <w:bookmarkEnd w:id="376"/>
      <w:bookmarkEnd w:id="377"/>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第一次工地会议由业主项目部主持，监理项目部、设计人、施工项目部、分包单位（如有）及重要的物资供应商（有必要时）参加，内容包括：</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1）委托人、业主项目部、监理项目部、施工项目部和设计人分别介绍各自驻现场的组织机构、人员及其分工；</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2）委托人根据建设工程监理合同宣布对总监理工程师的授权；</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3）业主项目部介绍工程开工准备情况；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4）施工项目部介绍施工准备情况；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5）业主项目部和总监理工程师对施工准备情况提出意见和要求；</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6）总监理工程师介绍监理规划的主要内容；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7）研究确定各方在施工过程中参加监理例会的主要人员，召开监理例会周期、地点及主要议题。</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2.9.1.9 工地例会</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在施工过程中，总监理工程师应定期主持召开工地例会，并形成《工地例会纪要》。《工地例会纪要》应由项目监理机构负责整理，并经与会各方代表确认。内容包括：</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1）检查上次监理例会议定事项的落实情况，分析未完事项原因；</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2）检查分析工程进度计划完成情况，提出下一阶段进度目标及其落实措施；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3）分析工程质量和安全风险控制情况，针对存在的质量问题和安全隐患提出改进措施；</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4）检查工程计量及工程款支付证书签发情况；</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5）需要协调的有关事项；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2.9.1.10 专题会议</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对于工程中的重大问题和紧急事项需要开专题会议研究讨论。会前应与有关单位一起做好充分的准备，预先磋商。会后形成《专题会议纪要》，督促各与会单位遵照纪要执行。</w:t>
      </w:r>
    </w:p>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2.10达标投产和创优管理</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2.10.1 按照中国南方电网公司《基建达标投产及工程评优管理业务指导书》的要求进行过程控制：工程投运后，在工程管理单位的组织下，参加工程项目的达标投产自检，配合复检；监督设计、施工、调试和供货商的消缺整改。</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2.10.2 按照委托人的创优质工程的要求开展监理和施工工作。</w:t>
      </w:r>
    </w:p>
    <w:p>
      <w:pPr>
        <w:autoSpaceDE w:val="0"/>
        <w:autoSpaceDN w:val="0"/>
        <w:adjustRightIn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lang w:val="zh-CN"/>
        </w:rPr>
        <w:t>2.10.3 工程完工后组织设计、施工等承包商对工程“新技术、新设备、新材料、新工艺”的应用进行总结，组织形成报告。</w:t>
      </w:r>
    </w:p>
    <w:p>
      <w:pPr>
        <w:autoSpaceDE w:val="0"/>
        <w:autoSpaceDN w:val="0"/>
        <w:adjustRightInd w:val="0"/>
        <w:spacing w:line="360" w:lineRule="auto"/>
        <w:ind w:firstLine="422" w:firstLineChars="200"/>
        <w:jc w:val="left"/>
        <w:rPr>
          <w:rFonts w:ascii="宋体" w:hAnsi="宋体" w:cs="宋体"/>
          <w:b/>
          <w:bCs/>
          <w:kern w:val="0"/>
          <w:szCs w:val="21"/>
          <w:lang w:val="zh-CN"/>
        </w:rPr>
      </w:pPr>
      <w:r>
        <w:rPr>
          <w:rFonts w:hint="eastAsia" w:ascii="宋体" w:hAnsi="宋体" w:cs="宋体"/>
          <w:b/>
          <w:bCs/>
          <w:kern w:val="0"/>
          <w:szCs w:val="21"/>
          <w:lang w:val="zh-CN"/>
        </w:rPr>
        <w:t xml:space="preserve">2.11 </w:t>
      </w:r>
      <w:r>
        <w:rPr>
          <w:rFonts w:hint="eastAsia" w:ascii="宋体" w:hAnsi="宋体" w:cs="宋体"/>
          <w:kern w:val="0"/>
          <w:szCs w:val="21"/>
          <w:lang w:val="zh-CN"/>
        </w:rPr>
        <w:t>协助组织工程评比、劳动竞赛和精神文明建设等项活动，提出奖惩建议。</w:t>
      </w:r>
    </w:p>
    <w:p/>
    <w:p>
      <w:r>
        <w:br w:type="page"/>
      </w:r>
    </w:p>
    <w:p>
      <w:pPr>
        <w:pStyle w:val="5"/>
        <w:ind w:firstLine="137"/>
        <w:jc w:val="left"/>
        <w:rPr>
          <w:rFonts w:ascii="Times New Roman"/>
        </w:rPr>
      </w:pPr>
      <w:bookmarkStart w:id="378" w:name="_Toc24623"/>
      <w:r>
        <w:rPr>
          <w:rFonts w:hint="eastAsia" w:ascii="Times New Roman"/>
        </w:rPr>
        <w:t>附件</w:t>
      </w:r>
      <w:r>
        <w:rPr>
          <w:rFonts w:hint="eastAsia" w:ascii="Times New Roman"/>
          <w:lang w:val="en-US" w:eastAsia="zh-CN"/>
        </w:rPr>
        <w:t>二</w:t>
      </w:r>
      <w:r>
        <w:rPr>
          <w:rFonts w:hint="eastAsia" w:ascii="Times New Roman"/>
        </w:rPr>
        <w:t>：</w:t>
      </w:r>
      <w:r>
        <w:rPr>
          <w:rFonts w:hint="eastAsia" w:ascii="宋体" w:hAnsi="宋体"/>
          <w:szCs w:val="21"/>
        </w:rPr>
        <w:t>由委托人提供的人员、设备、设施和其他服务</w:t>
      </w:r>
      <w:bookmarkEnd w:id="378"/>
    </w:p>
    <w:p>
      <w:r>
        <w:br w:type="page"/>
      </w:r>
    </w:p>
    <w:p>
      <w:pPr>
        <w:pStyle w:val="5"/>
        <w:ind w:firstLine="137"/>
        <w:rPr>
          <w:rFonts w:ascii="宋体" w:hAnsi="宋体"/>
          <w:szCs w:val="21"/>
        </w:rPr>
      </w:pPr>
      <w:bookmarkStart w:id="379" w:name="_Toc8769"/>
      <w:r>
        <w:rPr>
          <w:rFonts w:ascii="Times New Roman"/>
        </w:rPr>
        <w:t>附件</w:t>
      </w:r>
      <w:r>
        <w:rPr>
          <w:rFonts w:hint="eastAsia" w:ascii="Times New Roman"/>
          <w:lang w:val="en-US" w:eastAsia="zh-CN"/>
        </w:rPr>
        <w:t>三</w:t>
      </w:r>
      <w:r>
        <w:rPr>
          <w:rFonts w:ascii="Times New Roman"/>
        </w:rPr>
        <w:t>：</w:t>
      </w:r>
      <w:r>
        <w:rPr>
          <w:rFonts w:hint="eastAsia" w:ascii="宋体" w:hAnsi="宋体"/>
          <w:szCs w:val="21"/>
        </w:rPr>
        <w:t>主要监理人员名单</w:t>
      </w:r>
      <w:bookmarkEnd w:id="379"/>
    </w:p>
    <w:p>
      <w:pPr>
        <w:spacing w:line="440" w:lineRule="exact"/>
        <w:jc w:val="center"/>
        <w:rPr>
          <w:rFonts w:eastAsia="黑体"/>
          <w:sz w:val="28"/>
        </w:rPr>
      </w:pPr>
      <w:r>
        <w:rPr>
          <w:rFonts w:hint="eastAsia" w:eastAsia="黑体"/>
          <w:sz w:val="28"/>
        </w:rPr>
        <w:t>派驻本工程项目负责人及主要管理人员</w:t>
      </w:r>
    </w:p>
    <w:p>
      <w:pPr>
        <w:spacing w:line="440" w:lineRule="exact"/>
        <w:jc w:val="center"/>
        <w:rPr>
          <w:rFonts w:ascii="宋体" w:hAnsi="宋体" w:cs="宋体"/>
          <w:szCs w:val="21"/>
        </w:rPr>
      </w:pPr>
      <w:r>
        <w:rPr>
          <w:rFonts w:hint="eastAsia" w:ascii="宋体" w:hAnsi="宋体" w:cs="宋体"/>
          <w:szCs w:val="21"/>
        </w:rPr>
        <w:t>【  】单位【  】工程（监理）项目监理人员名单</w:t>
      </w:r>
    </w:p>
    <w:tbl>
      <w:tblPr>
        <w:tblStyle w:val="42"/>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24"/>
        <w:gridCol w:w="1260"/>
        <w:gridCol w:w="1080"/>
        <w:gridCol w:w="1539"/>
        <w:gridCol w:w="1190"/>
        <w:gridCol w:w="978"/>
        <w:gridCol w:w="1182"/>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924" w:type="dxa"/>
            <w:vMerge w:val="restart"/>
            <w:tcBorders>
              <w:top w:val="single" w:color="000000" w:sz="4" w:space="0"/>
              <w:left w:val="single" w:color="000000" w:sz="4" w:space="0"/>
              <w:right w:val="single" w:color="000000" w:sz="4" w:space="0"/>
            </w:tcBorders>
            <w:noWrap w:val="0"/>
            <w:vAlign w:val="center"/>
          </w:tcPr>
          <w:p>
            <w:pPr>
              <w:pStyle w:val="22"/>
              <w:jc w:val="center"/>
              <w:rPr>
                <w:rFonts w:hAnsi="宋体"/>
                <w:szCs w:val="21"/>
              </w:rPr>
            </w:pPr>
            <w:r>
              <w:rPr>
                <w:rFonts w:hAnsi="宋体"/>
                <w:szCs w:val="21"/>
              </w:rPr>
              <w:t>序号</w:t>
            </w:r>
          </w:p>
        </w:tc>
        <w:tc>
          <w:tcPr>
            <w:tcW w:w="1260" w:type="dxa"/>
            <w:vMerge w:val="restart"/>
            <w:tcBorders>
              <w:top w:val="single" w:color="000000" w:sz="4" w:space="0"/>
              <w:left w:val="single" w:color="000000" w:sz="4" w:space="0"/>
              <w:right w:val="single" w:color="000000" w:sz="4" w:space="0"/>
            </w:tcBorders>
            <w:noWrap w:val="0"/>
            <w:vAlign w:val="center"/>
          </w:tcPr>
          <w:p>
            <w:pPr>
              <w:pStyle w:val="22"/>
              <w:jc w:val="center"/>
              <w:rPr>
                <w:rFonts w:hAnsi="宋体"/>
                <w:szCs w:val="21"/>
              </w:rPr>
            </w:pPr>
            <w:r>
              <w:rPr>
                <w:rFonts w:hAnsi="宋体"/>
                <w:szCs w:val="21"/>
              </w:rPr>
              <w:t>姓名</w:t>
            </w:r>
          </w:p>
        </w:tc>
        <w:tc>
          <w:tcPr>
            <w:tcW w:w="1080" w:type="dxa"/>
            <w:vMerge w:val="restart"/>
            <w:tcBorders>
              <w:top w:val="single" w:color="000000" w:sz="4" w:space="0"/>
              <w:left w:val="single" w:color="000000" w:sz="4" w:space="0"/>
              <w:right w:val="single" w:color="000000" w:sz="4" w:space="0"/>
            </w:tcBorders>
            <w:noWrap w:val="0"/>
            <w:vAlign w:val="center"/>
          </w:tcPr>
          <w:p>
            <w:pPr>
              <w:pStyle w:val="22"/>
              <w:jc w:val="center"/>
              <w:rPr>
                <w:rFonts w:hAnsi="宋体"/>
                <w:szCs w:val="21"/>
              </w:rPr>
            </w:pPr>
            <w:r>
              <w:rPr>
                <w:rFonts w:hAnsi="宋体"/>
                <w:szCs w:val="21"/>
              </w:rPr>
              <w:t>工作岗位</w:t>
            </w:r>
          </w:p>
        </w:tc>
        <w:tc>
          <w:tcPr>
            <w:tcW w:w="1539" w:type="dxa"/>
            <w:vMerge w:val="restart"/>
            <w:tcBorders>
              <w:top w:val="single" w:color="000000" w:sz="4" w:space="0"/>
              <w:left w:val="single" w:color="000000" w:sz="4" w:space="0"/>
              <w:right w:val="single" w:color="000000" w:sz="4" w:space="0"/>
            </w:tcBorders>
            <w:noWrap w:val="0"/>
            <w:vAlign w:val="center"/>
          </w:tcPr>
          <w:p>
            <w:pPr>
              <w:pStyle w:val="22"/>
              <w:jc w:val="center"/>
              <w:rPr>
                <w:rFonts w:hAnsi="宋体"/>
                <w:szCs w:val="21"/>
              </w:rPr>
            </w:pPr>
            <w:r>
              <w:rPr>
                <w:rFonts w:hAnsi="宋体"/>
                <w:szCs w:val="21"/>
              </w:rPr>
              <w:t>执业资格</w:t>
            </w:r>
          </w:p>
          <w:p>
            <w:pPr>
              <w:pStyle w:val="22"/>
              <w:jc w:val="center"/>
              <w:rPr>
                <w:rFonts w:hAnsi="宋体"/>
                <w:szCs w:val="21"/>
              </w:rPr>
            </w:pPr>
            <w:r>
              <w:rPr>
                <w:rFonts w:hAnsi="宋体"/>
                <w:szCs w:val="21"/>
              </w:rPr>
              <w:t>及证书号</w:t>
            </w:r>
          </w:p>
        </w:tc>
        <w:tc>
          <w:tcPr>
            <w:tcW w:w="3350"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2"/>
              <w:jc w:val="center"/>
              <w:rPr>
                <w:rFonts w:hAnsi="宋体"/>
                <w:szCs w:val="21"/>
              </w:rPr>
            </w:pPr>
            <w:r>
              <w:rPr>
                <w:rFonts w:hAnsi="宋体"/>
                <w:szCs w:val="21"/>
              </w:rPr>
              <w:t>职业资格</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vMerge w:val="continue"/>
            <w:tcBorders>
              <w:left w:val="single" w:color="000000" w:sz="4" w:space="0"/>
              <w:bottom w:val="single" w:color="000000" w:sz="4" w:space="0"/>
              <w:right w:val="single" w:color="000000" w:sz="4" w:space="0"/>
            </w:tcBorders>
            <w:noWrap w:val="0"/>
            <w:vAlign w:val="center"/>
          </w:tcPr>
          <w:p>
            <w:pPr>
              <w:jc w:val="center"/>
              <w:rPr>
                <w:rFonts w:ascii="宋体" w:hAnsi="宋体"/>
                <w:szCs w:val="21"/>
              </w:rPr>
            </w:pPr>
          </w:p>
        </w:tc>
        <w:tc>
          <w:tcPr>
            <w:tcW w:w="1260" w:type="dxa"/>
            <w:vMerge w:val="continue"/>
            <w:tcBorders>
              <w:left w:val="single" w:color="000000" w:sz="4" w:space="0"/>
              <w:bottom w:val="single" w:color="000000" w:sz="4" w:space="0"/>
              <w:right w:val="single" w:color="000000" w:sz="4" w:space="0"/>
            </w:tcBorders>
            <w:noWrap w:val="0"/>
            <w:vAlign w:val="center"/>
          </w:tcPr>
          <w:p>
            <w:pPr>
              <w:pStyle w:val="22"/>
              <w:jc w:val="center"/>
              <w:rPr>
                <w:rFonts w:hAnsi="宋体"/>
                <w:szCs w:val="21"/>
              </w:rPr>
            </w:pPr>
          </w:p>
        </w:tc>
        <w:tc>
          <w:tcPr>
            <w:tcW w:w="1080" w:type="dxa"/>
            <w:vMerge w:val="continue"/>
            <w:tcBorders>
              <w:left w:val="single" w:color="000000" w:sz="4" w:space="0"/>
              <w:bottom w:val="single" w:color="000000" w:sz="4" w:space="0"/>
              <w:right w:val="single" w:color="000000" w:sz="4" w:space="0"/>
            </w:tcBorders>
            <w:noWrap w:val="0"/>
            <w:vAlign w:val="center"/>
          </w:tcPr>
          <w:p>
            <w:pPr>
              <w:pStyle w:val="22"/>
              <w:jc w:val="center"/>
              <w:rPr>
                <w:rFonts w:hAnsi="宋体"/>
                <w:szCs w:val="21"/>
              </w:rPr>
            </w:pPr>
          </w:p>
        </w:tc>
        <w:tc>
          <w:tcPr>
            <w:tcW w:w="1539" w:type="dxa"/>
            <w:vMerge w:val="continue"/>
            <w:tcBorders>
              <w:left w:val="single" w:color="000000" w:sz="4" w:space="0"/>
              <w:bottom w:val="single" w:color="000000" w:sz="4" w:space="0"/>
              <w:right w:val="single" w:color="000000" w:sz="4" w:space="0"/>
            </w:tcBorders>
            <w:noWrap w:val="0"/>
            <w:vAlign w:val="center"/>
          </w:tcPr>
          <w:p>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center"/>
          </w:tcPr>
          <w:p>
            <w:pPr>
              <w:pStyle w:val="22"/>
              <w:jc w:val="center"/>
              <w:rPr>
                <w:rFonts w:hAnsi="宋体"/>
                <w:szCs w:val="21"/>
              </w:rPr>
            </w:pPr>
            <w:r>
              <w:rPr>
                <w:rFonts w:hAnsi="宋体"/>
                <w:szCs w:val="21"/>
              </w:rPr>
              <w:t>职称</w:t>
            </w:r>
          </w:p>
        </w:tc>
        <w:tc>
          <w:tcPr>
            <w:tcW w:w="978" w:type="dxa"/>
            <w:tcBorders>
              <w:top w:val="single" w:color="000000" w:sz="4" w:space="0"/>
              <w:left w:val="single" w:color="000000" w:sz="4" w:space="0"/>
              <w:bottom w:val="single" w:color="000000" w:sz="4" w:space="0"/>
              <w:right w:val="single" w:color="000000" w:sz="4" w:space="0"/>
            </w:tcBorders>
            <w:noWrap w:val="0"/>
            <w:vAlign w:val="center"/>
          </w:tcPr>
          <w:p>
            <w:pPr>
              <w:pStyle w:val="22"/>
              <w:jc w:val="center"/>
              <w:rPr>
                <w:rFonts w:hAnsi="宋体"/>
                <w:szCs w:val="21"/>
              </w:rPr>
            </w:pPr>
            <w:r>
              <w:rPr>
                <w:rFonts w:hAnsi="宋体"/>
                <w:szCs w:val="21"/>
              </w:rPr>
              <w:t>专业</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pStyle w:val="22"/>
              <w:jc w:val="center"/>
              <w:rPr>
                <w:rFonts w:hAnsi="宋体"/>
                <w:szCs w:val="21"/>
              </w:rPr>
            </w:pPr>
            <w:r>
              <w:rPr>
                <w:rFonts w:hAnsi="宋体"/>
                <w:szCs w:val="21"/>
              </w:rPr>
              <w:t>证书号</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pPr>
              <w:pStyle w:val="22"/>
              <w:jc w:val="center"/>
              <w:rPr>
                <w:rFonts w:hAnsi="宋体"/>
                <w:szCs w:val="21"/>
              </w:rPr>
            </w:pPr>
          </w:p>
        </w:tc>
      </w:tr>
    </w:tbl>
    <w:p>
      <w:pPr>
        <w:spacing w:line="440" w:lineRule="exact"/>
        <w:ind w:firstLine="420" w:firstLineChars="200"/>
        <w:rPr>
          <w:rFonts w:ascii="宋体" w:hAnsi="宋体" w:cs="宋体"/>
          <w:szCs w:val="21"/>
          <w:lang w:val="zh-CN"/>
        </w:rPr>
      </w:pPr>
      <w:r>
        <w:rPr>
          <w:rFonts w:hint="eastAsia" w:ascii="宋体" w:hAnsi="宋体" w:cs="宋体"/>
          <w:szCs w:val="21"/>
          <w:lang w:val="zh-CN"/>
        </w:rPr>
        <w:t>注：1、执业资格为注册监理工程师。职称为高、中、初级工程师。</w:t>
      </w:r>
    </w:p>
    <w:p>
      <w:pPr>
        <w:spacing w:line="440" w:lineRule="exact"/>
        <w:ind w:firstLine="420" w:firstLineChars="200"/>
        <w:rPr>
          <w:rFonts w:ascii="宋体" w:hAnsi="宋体" w:cs="宋体"/>
          <w:szCs w:val="21"/>
          <w:lang w:val="zh-CN"/>
        </w:rPr>
      </w:pPr>
      <w:r>
        <w:rPr>
          <w:rFonts w:hint="eastAsia" w:ascii="宋体" w:hAnsi="宋体" w:cs="宋体"/>
          <w:szCs w:val="21"/>
          <w:lang w:val="zh-CN"/>
        </w:rPr>
        <w:t>2、同时要求提交项目总监理工程师、项目副总监理工程师、监理工程师、专业工种人员、法人代表等相关资料。</w:t>
      </w:r>
    </w:p>
    <w:p>
      <w:pPr>
        <w:spacing w:line="440" w:lineRule="exact"/>
        <w:ind w:firstLine="420" w:firstLineChars="200"/>
        <w:rPr>
          <w:rFonts w:ascii="宋体" w:hAnsi="宋体" w:cs="宋体"/>
          <w:szCs w:val="21"/>
          <w:lang w:val="zh-CN"/>
        </w:rPr>
      </w:pPr>
      <w:r>
        <w:rPr>
          <w:rFonts w:hint="eastAsia" w:ascii="宋体" w:hAnsi="宋体" w:cs="宋体"/>
          <w:szCs w:val="21"/>
          <w:lang w:val="zh-CN"/>
        </w:rPr>
        <w:t>3、必须填入投标文件中所登记的相关人员，项目实施过程以上人员不能到位，须按要求办理人员变更手续。</w:t>
      </w:r>
    </w:p>
    <w:p/>
    <w:p>
      <w:r>
        <w:br w:type="page"/>
      </w:r>
    </w:p>
    <w:p>
      <w:pPr>
        <w:pStyle w:val="5"/>
        <w:ind w:firstLine="137"/>
        <w:rPr>
          <w:rFonts w:ascii="Times New Roman"/>
        </w:rPr>
      </w:pPr>
      <w:bookmarkStart w:id="380" w:name="_Toc2061"/>
      <w:r>
        <w:rPr>
          <w:rFonts w:ascii="Times New Roman"/>
        </w:rPr>
        <w:t>附件</w:t>
      </w:r>
      <w:r>
        <w:rPr>
          <w:rFonts w:hint="eastAsia" w:ascii="Times New Roman"/>
          <w:lang w:val="en-US" w:eastAsia="zh-CN"/>
        </w:rPr>
        <w:t>四</w:t>
      </w:r>
      <w:r>
        <w:rPr>
          <w:rFonts w:ascii="Times New Roman"/>
        </w:rPr>
        <w:t>：</w:t>
      </w:r>
      <w:r>
        <w:rPr>
          <w:rFonts w:hint="eastAsia" w:ascii="宋体" w:hAnsi="宋体"/>
          <w:szCs w:val="21"/>
        </w:rPr>
        <w:t>合同价格组成明细表</w:t>
      </w:r>
      <w:bookmarkEnd w:id="380"/>
    </w:p>
    <w:p/>
    <w:p>
      <w:r>
        <w:br w:type="page"/>
      </w:r>
    </w:p>
    <w:p>
      <w:pPr>
        <w:pStyle w:val="5"/>
        <w:ind w:firstLine="137"/>
        <w:rPr>
          <w:rFonts w:ascii="Times New Roman"/>
        </w:rPr>
      </w:pPr>
      <w:bookmarkStart w:id="381" w:name="_Toc7183"/>
      <w:r>
        <w:rPr>
          <w:rFonts w:hint="eastAsia" w:ascii="Times New Roman"/>
        </w:rPr>
        <w:t>附件</w:t>
      </w:r>
      <w:r>
        <w:rPr>
          <w:rFonts w:hint="eastAsia" w:ascii="Times New Roman"/>
          <w:lang w:val="en-US" w:eastAsia="zh-CN"/>
        </w:rPr>
        <w:t>五</w:t>
      </w:r>
      <w:r>
        <w:rPr>
          <w:rFonts w:hint="eastAsia" w:ascii="Times New Roman"/>
        </w:rPr>
        <w:t>：廉洁协议书</w:t>
      </w:r>
      <w:bookmarkEnd w:id="381"/>
    </w:p>
    <w:p>
      <w:pPr>
        <w:spacing w:line="440" w:lineRule="exact"/>
        <w:jc w:val="center"/>
        <w:rPr>
          <w:rFonts w:eastAsia="黑体"/>
          <w:sz w:val="28"/>
        </w:rPr>
      </w:pPr>
      <w:r>
        <w:rPr>
          <w:rFonts w:hint="eastAsia" w:eastAsia="黑体"/>
          <w:sz w:val="28"/>
        </w:rPr>
        <w:t>廉洁协议书</w:t>
      </w:r>
    </w:p>
    <w:p>
      <w:pPr>
        <w:spacing w:line="440" w:lineRule="exact"/>
        <w:jc w:val="center"/>
        <w:rPr>
          <w:rFonts w:eastAsia="黑体"/>
          <w:sz w:val="28"/>
        </w:rPr>
      </w:pPr>
    </w:p>
    <w:p>
      <w:pPr>
        <w:autoSpaceDE w:val="0"/>
        <w:autoSpaceDN w:val="0"/>
        <w:spacing w:line="360" w:lineRule="auto"/>
        <w:rPr>
          <w:rFonts w:ascii="宋体" w:hAnsi="宋体" w:cs="仿宋_GB2312"/>
          <w:szCs w:val="21"/>
          <w:u w:val="single"/>
        </w:rPr>
      </w:pPr>
      <w:r>
        <w:rPr>
          <w:rFonts w:hint="eastAsia" w:ascii="宋体" w:hAnsi="宋体" w:cs="仿宋_GB2312"/>
          <w:szCs w:val="21"/>
        </w:rPr>
        <w:t>对应合同编号：</w:t>
      </w:r>
      <w:r>
        <w:rPr>
          <w:rFonts w:hint="eastAsia" w:ascii="宋体" w:hAnsi="宋体" w:cs="仿宋_GB2312"/>
          <w:szCs w:val="21"/>
          <w:u w:val="single"/>
        </w:rPr>
        <w:t xml:space="preserve">                    </w:t>
      </w:r>
    </w:p>
    <w:p>
      <w:pPr>
        <w:spacing w:line="360" w:lineRule="auto"/>
        <w:rPr>
          <w:rFonts w:ascii="宋体" w:hAnsi="宋体"/>
          <w:szCs w:val="21"/>
          <w:u w:val="single"/>
        </w:rPr>
      </w:pPr>
      <w:r>
        <w:rPr>
          <w:rFonts w:hint="eastAsia" w:ascii="宋体" w:hAnsi="宋体"/>
          <w:szCs w:val="21"/>
        </w:rPr>
        <w:t>工程名称：</w:t>
      </w:r>
      <w:r>
        <w:rPr>
          <w:rFonts w:ascii="宋体" w:hAnsi="宋体"/>
          <w:szCs w:val="21"/>
          <w:u w:val="single"/>
        </w:rPr>
        <w:t xml:space="preserve">                 </w:t>
      </w:r>
    </w:p>
    <w:p>
      <w:pPr>
        <w:spacing w:line="360" w:lineRule="auto"/>
        <w:rPr>
          <w:rFonts w:ascii="宋体" w:hAnsi="宋体"/>
          <w:szCs w:val="21"/>
        </w:rPr>
      </w:pPr>
      <w:r>
        <w:rPr>
          <w:rFonts w:hint="eastAsia" w:ascii="宋体" w:hAnsi="宋体"/>
          <w:szCs w:val="21"/>
        </w:rPr>
        <w:t>工程地址：</w:t>
      </w:r>
      <w:r>
        <w:rPr>
          <w:rFonts w:ascii="宋体" w:hAnsi="宋体"/>
          <w:szCs w:val="21"/>
          <w:u w:val="single"/>
        </w:rPr>
        <w:t xml:space="preserve">                 </w:t>
      </w:r>
    </w:p>
    <w:p>
      <w:pPr>
        <w:spacing w:line="360" w:lineRule="auto"/>
        <w:rPr>
          <w:rFonts w:ascii="宋体" w:hAnsi="宋体"/>
          <w:szCs w:val="21"/>
        </w:rPr>
      </w:pPr>
      <w:r>
        <w:rPr>
          <w:rFonts w:hint="eastAsia" w:ascii="宋体" w:hAnsi="宋体" w:cs="宋体"/>
          <w:szCs w:val="21"/>
        </w:rPr>
        <w:t>建设单位</w:t>
      </w:r>
      <w:r>
        <w:rPr>
          <w:rFonts w:hint="eastAsia" w:ascii="宋体" w:hAnsi="宋体"/>
          <w:szCs w:val="21"/>
        </w:rPr>
        <w:t>（以下称甲方）：</w:t>
      </w:r>
      <w:r>
        <w:rPr>
          <w:rFonts w:ascii="宋体" w:hAnsi="宋体"/>
          <w:szCs w:val="21"/>
          <w:u w:val="single"/>
        </w:rPr>
        <w:t xml:space="preserve">                       </w:t>
      </w:r>
    </w:p>
    <w:p>
      <w:pPr>
        <w:spacing w:line="360" w:lineRule="auto"/>
        <w:rPr>
          <w:rFonts w:ascii="宋体" w:hAnsi="宋体" w:cs="仿宋_GB2312"/>
          <w:szCs w:val="21"/>
          <w:u w:val="single"/>
        </w:rPr>
      </w:pPr>
      <w:r>
        <w:rPr>
          <w:rFonts w:hint="eastAsia" w:ascii="宋体" w:hAnsi="宋体"/>
          <w:szCs w:val="21"/>
        </w:rPr>
        <w:t>监理人（以下称乙方）：</w:t>
      </w:r>
      <w:r>
        <w:rPr>
          <w:rFonts w:ascii="宋体" w:hAnsi="宋体"/>
          <w:szCs w:val="21"/>
          <w:u w:val="single"/>
        </w:rPr>
        <w:t xml:space="preserve">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第一条 甲、乙双方的共同责任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（一）严格遵守国家关于市场准入、招标投标、工程建设、物资采购等市场经济活动的法律法规、政策以及廉洁建设规定。</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（二）严格履行合同约定，自觉承担合同义务。</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（三）业务活动必须坚持公平、公正、公开和诚实守信的原则（除法律法规另有规定者外），不得为获取不正当利益，损害国家、集体和对方利益，不违反招标投标、工程建设管理、物资采购等方面的规章制度。</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（四）建立健全自我制约制度，开展廉洁教育，公布举报方式，监督并认真查处违法违纪行为。</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（五）发现对方在业务活动中有违规、违纪、违法行为的，应及时提醒对方，情节严重的，应向有关纪检监察部门举报。</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第二条 甲方的责任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甲方相关工作人员，在业务活动的事前、事中、事后，应遵守以下规定：</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（一）贯彻落实中国南方电网有限责任公司有关党风廉政建设责任制及廉洁从业的规定，建立企业诚信档案；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（二）按照公平、公正、公开和诚实守信的原则开展各项业务活动，为乙方提供公平的竞争环境与平台；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（三）不准向乙方泄漏涉及有关业务活动的秘密；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 xml:space="preserve">（四）不准向乙方和相关单位索要或接受回扣、红包、礼金、购物卡、有价证券、贵重物品和好处费、感谢费等；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（五）不准在乙方和相关单位报销任何应由甲方或个人支付的费用；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（六）不准要求、暗示或接受乙方和相关单位为个人装修住房、婚丧嫁娶、配偶子女的工作安排以及境内外旅游等提供方便；</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（七）不准向乙方介绍配偶、子女、亲属参与与甲方有关的经济活动，不得以任何理由向乙方和相关单位推荐第三方单位；</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（八）不准参与影响相关工作正常和公正开展的其他活动；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（九）不准违反《中共中央纪委关于严格禁止利用职务上的便利谋取不正当利益的若干规定》的内容。</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第三条 乙方的责任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在与甲方业务交往过程中，按照有关法律法规和程序开展工作，严格执行国家的有关方针、政策，并遵守以下规定：</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（一）不准以任何理由为甲方和相关单位报销应由对方或个人支付的费用；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（二）不准以任何理由向甲方负责人及其工作人员赠送回扣、红包、礼金、购物卡、有价证券、贵重物品和好处费、感谢费等；</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（三）不准以任何理由为甲方、与甲方相关的单位或个人提供高消费宴请及娱乐活动；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（四）不准以任何理由为甲方、与甲方相关的单位或个人购置或提供通讯工具、交通工具和高档办公用品；</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（五）不准接受或暗示为甲方、与甲方相关的单位或个人装修住房、婚丧嫁取、配偶子女的工作安排以及境内外旅游等提供方便；</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（六）不准以谋取非正当利益为目的，擅自与甲方工作人员就业务问题进行私下商谈或者达成利益默契；</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（七）发现甲方工作人员有违反本廉洁协议书规定的，应向甲方单位举报。</w:t>
      </w:r>
      <w:r>
        <w:rPr>
          <w:rFonts w:hint="eastAsia" w:ascii="宋体" w:hAnsi="宋体" w:cs="TimesNewRomanPSMT"/>
          <w:szCs w:val="21"/>
          <w:lang w:val="en-US" w:eastAsia="zh-CN"/>
        </w:rPr>
        <w:t>中国</w:t>
      </w:r>
      <w:r>
        <w:rPr>
          <w:rFonts w:hint="eastAsia" w:ascii="宋体" w:hAnsi="宋体" w:cs="TimesNewRomanPSMT"/>
          <w:szCs w:val="21"/>
          <w:u w:val="single"/>
        </w:rPr>
        <w:t>南方电网</w:t>
      </w:r>
      <w:r>
        <w:rPr>
          <w:rFonts w:hint="eastAsia" w:ascii="宋体" w:hAnsi="宋体" w:cs="TimesNewRomanPSMT"/>
          <w:szCs w:val="21"/>
          <w:u w:val="single"/>
          <w:lang w:val="en-US" w:eastAsia="zh-CN"/>
        </w:rPr>
        <w:t>有限责任</w:t>
      </w:r>
      <w:r>
        <w:rPr>
          <w:rFonts w:hint="eastAsia" w:ascii="宋体" w:hAnsi="宋体" w:cs="TimesNewRomanPSMT"/>
          <w:szCs w:val="21"/>
          <w:u w:val="single"/>
        </w:rPr>
        <w:t>公司（或XX电网公司、XX供电局）</w:t>
      </w:r>
      <w:r>
        <w:rPr>
          <w:rFonts w:hint="eastAsia" w:ascii="宋体" w:hAnsi="宋体" w:cs="TimesNewRomanPSMT"/>
          <w:szCs w:val="21"/>
          <w:u w:val="single"/>
          <w:lang w:val="en-US" w:eastAsia="zh-CN"/>
        </w:rPr>
        <w:t>受理部门：</w:t>
      </w:r>
      <w:r>
        <w:rPr>
          <w:rFonts w:hint="eastAsia" w:ascii="宋体" w:hAnsi="宋体" w:cs="TimesNewRomanPSMT"/>
          <w:szCs w:val="21"/>
          <w:u w:val="single"/>
        </w:rPr>
        <w:t>纪检监察部门。通讯地址：     ，邮政编码：     ；举报网站(邮箱)：     。</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第四条 相关责任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（二）乙方违反本廉洁协议书第一、三条规定的，根据国家和南方电网公司招投标等有关规定，对乙方进行处理；涉嫌犯罪的，移送司法机关依法追究刑事责任；给甲方单位造成经济损失的，应依法予以赔偿。</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第五条 协议书生效及法律效力</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（一）本廉洁协议书作为合同的附件，与合同具有同等法律效力，</w:t>
      </w:r>
      <w:r>
        <w:rPr>
          <w:rFonts w:hint="eastAsia" w:ascii="宋体" w:hAnsi="宋体" w:cs="TimesNewRomanPSMT"/>
          <w:szCs w:val="21"/>
          <w:lang w:val="en-US" w:eastAsia="zh-CN"/>
        </w:rPr>
        <w:t>与合同同时生效</w:t>
      </w:r>
      <w:r>
        <w:rPr>
          <w:rFonts w:hint="eastAsia" w:ascii="宋体" w:hAnsi="宋体" w:cs="TimesNewRomanPSMT"/>
          <w:szCs w:val="21"/>
        </w:rPr>
        <w:t>。</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（二）除非甲乙双方另行签订新的廉洁协议书，否则本廉洁协议书在甲方与乙方存在业务关系期间均对双方产生约束力。</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第六条 协议书份数</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本廉洁协议书一式</w:t>
      </w:r>
      <w:r>
        <w:rPr>
          <w:rFonts w:hint="eastAsia" w:ascii="宋体" w:hAnsi="宋体" w:cs="TimesNewRomanPSMT"/>
          <w:szCs w:val="21"/>
          <w:u w:val="single"/>
        </w:rPr>
        <w:t xml:space="preserve">    </w:t>
      </w:r>
      <w:r>
        <w:rPr>
          <w:rFonts w:hint="eastAsia" w:ascii="宋体" w:hAnsi="宋体" w:cs="TimesNewRomanPSMT"/>
          <w:szCs w:val="21"/>
        </w:rPr>
        <w:t>份，甲方</w:t>
      </w:r>
      <w:r>
        <w:rPr>
          <w:rFonts w:hint="eastAsia" w:ascii="宋体" w:hAnsi="宋体" w:cs="TimesNewRomanPSMT"/>
          <w:szCs w:val="21"/>
          <w:u w:val="single"/>
        </w:rPr>
        <w:t xml:space="preserve">    </w:t>
      </w:r>
      <w:r>
        <w:rPr>
          <w:rFonts w:hint="eastAsia" w:ascii="宋体" w:hAnsi="宋体" w:cs="TimesNewRomanPSMT"/>
          <w:szCs w:val="21"/>
        </w:rPr>
        <w:t>份，乙方</w:t>
      </w:r>
      <w:r>
        <w:rPr>
          <w:rFonts w:hint="eastAsia" w:ascii="宋体" w:hAnsi="宋体" w:cs="TimesNewRomanPSMT"/>
          <w:szCs w:val="21"/>
          <w:u w:val="single"/>
        </w:rPr>
        <w:t xml:space="preserve">    </w:t>
      </w:r>
      <w:r>
        <w:rPr>
          <w:rFonts w:hint="eastAsia" w:ascii="宋体" w:hAnsi="宋体" w:cs="TimesNewRomanPSMT"/>
          <w:szCs w:val="21"/>
        </w:rPr>
        <w:t>份。</w:t>
      </w:r>
    </w:p>
    <w:p>
      <w:pPr>
        <w:autoSpaceDE w:val="0"/>
        <w:autoSpaceDN w:val="0"/>
        <w:spacing w:line="360" w:lineRule="auto"/>
        <w:ind w:firstLine="422" w:firstLineChars="200"/>
        <w:rPr>
          <w:rFonts w:hint="default" w:ascii="宋体" w:hAnsi="宋体" w:eastAsia="宋体" w:cs="TimesNewRomanPSMT"/>
          <w:szCs w:val="21"/>
          <w:lang w:val="en-US" w:eastAsia="zh-CN"/>
        </w:rPr>
      </w:pPr>
      <w:r>
        <w:rPr>
          <w:rFonts w:hint="eastAsia" w:ascii="宋体" w:hAnsi="宋体" w:cs="TimesNewRomanPSMT"/>
          <w:b/>
          <w:bCs/>
          <w:szCs w:val="21"/>
        </w:rPr>
        <w:t>甲乙双方确认对</w:t>
      </w:r>
      <w:r>
        <w:rPr>
          <w:rFonts w:hint="eastAsia" w:ascii="宋体" w:hAnsi="宋体" w:cs="TimesNewRomanPSMT"/>
          <w:b/>
          <w:bCs/>
          <w:szCs w:val="21"/>
          <w:lang w:val="en-US" w:eastAsia="zh-CN"/>
        </w:rPr>
        <w:t>违反</w:t>
      </w:r>
      <w:r>
        <w:rPr>
          <w:rFonts w:hint="eastAsia" w:ascii="宋体" w:hAnsi="宋体" w:cs="TimesNewRomanPSMT"/>
          <w:b/>
          <w:bCs/>
          <w:szCs w:val="21"/>
        </w:rPr>
        <w:t>本廉洁协议书所产生的法律责任已清楚知悉并承诺遵守。</w:t>
      </w:r>
      <w:r>
        <w:rPr>
          <w:rFonts w:hint="eastAsia" w:ascii="宋体" w:hAnsi="宋体" w:cs="TimesNewRomanPSMT"/>
          <w:b/>
          <w:bCs/>
          <w:szCs w:val="21"/>
          <w:lang w:val="en-US" w:eastAsia="zh-CN"/>
        </w:rPr>
        <w:t>本协议与本监理合同为同一整体合同文件。</w:t>
      </w:r>
    </w:p>
    <w:p>
      <w:pPr>
        <w:spacing w:line="440" w:lineRule="exact"/>
        <w:ind w:firstLine="420" w:firstLineChars="200"/>
        <w:rPr>
          <w:rFonts w:hAnsi="宋体"/>
          <w:szCs w:val="21"/>
        </w:rPr>
      </w:pPr>
    </w:p>
    <w:p>
      <w:pPr>
        <w:spacing w:line="440" w:lineRule="exact"/>
        <w:ind w:firstLine="420" w:firstLineChars="200"/>
        <w:rPr>
          <w:rFonts w:hAnsi="宋体"/>
          <w:szCs w:val="21"/>
        </w:rPr>
      </w:pPr>
    </w:p>
    <w:p>
      <w:pPr>
        <w:pStyle w:val="5"/>
        <w:ind w:firstLine="137"/>
        <w:rPr>
          <w:rFonts w:ascii="Times New Roman"/>
        </w:rPr>
      </w:pPr>
      <w:bookmarkStart w:id="382" w:name="_Toc29578"/>
      <w:r>
        <w:rPr>
          <w:rFonts w:ascii="Times New Roman"/>
        </w:rPr>
        <w:t>附件</w:t>
      </w:r>
      <w:r>
        <w:rPr>
          <w:rFonts w:hint="eastAsia" w:ascii="Times New Roman"/>
          <w:lang w:val="en-US" w:eastAsia="zh-CN"/>
        </w:rPr>
        <w:t>六</w:t>
      </w:r>
      <w:r>
        <w:rPr>
          <w:rFonts w:ascii="Times New Roman"/>
        </w:rPr>
        <w:t>：</w:t>
      </w:r>
      <w:r>
        <w:rPr>
          <w:rFonts w:hint="eastAsia" w:ascii="Times New Roman"/>
        </w:rPr>
        <w:t>监理安全协议书</w:t>
      </w:r>
      <w:bookmarkEnd w:id="382"/>
    </w:p>
    <w:p>
      <w:pPr>
        <w:spacing w:line="440" w:lineRule="exact"/>
        <w:jc w:val="center"/>
        <w:rPr>
          <w:rFonts w:eastAsia="黑体"/>
          <w:sz w:val="28"/>
        </w:rPr>
      </w:pPr>
      <w:r>
        <w:rPr>
          <w:rFonts w:hint="eastAsia" w:eastAsia="黑体"/>
          <w:sz w:val="28"/>
        </w:rPr>
        <w:t>监理安全协议书</w:t>
      </w:r>
    </w:p>
    <w:p>
      <w:pPr>
        <w:spacing w:line="440" w:lineRule="exact"/>
        <w:jc w:val="center"/>
        <w:rPr>
          <w:rFonts w:eastAsia="黑体"/>
          <w:sz w:val="28"/>
        </w:rPr>
      </w:pPr>
    </w:p>
    <w:p>
      <w:pPr>
        <w:spacing w:line="440" w:lineRule="exact"/>
        <w:ind w:firstLine="420" w:firstLineChars="200"/>
        <w:rPr>
          <w:rFonts w:ascii="宋体" w:hAnsi="宋体" w:cs="宋体"/>
          <w:szCs w:val="21"/>
          <w:lang w:val="zh-CN"/>
        </w:rPr>
      </w:pPr>
      <w:r>
        <w:rPr>
          <w:rFonts w:hint="eastAsia" w:ascii="宋体" w:hAnsi="宋体" w:cs="宋体"/>
          <w:szCs w:val="21"/>
          <w:lang w:val="zh-CN"/>
        </w:rPr>
        <w:t>委托人：</w:t>
      </w:r>
      <w:r>
        <w:rPr>
          <w:rFonts w:hint="eastAsia" w:ascii="宋体" w:hAnsi="宋体" w:cs="宋体"/>
          <w:szCs w:val="21"/>
          <w:u w:val="single"/>
          <w:lang w:val="zh-CN"/>
        </w:rPr>
        <w:t xml:space="preserve">                                </w:t>
      </w:r>
      <w:r>
        <w:rPr>
          <w:rFonts w:hint="eastAsia" w:ascii="宋体" w:hAnsi="宋体" w:cs="宋体"/>
          <w:szCs w:val="21"/>
          <w:lang w:val="zh-CN"/>
        </w:rPr>
        <w:t>（以下简称“甲方”）</w:t>
      </w:r>
    </w:p>
    <w:p>
      <w:pPr>
        <w:spacing w:line="440" w:lineRule="exact"/>
        <w:ind w:firstLine="420" w:firstLineChars="200"/>
        <w:rPr>
          <w:rFonts w:ascii="宋体" w:hAnsi="宋体" w:cs="宋体"/>
          <w:szCs w:val="21"/>
          <w:lang w:val="zh-CN"/>
        </w:rPr>
      </w:pPr>
      <w:r>
        <w:rPr>
          <w:rFonts w:hint="eastAsia" w:ascii="宋体" w:hAnsi="宋体" w:cs="宋体"/>
          <w:szCs w:val="21"/>
          <w:lang w:val="zh-CN"/>
        </w:rPr>
        <w:t>监理人：</w:t>
      </w:r>
      <w:r>
        <w:rPr>
          <w:rFonts w:hint="eastAsia" w:ascii="宋体" w:hAnsi="宋体" w:cs="宋体"/>
          <w:szCs w:val="21"/>
          <w:u w:val="single"/>
          <w:lang w:val="zh-CN"/>
        </w:rPr>
        <w:t xml:space="preserve">                                </w:t>
      </w:r>
      <w:r>
        <w:rPr>
          <w:rFonts w:hint="eastAsia" w:ascii="宋体" w:hAnsi="宋体" w:cs="宋体"/>
          <w:szCs w:val="21"/>
          <w:lang w:val="zh-CN"/>
        </w:rPr>
        <w:t>（以下简称“乙方”）</w:t>
      </w:r>
    </w:p>
    <w:p>
      <w:pPr>
        <w:spacing w:line="440" w:lineRule="exact"/>
        <w:ind w:firstLine="420" w:firstLineChars="200"/>
        <w:rPr>
          <w:rFonts w:ascii="宋体" w:hAnsi="宋体" w:cs="宋体"/>
          <w:szCs w:val="21"/>
          <w:u w:val="single"/>
          <w:lang w:val="zh-CN"/>
        </w:rPr>
      </w:pPr>
      <w:r>
        <w:rPr>
          <w:rFonts w:hint="eastAsia" w:ascii="宋体" w:hAnsi="宋体" w:cs="宋体"/>
          <w:szCs w:val="21"/>
          <w:lang w:val="zh-CN"/>
        </w:rPr>
        <w:t>合同名称：</w:t>
      </w:r>
      <w:r>
        <w:rPr>
          <w:rFonts w:hint="eastAsia" w:ascii="宋体" w:hAnsi="宋体" w:cs="宋体"/>
          <w:szCs w:val="21"/>
          <w:u w:val="single"/>
          <w:lang w:val="zh-CN"/>
        </w:rPr>
        <w:t xml:space="preserve">                                </w:t>
      </w:r>
    </w:p>
    <w:p>
      <w:pPr>
        <w:spacing w:line="440" w:lineRule="exact"/>
        <w:ind w:firstLine="420" w:firstLineChars="200"/>
        <w:rPr>
          <w:rFonts w:ascii="宋体" w:hAnsi="宋体" w:cs="宋体"/>
          <w:szCs w:val="21"/>
          <w:u w:val="single"/>
          <w:lang w:val="zh-CN"/>
        </w:rPr>
      </w:pPr>
      <w:r>
        <w:rPr>
          <w:rFonts w:hint="eastAsia" w:ascii="宋体" w:hAnsi="宋体" w:cs="宋体"/>
          <w:szCs w:val="21"/>
          <w:lang w:val="zh-CN"/>
        </w:rPr>
        <w:t>工程地点：</w:t>
      </w:r>
      <w:r>
        <w:rPr>
          <w:rFonts w:hint="eastAsia" w:ascii="宋体" w:hAnsi="宋体" w:cs="宋体"/>
          <w:szCs w:val="21"/>
          <w:u w:val="single"/>
          <w:lang w:val="zh-CN"/>
        </w:rPr>
        <w:t xml:space="preserve">                                </w:t>
      </w:r>
    </w:p>
    <w:p>
      <w:pPr>
        <w:spacing w:line="440" w:lineRule="exact"/>
        <w:ind w:firstLine="420" w:firstLineChars="200"/>
        <w:rPr>
          <w:rFonts w:ascii="宋体" w:hAnsi="宋体" w:cs="宋体"/>
          <w:szCs w:val="21"/>
          <w:lang w:val="zh-CN"/>
        </w:rPr>
      </w:pPr>
      <w:r>
        <w:rPr>
          <w:rFonts w:hint="eastAsia" w:ascii="宋体" w:hAnsi="宋体" w:cs="宋体"/>
          <w:szCs w:val="21"/>
          <w:lang w:val="zh-CN"/>
        </w:rPr>
        <w:t>竣工日期：</w:t>
      </w:r>
      <w:r>
        <w:rPr>
          <w:rFonts w:hint="eastAsia" w:ascii="宋体" w:hAnsi="宋体" w:cs="宋体"/>
          <w:szCs w:val="21"/>
          <w:u w:val="single"/>
          <w:lang w:val="zh-CN"/>
        </w:rPr>
        <w:t xml:space="preserve">                                </w:t>
      </w:r>
    </w:p>
    <w:p>
      <w:pPr>
        <w:spacing w:line="440" w:lineRule="exact"/>
        <w:ind w:firstLine="420" w:firstLineChars="200"/>
        <w:rPr>
          <w:rFonts w:ascii="宋体" w:hAnsi="宋体" w:cs="宋体"/>
          <w:szCs w:val="21"/>
          <w:lang w:val="zh-CN"/>
        </w:rPr>
      </w:pPr>
      <w:r>
        <w:rPr>
          <w:rFonts w:hint="eastAsia" w:ascii="宋体" w:hAnsi="宋体" w:cs="宋体"/>
          <w:szCs w:val="21"/>
          <w:lang w:val="zh-CN"/>
        </w:rPr>
        <w:t>㈠、甲方的安全责任</w:t>
      </w:r>
    </w:p>
    <w:p>
      <w:pPr>
        <w:spacing w:line="440" w:lineRule="exact"/>
        <w:ind w:firstLine="420" w:firstLineChars="200"/>
        <w:rPr>
          <w:rFonts w:ascii="宋体" w:hAnsi="宋体" w:cs="宋体"/>
          <w:szCs w:val="21"/>
          <w:lang w:val="zh-CN"/>
        </w:rPr>
      </w:pPr>
      <w:r>
        <w:rPr>
          <w:rFonts w:hint="eastAsia" w:ascii="宋体" w:hAnsi="宋体" w:cs="宋体"/>
          <w:szCs w:val="21"/>
          <w:lang w:val="zh-CN"/>
        </w:rPr>
        <w:t>1．贯彻落实《中华人民共和国安全生产法》、《中华人民共和国特种设备安全法》、《建设工程安全生产管理条例》、《电力监管条例》、《生产安全事故报告和调查处理条例》、《电力建设工程施工安全监督管理办法》等国家法律法规、行业标准及南方电网公司管理规定。</w:t>
      </w:r>
    </w:p>
    <w:p>
      <w:pPr>
        <w:spacing w:line="440" w:lineRule="exact"/>
        <w:ind w:firstLine="420" w:firstLineChars="200"/>
        <w:rPr>
          <w:rFonts w:ascii="宋体" w:hAnsi="宋体" w:cs="宋体"/>
          <w:szCs w:val="21"/>
          <w:lang w:val="zh-CN"/>
        </w:rPr>
      </w:pPr>
      <w:r>
        <w:rPr>
          <w:rFonts w:hint="eastAsia" w:ascii="宋体" w:hAnsi="宋体" w:cs="宋体"/>
          <w:szCs w:val="21"/>
          <w:lang w:val="zh-CN"/>
        </w:rPr>
        <w:t>2．建立健全安全生产保证体系和监督体系，建立安全生产责任制和安全生产规章制度，并逐级落实，保证电力建设工程施工安全。</w:t>
      </w:r>
    </w:p>
    <w:p>
      <w:pPr>
        <w:spacing w:line="440" w:lineRule="exact"/>
        <w:ind w:firstLine="420" w:firstLineChars="200"/>
        <w:rPr>
          <w:rFonts w:ascii="宋体" w:hAnsi="宋体" w:cs="宋体"/>
          <w:szCs w:val="21"/>
          <w:lang w:val="zh-CN"/>
        </w:rPr>
      </w:pPr>
      <w:r>
        <w:rPr>
          <w:rFonts w:hint="eastAsia" w:ascii="宋体" w:hAnsi="宋体" w:cs="宋体"/>
          <w:szCs w:val="21"/>
          <w:lang w:val="zh-CN"/>
        </w:rPr>
        <w:t>3．建立健全安全生产组织和管理机制，负责电力建设工程安全生产组织、协调、监督职责。</w:t>
      </w:r>
    </w:p>
    <w:p>
      <w:pPr>
        <w:spacing w:line="440" w:lineRule="exact"/>
        <w:ind w:firstLine="420" w:firstLineChars="200"/>
        <w:rPr>
          <w:rFonts w:ascii="宋体" w:hAnsi="宋体" w:cs="宋体"/>
          <w:szCs w:val="21"/>
          <w:lang w:val="zh-CN"/>
        </w:rPr>
      </w:pPr>
      <w:r>
        <w:rPr>
          <w:rFonts w:hint="eastAsia" w:ascii="宋体" w:hAnsi="宋体" w:cs="宋体"/>
          <w:szCs w:val="21"/>
          <w:lang w:val="zh-CN"/>
        </w:rPr>
        <w:t>4．对乙方进行资质审查，确认乙方符合承包本工程的各项要求。</w:t>
      </w:r>
    </w:p>
    <w:p>
      <w:pPr>
        <w:spacing w:line="440" w:lineRule="exact"/>
        <w:ind w:firstLine="420" w:firstLineChars="200"/>
        <w:rPr>
          <w:rFonts w:ascii="宋体" w:hAnsi="宋体" w:cs="宋体"/>
          <w:szCs w:val="21"/>
          <w:lang w:val="zh-CN"/>
        </w:rPr>
      </w:pPr>
      <w:r>
        <w:rPr>
          <w:rFonts w:hint="eastAsia" w:ascii="宋体" w:hAnsi="宋体" w:cs="宋体"/>
          <w:szCs w:val="21"/>
          <w:lang w:val="zh-CN"/>
        </w:rPr>
        <w:t>5．应当审查确认乙方项目总监工程师、专职安全生产管理人员等项目管理人员满足国家规定的资格要求。</w:t>
      </w:r>
    </w:p>
    <w:p>
      <w:pPr>
        <w:spacing w:line="440" w:lineRule="exact"/>
        <w:ind w:firstLine="420" w:firstLineChars="200"/>
        <w:rPr>
          <w:rFonts w:ascii="宋体" w:hAnsi="宋体" w:cs="宋体"/>
          <w:szCs w:val="21"/>
          <w:lang w:val="zh-CN"/>
        </w:rPr>
      </w:pPr>
      <w:r>
        <w:rPr>
          <w:rFonts w:hint="eastAsia" w:ascii="宋体" w:hAnsi="宋体" w:cs="宋体"/>
          <w:szCs w:val="21"/>
          <w:lang w:val="zh-CN"/>
        </w:rPr>
        <w:t>6．建立健全安全生产应急响应和事故处置机制，实施突发事件应急抢险和事故救援。</w:t>
      </w:r>
    </w:p>
    <w:p>
      <w:pPr>
        <w:spacing w:line="440" w:lineRule="exact"/>
        <w:ind w:firstLine="420" w:firstLineChars="200"/>
        <w:rPr>
          <w:rFonts w:ascii="宋体" w:hAnsi="宋体" w:cs="宋体"/>
          <w:szCs w:val="21"/>
          <w:lang w:val="zh-CN"/>
        </w:rPr>
      </w:pPr>
      <w:r>
        <w:rPr>
          <w:rFonts w:hint="eastAsia" w:ascii="宋体" w:hAnsi="宋体" w:cs="宋体"/>
          <w:szCs w:val="21"/>
          <w:lang w:val="zh-CN"/>
        </w:rPr>
        <w:t>7．组织对乙方现场安全生产监管工作情况的检查，监督乙方加强所辖工程安全隐患的监管。</w:t>
      </w:r>
    </w:p>
    <w:p>
      <w:pPr>
        <w:spacing w:line="440" w:lineRule="exact"/>
        <w:ind w:firstLine="420" w:firstLineChars="200"/>
        <w:rPr>
          <w:rFonts w:ascii="宋体" w:hAnsi="宋体" w:cs="宋体"/>
          <w:szCs w:val="21"/>
          <w:lang w:val="zh-CN"/>
        </w:rPr>
      </w:pPr>
      <w:r>
        <w:rPr>
          <w:rFonts w:hint="eastAsia" w:ascii="宋体" w:hAnsi="宋体" w:cs="宋体"/>
          <w:szCs w:val="21"/>
          <w:lang w:val="zh-CN"/>
        </w:rPr>
        <w:t>8．开工前向乙方进行全面的安全技术交底，并留存有双方签名的、完整的记录或资料。</w:t>
      </w:r>
    </w:p>
    <w:p>
      <w:pPr>
        <w:spacing w:line="440" w:lineRule="exact"/>
        <w:ind w:firstLine="420" w:firstLineChars="200"/>
        <w:rPr>
          <w:rFonts w:ascii="宋体" w:hAnsi="宋体" w:cs="宋体"/>
          <w:szCs w:val="21"/>
          <w:lang w:val="zh-CN"/>
        </w:rPr>
      </w:pPr>
      <w:r>
        <w:rPr>
          <w:rFonts w:hint="eastAsia" w:ascii="宋体" w:hAnsi="宋体" w:cs="宋体"/>
          <w:szCs w:val="21"/>
          <w:lang w:val="zh-CN"/>
        </w:rPr>
        <w:t>㈡、乙方的安全责任</w:t>
      </w:r>
    </w:p>
    <w:p>
      <w:pPr>
        <w:spacing w:line="440" w:lineRule="exact"/>
        <w:ind w:firstLine="420" w:firstLineChars="200"/>
        <w:rPr>
          <w:rFonts w:ascii="宋体" w:hAnsi="宋体" w:cs="宋体"/>
          <w:szCs w:val="21"/>
          <w:lang w:val="zh-CN"/>
        </w:rPr>
      </w:pPr>
      <w:r>
        <w:rPr>
          <w:rFonts w:hint="eastAsia" w:ascii="宋体" w:hAnsi="宋体" w:cs="宋体"/>
          <w:szCs w:val="21"/>
          <w:lang w:val="zh-CN"/>
        </w:rPr>
        <w:t>1．应当按照法律法规、工程建设强制性标准及行业、南方电网公司管理规定实施监理，履行电力建设工程安全生产管理的监理职责。乙方资源配置应当满足工程监理要求，依据合同约定履行电力建设工程施工安全监理职责，确保安全生产监理与工程质量控制、工期控制、投资控制的同步实施。</w:t>
      </w:r>
    </w:p>
    <w:p>
      <w:pPr>
        <w:spacing w:line="440" w:lineRule="exact"/>
        <w:ind w:firstLine="420" w:firstLineChars="200"/>
        <w:rPr>
          <w:rFonts w:ascii="宋体" w:hAnsi="宋体" w:cs="宋体"/>
          <w:szCs w:val="21"/>
          <w:lang w:val="zh-CN"/>
        </w:rPr>
      </w:pPr>
      <w:r>
        <w:rPr>
          <w:rFonts w:hint="eastAsia" w:ascii="宋体" w:hAnsi="宋体" w:cs="宋体"/>
          <w:szCs w:val="21"/>
          <w:lang w:val="zh-CN"/>
        </w:rPr>
        <w:t>2．乙方应当建立健全安全监理工作制度，编制含有安全监理内容的监理规划和监理实施细则等文件，明确监理人员安全职责以及相关工作的安全监理措施和目标。</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3.乙方应当组织或参加各类安全检查活动，掌握现场安全生产动态，建立安全管理台帐。重点审查、监督下列工作： </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（1）按照工程建设强制性标准和安全生产标准及时审查施工组织设计中的安全技术措施和专项施工方案； </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（2）审查和验证分包单位的资质文件和拟签订的分包合同、人员资质、安全协议； </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3）审查安全管理人员、特种作业人员、特种设备操作人员资格证明文件和主要施工机械、工器具、安全用具的安全性能证明文件是否符合国家有关标准；检查现场作业人员及设备配置是否满足安全施工的要求； </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4.对大中型起重机械、脚手架、跨越架、施工用电、危险品库房等重要施工设施投入使用前进行安全检查签证。土建交付安装、安装交付调试及整套启动等重大工序交接前进行安全检查签证； </w:t>
      </w:r>
    </w:p>
    <w:p>
      <w:pPr>
        <w:spacing w:line="440" w:lineRule="exact"/>
        <w:ind w:firstLine="420" w:firstLineChars="200"/>
        <w:rPr>
          <w:rFonts w:ascii="宋体" w:hAnsi="宋体" w:cs="宋体"/>
          <w:szCs w:val="21"/>
          <w:lang w:val="zh-CN"/>
        </w:rPr>
      </w:pPr>
      <w:r>
        <w:rPr>
          <w:rFonts w:hint="eastAsia" w:ascii="宋体" w:hAnsi="宋体" w:cs="宋体"/>
          <w:szCs w:val="21"/>
          <w:lang w:val="zh-CN"/>
        </w:rPr>
        <w:t xml:space="preserve">5.对工程关键部位、关键工序、特殊作业和危险作业进行旁站监理；对复杂自然条件、复杂结构、技术难度大及危险性较大分部分项工程专项施工方案的实施进行现场监理；监督交叉作业和工序交接中的安全施工措施的落实。 </w:t>
      </w:r>
    </w:p>
    <w:p>
      <w:pPr>
        <w:spacing w:line="440" w:lineRule="exact"/>
        <w:ind w:firstLine="420" w:firstLineChars="200"/>
        <w:rPr>
          <w:rFonts w:ascii="宋体" w:hAnsi="宋体" w:cs="宋体"/>
          <w:szCs w:val="21"/>
          <w:lang w:val="zh-CN"/>
        </w:rPr>
      </w:pPr>
      <w:r>
        <w:rPr>
          <w:rFonts w:hint="eastAsia" w:ascii="宋体" w:hAnsi="宋体" w:cs="宋体"/>
          <w:szCs w:val="21"/>
          <w:lang w:val="zh-CN"/>
        </w:rPr>
        <w:t>6.在实施监理过程中，发现存在安全隐患的，应当要求施工单位及时整改；情节严重的，应当要求施工单位暂时或部分停止施工，并及时报告建设单位。施工单位拒不整改或者不停止施工的,应及时采取措施并向建设单位报告。</w:t>
      </w:r>
    </w:p>
    <w:p>
      <w:pPr>
        <w:spacing w:line="440" w:lineRule="exact"/>
        <w:ind w:firstLine="420" w:firstLineChars="200"/>
        <w:rPr>
          <w:rFonts w:ascii="宋体" w:hAnsi="宋体" w:cs="宋体"/>
          <w:szCs w:val="21"/>
          <w:lang w:val="zh-CN"/>
        </w:rPr>
      </w:pPr>
      <w:r>
        <w:rPr>
          <w:rFonts w:hint="eastAsia" w:ascii="宋体" w:hAnsi="宋体" w:cs="宋体"/>
          <w:szCs w:val="21"/>
          <w:lang w:val="zh-CN"/>
        </w:rPr>
        <w:t>7、在任何时候都应监督施工单位采取各种合理的预防措施，防止发生任何违法、违禁、暴力或妨碍治安的行为。</w:t>
      </w:r>
    </w:p>
    <w:p>
      <w:pPr>
        <w:spacing w:line="440" w:lineRule="exact"/>
        <w:ind w:firstLine="420" w:firstLineChars="200"/>
        <w:rPr>
          <w:rFonts w:ascii="宋体" w:hAnsi="宋体" w:cs="宋体"/>
          <w:szCs w:val="21"/>
          <w:lang w:val="zh-CN"/>
        </w:rPr>
      </w:pPr>
      <w:r>
        <w:rPr>
          <w:rFonts w:hint="eastAsia" w:ascii="宋体" w:hAnsi="宋体" w:cs="宋体"/>
          <w:szCs w:val="21"/>
          <w:lang w:val="zh-CN"/>
        </w:rPr>
        <w:t>8、监督施工单位必须持证施工，持证上岗，遵守各项安全技术操作规程，定期进行安全工作督查，严禁无证施工或无证上岗。</w:t>
      </w:r>
    </w:p>
    <w:p>
      <w:pPr>
        <w:spacing w:line="440" w:lineRule="exact"/>
        <w:ind w:firstLine="420" w:firstLineChars="200"/>
        <w:rPr>
          <w:rFonts w:ascii="宋体" w:hAnsi="宋体" w:cs="宋体"/>
          <w:szCs w:val="21"/>
          <w:lang w:val="zh-CN"/>
        </w:rPr>
      </w:pPr>
      <w:r>
        <w:rPr>
          <w:rFonts w:hint="eastAsia" w:ascii="宋体" w:hAnsi="宋体" w:cs="宋体"/>
          <w:szCs w:val="21"/>
          <w:lang w:val="zh-CN"/>
        </w:rPr>
        <w:t>9、督查操作人员上岗，必须按规定穿戴防护用品。不按规定穿戴防护用品的人员不得上岗。</w:t>
      </w:r>
    </w:p>
    <w:p>
      <w:pPr>
        <w:spacing w:line="440" w:lineRule="exact"/>
        <w:ind w:firstLine="420" w:firstLineChars="200"/>
        <w:rPr>
          <w:rFonts w:ascii="宋体" w:hAnsi="宋体" w:cs="宋体"/>
          <w:szCs w:val="21"/>
          <w:lang w:val="zh-CN"/>
        </w:rPr>
      </w:pPr>
      <w:r>
        <w:rPr>
          <w:rFonts w:hint="eastAsia" w:ascii="宋体" w:hAnsi="宋体" w:cs="宋体"/>
          <w:szCs w:val="21"/>
          <w:lang w:val="zh-CN"/>
        </w:rPr>
        <w:t>10、督促施工单位对所有进场的施工机械与机具设备和高空作业设备进行定期检查，并完整记录，签字确认，保证其处于完好状态，不合格的施工机械与机具、设备和个人防护用品严禁使用。</w:t>
      </w:r>
    </w:p>
    <w:p>
      <w:pPr>
        <w:spacing w:line="440" w:lineRule="exact"/>
        <w:ind w:firstLine="420" w:firstLineChars="200"/>
        <w:rPr>
          <w:rFonts w:ascii="宋体" w:hAnsi="宋体" w:cs="宋体"/>
          <w:szCs w:val="21"/>
          <w:lang w:val="zh-CN"/>
        </w:rPr>
      </w:pPr>
      <w:r>
        <w:rPr>
          <w:rFonts w:hint="eastAsia" w:ascii="宋体" w:hAnsi="宋体" w:cs="宋体"/>
          <w:szCs w:val="21"/>
          <w:lang w:val="zh-CN"/>
        </w:rPr>
        <w:t>11、对施工中采用新技术、新工艺、新设备、新材料时，督促施工单位必须制定相应的安全技术措施，并检查施工现场相关的安全标志牌是否设立。</w:t>
      </w:r>
    </w:p>
    <w:p>
      <w:pPr>
        <w:spacing w:line="440" w:lineRule="exact"/>
        <w:ind w:firstLine="420" w:firstLineChars="200"/>
        <w:rPr>
          <w:rFonts w:ascii="宋体" w:hAnsi="宋体" w:cs="宋体"/>
          <w:szCs w:val="21"/>
          <w:lang w:val="zh-CN"/>
        </w:rPr>
      </w:pPr>
      <w:r>
        <w:rPr>
          <w:rFonts w:hint="eastAsia" w:ascii="宋体" w:hAnsi="宋体" w:cs="宋体"/>
          <w:szCs w:val="21"/>
          <w:lang w:val="zh-CN"/>
        </w:rPr>
        <w:t>10、督查施工单位的生产安全事故应急救援预案制定和落实；如果发生安全事故，应按照《国务院关于特大安全事故行政责任追究的规定》以及其它有关规定，及时上报有关部门，并坚持“三不放过”的原则，及时采取整改措施。</w:t>
      </w:r>
    </w:p>
    <w:p>
      <w:pPr>
        <w:spacing w:line="440" w:lineRule="exact"/>
        <w:ind w:firstLine="420" w:firstLineChars="200"/>
        <w:rPr>
          <w:rFonts w:ascii="宋体" w:hAnsi="宋体" w:cs="宋体"/>
          <w:szCs w:val="21"/>
          <w:lang w:val="zh-CN"/>
        </w:rPr>
      </w:pPr>
      <w:r>
        <w:rPr>
          <w:rFonts w:hint="eastAsia" w:ascii="宋体" w:hAnsi="宋体" w:cs="宋体"/>
          <w:szCs w:val="21"/>
          <w:lang w:val="zh-CN"/>
        </w:rPr>
        <w:t>㈢、违约责任</w:t>
      </w:r>
    </w:p>
    <w:p>
      <w:pPr>
        <w:spacing w:line="440" w:lineRule="exact"/>
        <w:ind w:firstLine="420" w:firstLineChars="200"/>
        <w:rPr>
          <w:rFonts w:ascii="宋体" w:hAnsi="宋体" w:cs="宋体"/>
          <w:szCs w:val="21"/>
          <w:lang w:val="zh-CN"/>
        </w:rPr>
      </w:pPr>
      <w:r>
        <w:rPr>
          <w:rFonts w:hint="eastAsia" w:ascii="宋体" w:hAnsi="宋体" w:cs="宋体"/>
          <w:szCs w:val="21"/>
          <w:lang w:val="zh-CN"/>
        </w:rPr>
        <w:t>如因甲方或乙方违约造成安全事故，将依法追究责任。</w:t>
      </w:r>
    </w:p>
    <w:p>
      <w:pPr>
        <w:pageBreakBefore w:val="0"/>
        <w:kinsoku/>
        <w:wordWrap/>
        <w:overflowPunct/>
        <w:topLinePunct w:val="0"/>
        <w:bidi w:val="0"/>
        <w:adjustRightInd/>
        <w:snapToGrid/>
        <w:spacing w:line="440" w:lineRule="exact"/>
        <w:ind w:firstLine="420" w:firstLineChars="200"/>
        <w:rPr>
          <w:rFonts w:hint="eastAsia" w:ascii="宋体" w:hAnsi="宋体" w:eastAsia="宋体" w:cs="宋体"/>
          <w:sz w:val="21"/>
          <w:szCs w:val="21"/>
          <w:highlight w:val="none"/>
          <w:lang w:val="zh-CN"/>
        </w:rPr>
      </w:pPr>
      <w:r>
        <w:rPr>
          <w:rFonts w:hint="eastAsia" w:ascii="宋体" w:hAnsi="宋体" w:cs="宋体"/>
          <w:sz w:val="21"/>
          <w:szCs w:val="21"/>
          <w:highlight w:val="none"/>
          <w:lang w:val="zh-CN" w:eastAsia="zh-CN"/>
        </w:rPr>
        <w:t>本监理安全协议书作为工程监理合同的附件，与工程监理合同具有同等法律效力。与工程监理合同同时生效</w:t>
      </w:r>
      <w:r>
        <w:rPr>
          <w:rFonts w:hint="eastAsia" w:ascii="宋体" w:hAnsi="宋体" w:eastAsia="宋体" w:cs="宋体"/>
          <w:sz w:val="21"/>
          <w:szCs w:val="21"/>
          <w:highlight w:val="none"/>
          <w:lang w:val="zh-CN"/>
        </w:rPr>
        <w:t>。</w:t>
      </w:r>
    </w:p>
    <w:p>
      <w:pPr>
        <w:spacing w:line="440" w:lineRule="exact"/>
        <w:ind w:firstLine="420" w:firstLineChars="200"/>
        <w:rPr>
          <w:rFonts w:ascii="宋体" w:hAnsi="宋体" w:cs="宋体"/>
          <w:szCs w:val="21"/>
          <w:lang w:val="zh-CN"/>
        </w:rPr>
      </w:pPr>
      <w:r>
        <w:rPr>
          <w:rFonts w:hint="eastAsia" w:ascii="宋体" w:hAnsi="宋体" w:cs="宋体"/>
          <w:szCs w:val="21"/>
          <w:lang w:val="zh-CN"/>
        </w:rPr>
        <w:t>。</w:t>
      </w:r>
    </w:p>
    <w:p/>
    <w:p>
      <w:r>
        <w:br w:type="page"/>
      </w:r>
    </w:p>
    <w:p>
      <w:pPr>
        <w:pStyle w:val="5"/>
        <w:ind w:firstLine="137"/>
        <w:rPr>
          <w:rFonts w:ascii="Times New Roman"/>
        </w:rPr>
      </w:pPr>
      <w:bookmarkStart w:id="383" w:name="_Toc18309"/>
      <w:r>
        <w:rPr>
          <w:rFonts w:ascii="Times New Roman"/>
        </w:rPr>
        <w:t>附件</w:t>
      </w:r>
      <w:r>
        <w:rPr>
          <w:rFonts w:hint="eastAsia" w:ascii="Times New Roman"/>
          <w:lang w:val="en-US" w:eastAsia="zh-CN"/>
        </w:rPr>
        <w:t>七</w:t>
      </w:r>
      <w:r>
        <w:rPr>
          <w:rFonts w:ascii="Times New Roman"/>
        </w:rPr>
        <w:t>：履约保证金格式</w:t>
      </w:r>
      <w:bookmarkEnd w:id="257"/>
      <w:bookmarkEnd w:id="383"/>
      <w:r>
        <w:rPr>
          <w:rFonts w:hint="eastAsia" w:ascii="宋体" w:hAnsi="宋体"/>
          <w:sz w:val="18"/>
          <w:szCs w:val="18"/>
        </w:rPr>
        <w:t>（担保的形式包括银行提供的保函、央企财务公司提供的保函、保险公司提供的国家认可的具有法律效力的保险等，格式自定）</w:t>
      </w:r>
    </w:p>
    <w:p>
      <w:pPr>
        <w:spacing w:line="440" w:lineRule="exact"/>
        <w:rPr>
          <w:szCs w:val="21"/>
        </w:rPr>
      </w:pPr>
      <w:r>
        <w:rPr>
          <w:szCs w:val="21"/>
        </w:rPr>
        <w:t>如采用银行保函，格式如下。</w:t>
      </w:r>
    </w:p>
    <w:p>
      <w:pPr>
        <w:spacing w:line="440" w:lineRule="exact"/>
        <w:jc w:val="center"/>
        <w:rPr>
          <w:rFonts w:eastAsia="黑体"/>
          <w:sz w:val="28"/>
        </w:rPr>
      </w:pPr>
      <w:r>
        <w:rPr>
          <w:rFonts w:eastAsia="黑体"/>
          <w:sz w:val="28"/>
        </w:rPr>
        <w:t>履约保证金</w:t>
      </w:r>
    </w:p>
    <w:p>
      <w:pPr>
        <w:spacing w:line="440" w:lineRule="exact"/>
        <w:rPr>
          <w:u w:val="single"/>
        </w:rPr>
      </w:pPr>
    </w:p>
    <w:bookmarkEnd w:id="188"/>
    <w:bookmarkEnd w:id="189"/>
    <w:bookmarkEnd w:id="190"/>
    <w:bookmarkEnd w:id="191"/>
    <w:p>
      <w:pPr>
        <w:ind w:right="420"/>
        <w:jc w:val="center"/>
        <w:rPr>
          <w:rFonts w:ascii="宋体" w:hAnsi="宋体"/>
          <w:szCs w:val="21"/>
        </w:rPr>
      </w:pPr>
      <w:bookmarkStart w:id="384" w:name="_Toc144974829"/>
      <w:bookmarkStart w:id="385" w:name="_Toc247085853"/>
      <w:bookmarkStart w:id="386" w:name="_Toc246996338"/>
      <w:bookmarkStart w:id="387" w:name="_Toc179632787"/>
      <w:bookmarkStart w:id="388" w:name="_Toc246997081"/>
      <w:bookmarkStart w:id="389" w:name="_Toc152042549"/>
      <w:r>
        <w:rPr>
          <w:rFonts w:ascii="宋体" w:hAnsi="宋体"/>
          <w:szCs w:val="21"/>
        </w:rPr>
        <w:t xml:space="preserve">                                                     编号：</w:t>
      </w:r>
    </w:p>
    <w:p>
      <w:pPr>
        <w:spacing w:line="440" w:lineRule="exact"/>
        <w:rPr>
          <w:rFonts w:ascii="宋体" w:hAnsi="宋体"/>
          <w:szCs w:val="21"/>
        </w:rPr>
      </w:pPr>
      <w:r>
        <w:rPr>
          <w:rFonts w:hint="eastAsia" w:ascii="宋体" w:hAnsi="宋体"/>
          <w:szCs w:val="21"/>
        </w:rPr>
        <w:t>致受益人（委托人）</w:t>
      </w:r>
      <w:r>
        <w:rPr>
          <w:rFonts w:ascii="宋体" w:hAnsi="宋体"/>
          <w:szCs w:val="21"/>
          <w:u w:val="single"/>
        </w:rPr>
        <w:t xml:space="preserve">            </w:t>
      </w:r>
      <w:r>
        <w:rPr>
          <w:rFonts w:hint="eastAsia" w:ascii="宋体" w:hAnsi="宋体"/>
          <w:szCs w:val="21"/>
        </w:rPr>
        <w:t>：</w:t>
      </w:r>
    </w:p>
    <w:p>
      <w:pPr>
        <w:spacing w:line="440" w:lineRule="exact"/>
        <w:rPr>
          <w:rFonts w:ascii="宋体" w:hAnsi="宋体"/>
          <w:szCs w:val="21"/>
        </w:rPr>
      </w:pPr>
      <w:r>
        <w:rPr>
          <w:rFonts w:ascii="宋体" w:hAnsi="宋体"/>
          <w:szCs w:val="21"/>
        </w:rPr>
        <w:t xml:space="preserve">    </w:t>
      </w:r>
      <w:r>
        <w:rPr>
          <w:rFonts w:hint="eastAsia" w:ascii="宋体" w:hAnsi="宋体"/>
          <w:szCs w:val="21"/>
        </w:rPr>
        <w:t>因保函申请人</w:t>
      </w:r>
      <w:r>
        <w:rPr>
          <w:rFonts w:ascii="宋体" w:hAnsi="宋体"/>
          <w:szCs w:val="21"/>
          <w:u w:val="single"/>
        </w:rPr>
        <w:t xml:space="preserve">       </w:t>
      </w:r>
      <w:r>
        <w:rPr>
          <w:rFonts w:hint="eastAsia" w:ascii="宋体" w:hAnsi="宋体"/>
          <w:szCs w:val="21"/>
        </w:rPr>
        <w:t>与你方签订</w:t>
      </w:r>
      <w:r>
        <w:rPr>
          <w:rFonts w:ascii="宋体" w:hAnsi="宋体"/>
          <w:szCs w:val="21"/>
          <w:u w:val="single"/>
        </w:rPr>
        <w:t xml:space="preserve">             </w:t>
      </w:r>
      <w:r>
        <w:rPr>
          <w:rFonts w:hint="eastAsia" w:ascii="宋体" w:hAnsi="宋体"/>
          <w:szCs w:val="21"/>
        </w:rPr>
        <w:t>（合同或协议）编号</w:t>
      </w:r>
      <w:r>
        <w:rPr>
          <w:rFonts w:ascii="宋体" w:hAnsi="宋体"/>
          <w:szCs w:val="21"/>
          <w:u w:val="single"/>
        </w:rPr>
        <w:t xml:space="preserve">         </w:t>
      </w:r>
      <w:r>
        <w:rPr>
          <w:rFonts w:hint="eastAsia" w:ascii="宋体" w:hAnsi="宋体"/>
          <w:szCs w:val="21"/>
        </w:rPr>
        <w:t>，我行已接受保函申请人的请求，愿就保函申请人履行上述合同（或协议）约定的义务向你方提供如下保证：</w:t>
      </w:r>
    </w:p>
    <w:p>
      <w:pPr>
        <w:spacing w:line="440" w:lineRule="exact"/>
        <w:rPr>
          <w:rFonts w:ascii="宋体" w:hAnsi="宋体"/>
          <w:szCs w:val="21"/>
        </w:rPr>
      </w:pPr>
      <w:r>
        <w:rPr>
          <w:rFonts w:ascii="宋体" w:hAnsi="宋体"/>
          <w:szCs w:val="21"/>
        </w:rPr>
        <w:t xml:space="preserve">    </w:t>
      </w:r>
      <w:r>
        <w:rPr>
          <w:rFonts w:hint="eastAsia" w:ascii="宋体" w:hAnsi="宋体"/>
          <w:szCs w:val="21"/>
        </w:rPr>
        <w:t>一、本保函担保的金额最高不超过</w:t>
      </w:r>
      <w:r>
        <w:rPr>
          <w:rFonts w:ascii="宋体" w:hAnsi="宋体"/>
          <w:szCs w:val="21"/>
        </w:rPr>
        <w:t>(</w:t>
      </w:r>
      <w:r>
        <w:rPr>
          <w:rFonts w:hint="eastAsia" w:ascii="宋体" w:hAnsi="宋体"/>
          <w:szCs w:val="21"/>
        </w:rPr>
        <w:t>币种、金额大写</w:t>
      </w:r>
      <w:r>
        <w:rPr>
          <w:rFonts w:ascii="宋体" w:hAnsi="宋体"/>
          <w:szCs w:val="21"/>
        </w:rPr>
        <w:t>)</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pPr>
        <w:spacing w:line="440" w:lineRule="exact"/>
        <w:ind w:firstLine="420"/>
        <w:rPr>
          <w:rFonts w:ascii="宋体" w:hAnsi="宋体"/>
          <w:szCs w:val="21"/>
        </w:rPr>
      </w:pPr>
      <w:r>
        <w:rPr>
          <w:rFonts w:hint="eastAsia" w:ascii="宋体" w:hAnsi="宋体"/>
          <w:szCs w:val="21"/>
        </w:rPr>
        <w:t>二、本保函担保的方式为连带责任保证。</w:t>
      </w:r>
    </w:p>
    <w:p>
      <w:pPr>
        <w:spacing w:line="440" w:lineRule="exact"/>
        <w:ind w:firstLine="420"/>
        <w:rPr>
          <w:rFonts w:ascii="宋体" w:hAnsi="宋体"/>
          <w:szCs w:val="21"/>
        </w:rPr>
      </w:pPr>
      <w:r>
        <w:rPr>
          <w:rFonts w:hint="eastAsia" w:ascii="宋体" w:hAnsi="宋体"/>
          <w:szCs w:val="21"/>
        </w:rPr>
        <w:t>三、本保函的保证期间自</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spacing w:line="440" w:lineRule="exact"/>
        <w:ind w:firstLine="420"/>
        <w:rPr>
          <w:rFonts w:ascii="宋体" w:hAnsi="宋体"/>
          <w:szCs w:val="21"/>
        </w:rPr>
      </w:pPr>
      <w:r>
        <w:rPr>
          <w:rFonts w:hint="eastAsia" w:ascii="宋体" w:hAnsi="宋体"/>
          <w:szCs w:val="21"/>
        </w:rPr>
        <w:t>四、在本保函的有效期内，如保函申请人违反上述合同或协议约定的义务，我行将在收到你方符合下列条件的索赔通知后</w:t>
      </w:r>
      <w:r>
        <w:rPr>
          <w:rFonts w:ascii="宋体" w:hAnsi="宋体"/>
          <w:szCs w:val="21"/>
          <w:u w:val="single"/>
        </w:rPr>
        <w:t xml:space="preserve">   </w:t>
      </w:r>
      <w:r>
        <w:rPr>
          <w:rFonts w:hint="eastAsia" w:ascii="宋体" w:hAnsi="宋体"/>
          <w:szCs w:val="21"/>
        </w:rPr>
        <w:t>个银行工作日内，凭本保函向你方支付本保函担保范围内你方索赔的金额：</w:t>
      </w:r>
    </w:p>
    <w:p>
      <w:pPr>
        <w:spacing w:line="440" w:lineRule="exact"/>
        <w:rPr>
          <w:rFonts w:ascii="宋体" w:hAnsi="宋体"/>
          <w:szCs w:val="21"/>
        </w:rPr>
      </w:pPr>
      <w:r>
        <w:rPr>
          <w:rFonts w:ascii="宋体" w:hAnsi="宋体"/>
          <w:szCs w:val="21"/>
        </w:rPr>
        <w:t xml:space="preserve">    </w:t>
      </w:r>
      <w:r>
        <w:rPr>
          <w:rFonts w:hint="eastAsia" w:ascii="宋体" w:hAnsi="宋体"/>
          <w:szCs w:val="21"/>
        </w:rPr>
        <w:t>（一）你方的索赔通知必须以书面形式提出，索赔通知应由你方法定代表人（负责人）或授权代理人签字并加盖单位公章；</w:t>
      </w:r>
    </w:p>
    <w:p>
      <w:pPr>
        <w:spacing w:line="440" w:lineRule="exact"/>
        <w:rPr>
          <w:rFonts w:ascii="宋体" w:hAnsi="宋体"/>
          <w:szCs w:val="21"/>
        </w:rPr>
      </w:pPr>
      <w:r>
        <w:rPr>
          <w:rFonts w:ascii="宋体" w:hAnsi="宋体"/>
          <w:szCs w:val="21"/>
        </w:rPr>
        <w:t xml:space="preserve">    </w:t>
      </w:r>
      <w:r>
        <w:rPr>
          <w:rFonts w:hint="eastAsia" w:ascii="宋体" w:hAnsi="宋体"/>
          <w:szCs w:val="21"/>
        </w:rPr>
        <w:t>（二）你方的索赔通知必须在本保函有效期内送达我行；</w:t>
      </w:r>
    </w:p>
    <w:p>
      <w:pPr>
        <w:spacing w:line="440" w:lineRule="exact"/>
        <w:rPr>
          <w:rFonts w:ascii="宋体" w:hAnsi="宋体"/>
          <w:szCs w:val="21"/>
        </w:rPr>
      </w:pPr>
      <w:r>
        <w:rPr>
          <w:rFonts w:ascii="宋体" w:hAnsi="宋体"/>
          <w:szCs w:val="21"/>
        </w:rPr>
        <w:t xml:space="preserve">    </w:t>
      </w:r>
      <w:r>
        <w:rPr>
          <w:rFonts w:hint="eastAsia" w:ascii="宋体" w:hAnsi="宋体"/>
          <w:szCs w:val="21"/>
        </w:rPr>
        <w:t>（三）你方的索赔通知必须同时附有：</w:t>
      </w:r>
    </w:p>
    <w:p>
      <w:pPr>
        <w:spacing w:line="440" w:lineRule="exact"/>
        <w:rPr>
          <w:rFonts w:ascii="宋体" w:hAnsi="宋体"/>
          <w:szCs w:val="21"/>
        </w:rPr>
      </w:pPr>
      <w:r>
        <w:rPr>
          <w:rFonts w:ascii="宋体" w:hAnsi="宋体"/>
          <w:szCs w:val="21"/>
        </w:rPr>
        <w:t xml:space="preserve">    1.声明你方索赔的款额并未由保函申请人或其代理人以其他方式直接或间接地支付给你方</w:t>
      </w:r>
      <w:r>
        <w:rPr>
          <w:rFonts w:hint="eastAsia" w:ascii="宋体" w:hAnsi="宋体"/>
          <w:szCs w:val="21"/>
        </w:rPr>
        <w:t>。</w:t>
      </w:r>
    </w:p>
    <w:p>
      <w:pPr>
        <w:spacing w:line="440" w:lineRule="exact"/>
        <w:rPr>
          <w:rFonts w:ascii="宋体" w:hAnsi="宋体"/>
          <w:szCs w:val="21"/>
        </w:rPr>
      </w:pPr>
      <w:r>
        <w:rPr>
          <w:rFonts w:ascii="宋体" w:hAnsi="宋体"/>
          <w:szCs w:val="21"/>
        </w:rPr>
        <w:t xml:space="preserve">    </w:t>
      </w:r>
      <w:r>
        <w:rPr>
          <w:rFonts w:hint="eastAsia" w:ascii="宋体" w:hAnsi="宋体"/>
          <w:szCs w:val="21"/>
        </w:rPr>
        <w:t>五、本保函所附声明条款系本保函的不可撤销、不可变更的组成部分。</w:t>
      </w:r>
    </w:p>
    <w:p>
      <w:pPr>
        <w:spacing w:line="440" w:lineRule="exact"/>
        <w:rPr>
          <w:rFonts w:ascii="宋体" w:hAnsi="宋体"/>
          <w:szCs w:val="21"/>
        </w:rPr>
      </w:pPr>
      <w:r>
        <w:rPr>
          <w:rFonts w:ascii="宋体" w:hAnsi="宋体"/>
          <w:szCs w:val="21"/>
        </w:rPr>
        <w:t xml:space="preserve">    </w:t>
      </w:r>
      <w:r>
        <w:rPr>
          <w:rFonts w:hint="eastAsia" w:ascii="宋体" w:hAnsi="宋体"/>
          <w:szCs w:val="21"/>
        </w:rPr>
        <w:t>六、本保函自本行负责人或授权代理人签字并加盖公章之日起生效。</w:t>
      </w:r>
    </w:p>
    <w:p>
      <w:pPr>
        <w:spacing w:line="440" w:lineRule="exact"/>
        <w:rPr>
          <w:rFonts w:ascii="宋体" w:hAnsi="宋体"/>
          <w:szCs w:val="21"/>
        </w:rPr>
      </w:pPr>
      <w:r>
        <w:rPr>
          <w:rFonts w:ascii="宋体" w:hAnsi="宋体"/>
          <w:szCs w:val="21"/>
        </w:rPr>
        <w:t xml:space="preserve">                                  保证人（盖章）：</w:t>
      </w:r>
    </w:p>
    <w:p>
      <w:pPr>
        <w:spacing w:line="440" w:lineRule="exact"/>
        <w:rPr>
          <w:rFonts w:ascii="宋体" w:hAnsi="宋体"/>
          <w:szCs w:val="21"/>
        </w:rPr>
      </w:pPr>
      <w:r>
        <w:rPr>
          <w:rFonts w:ascii="宋体" w:hAnsi="宋体"/>
          <w:szCs w:val="21"/>
        </w:rPr>
        <w:t xml:space="preserve">                                  负责人或授权代理人（签字）：</w:t>
      </w:r>
    </w:p>
    <w:p>
      <w:pPr>
        <w:autoSpaceDE w:val="0"/>
        <w:autoSpaceDN w:val="0"/>
        <w:spacing w:line="440" w:lineRule="exact"/>
        <w:ind w:firstLine="3465" w:firstLineChars="1650"/>
        <w:rPr>
          <w:rFonts w:ascii="宋体" w:hAnsi="宋体"/>
          <w:szCs w:val="21"/>
        </w:rPr>
      </w:pPr>
      <w:r>
        <w:rPr>
          <w:rFonts w:ascii="宋体" w:hAnsi="宋体"/>
          <w:szCs w:val="21"/>
        </w:rPr>
        <w:t xml:space="preserve"> 签发日期</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utoSpaceDE w:val="0"/>
        <w:autoSpaceDN w:val="0"/>
        <w:spacing w:line="440" w:lineRule="exact"/>
        <w:ind w:firstLine="3465" w:firstLineChars="1650"/>
        <w:rPr>
          <w:rFonts w:ascii="宋体" w:hAnsi="宋体"/>
          <w:szCs w:val="21"/>
        </w:rPr>
      </w:pPr>
      <w:r>
        <w:rPr>
          <w:rFonts w:hint="eastAsia" w:ascii="宋体" w:hAnsi="宋体"/>
          <w:szCs w:val="21"/>
        </w:rPr>
        <w:br w:type="page"/>
      </w:r>
    </w:p>
    <w:p>
      <w:pPr>
        <w:pStyle w:val="5"/>
        <w:ind w:firstLine="137"/>
        <w:rPr>
          <w:rFonts w:hint="eastAsia" w:ascii="宋体" w:hAnsi="宋体"/>
          <w:strike/>
          <w:sz w:val="18"/>
          <w:szCs w:val="18"/>
        </w:rPr>
      </w:pPr>
      <w:r>
        <w:rPr>
          <w:rFonts w:hint="eastAsia" w:ascii="Times New Roman"/>
        </w:rPr>
        <w:t>附件</w:t>
      </w:r>
      <w:r>
        <w:rPr>
          <w:rFonts w:hint="eastAsia" w:ascii="Times New Roman"/>
          <w:lang w:val="en-US" w:eastAsia="zh-CN"/>
        </w:rPr>
        <w:t>八</w:t>
      </w:r>
      <w:r>
        <w:rPr>
          <w:rFonts w:hint="eastAsia" w:ascii="Times New Roman"/>
        </w:rPr>
        <w:t>：质量保证金担保格式</w:t>
      </w:r>
      <w:r>
        <w:rPr>
          <w:rFonts w:hint="eastAsia" w:ascii="宋体" w:hAnsi="宋体"/>
          <w:sz w:val="18"/>
          <w:szCs w:val="18"/>
        </w:rPr>
        <w:t>（担保的形式包括银行提供的保函、央企财务公司提供的保函、保险公司提供的国家认可的具有法律效力的保险等，格式自定）</w:t>
      </w:r>
    </w:p>
    <w:p>
      <w:pPr>
        <w:autoSpaceDE w:val="0"/>
        <w:autoSpaceDN w:val="0"/>
        <w:spacing w:line="440" w:lineRule="exact"/>
        <w:ind w:firstLine="3465" w:firstLineChars="1650"/>
        <w:rPr>
          <w:rFonts w:ascii="宋体" w:hAnsi="宋体"/>
          <w:szCs w:val="21"/>
        </w:rPr>
      </w:pPr>
    </w:p>
    <w:p>
      <w:pPr>
        <w:jc w:val="left"/>
        <w:rPr>
          <w:rFonts w:hint="eastAsia" w:ascii="宋体" w:hAnsi="宋体"/>
          <w:szCs w:val="21"/>
        </w:rPr>
      </w:pPr>
    </w:p>
    <w:p>
      <w:pPr>
        <w:jc w:val="center"/>
        <w:rPr>
          <w:rFonts w:hint="eastAsia" w:ascii="宋体" w:hAnsi="宋体"/>
          <w:b/>
          <w:szCs w:val="21"/>
        </w:rPr>
      </w:pPr>
      <w:r>
        <w:rPr>
          <w:rFonts w:hint="eastAsia" w:ascii="宋体" w:hAnsi="宋体"/>
          <w:b/>
          <w:szCs w:val="21"/>
        </w:rPr>
        <w:t>质量保证金保函</w:t>
      </w:r>
    </w:p>
    <w:p>
      <w:pPr>
        <w:autoSpaceDE w:val="0"/>
        <w:autoSpaceDN w:val="0"/>
        <w:rPr>
          <w:rFonts w:hint="eastAsia" w:ascii="宋体" w:hAnsi="宋体" w:cs="仿宋_GB2312"/>
          <w:szCs w:val="21"/>
          <w:u w:val="single"/>
        </w:rPr>
      </w:pPr>
      <w:r>
        <w:rPr>
          <w:rFonts w:hint="eastAsia" w:ascii="宋体" w:hAnsi="宋体" w:cs="仿宋_GB2312"/>
          <w:szCs w:val="21"/>
        </w:rPr>
        <w:t>（发包人名称）：</w:t>
      </w:r>
      <w:r>
        <w:rPr>
          <w:rFonts w:hint="eastAsia" w:ascii="宋体" w:hAnsi="宋体" w:cs="仿宋_GB2312"/>
          <w:szCs w:val="21"/>
          <w:u w:val="single"/>
        </w:rPr>
        <w:t xml:space="preserve">               </w:t>
      </w:r>
    </w:p>
    <w:p>
      <w:pPr>
        <w:autoSpaceDE w:val="0"/>
        <w:autoSpaceDN w:val="0"/>
        <w:ind w:firstLine="420" w:firstLineChars="200"/>
        <w:rPr>
          <w:rFonts w:hint="eastAsia" w:ascii="宋体" w:hAnsi="宋体" w:cs="仿宋_GB2312"/>
          <w:szCs w:val="21"/>
        </w:rPr>
      </w:pPr>
      <w:r>
        <w:rPr>
          <w:rFonts w:hint="eastAsia" w:ascii="宋体" w:hAnsi="宋体" w:cs="仿宋_GB2312"/>
          <w:szCs w:val="21"/>
        </w:rPr>
        <w:t>根据</w:t>
      </w:r>
      <w:r>
        <w:rPr>
          <w:rFonts w:hint="eastAsia" w:ascii="宋体" w:hAnsi="宋体" w:cs="仿宋_GB2312"/>
          <w:szCs w:val="21"/>
          <w:u w:val="single"/>
        </w:rPr>
        <w:t xml:space="preserve">           </w:t>
      </w:r>
      <w:r>
        <w:rPr>
          <w:rFonts w:hint="eastAsia" w:ascii="宋体" w:hAnsi="宋体" w:cs="仿宋_GB2312"/>
          <w:szCs w:val="21"/>
        </w:rPr>
        <w:t>（承包人名称）（以下称</w:t>
      </w:r>
      <w:r>
        <w:rPr>
          <w:rFonts w:ascii="宋体" w:hAnsi="宋体" w:cs="TimesNewRomanPSMT"/>
          <w:szCs w:val="21"/>
        </w:rPr>
        <w:t>“</w:t>
      </w:r>
      <w:r>
        <w:rPr>
          <w:rFonts w:hint="eastAsia" w:ascii="宋体" w:hAnsi="宋体" w:cs="仿宋_GB2312"/>
          <w:szCs w:val="21"/>
        </w:rPr>
        <w:t>承包人</w:t>
      </w:r>
      <w:r>
        <w:rPr>
          <w:rFonts w:ascii="宋体" w:hAnsi="宋体" w:cs="TimesNewRomanPSMT"/>
          <w:szCs w:val="21"/>
        </w:rPr>
        <w:t>”</w:t>
      </w:r>
      <w:r>
        <w:rPr>
          <w:rFonts w:hint="eastAsia" w:ascii="宋体" w:hAnsi="宋体" w:cs="仿宋_GB2312"/>
          <w:szCs w:val="21"/>
        </w:rPr>
        <w:t>）与</w:t>
      </w:r>
      <w:r>
        <w:rPr>
          <w:rFonts w:hint="eastAsia" w:ascii="宋体" w:hAnsi="宋体" w:cs="仿宋_GB2312"/>
          <w:szCs w:val="21"/>
          <w:u w:val="single"/>
        </w:rPr>
        <w:t xml:space="preserve">         </w:t>
      </w:r>
      <w:r>
        <w:rPr>
          <w:rFonts w:hint="eastAsia" w:ascii="宋体" w:hAnsi="宋体" w:cs="仿宋_GB2312"/>
          <w:szCs w:val="21"/>
        </w:rPr>
        <w:t>（发包人名称）（以下简称</w:t>
      </w:r>
      <w:r>
        <w:rPr>
          <w:rFonts w:ascii="宋体" w:hAnsi="宋体" w:cs="TimesNewRomanPSMT"/>
          <w:szCs w:val="21"/>
        </w:rPr>
        <w:t>“</w:t>
      </w:r>
      <w:r>
        <w:rPr>
          <w:rFonts w:hint="eastAsia" w:ascii="宋体" w:hAnsi="宋体" w:cs="仿宋_GB2312"/>
          <w:szCs w:val="21"/>
        </w:rPr>
        <w:t>发包人</w:t>
      </w:r>
      <w:r>
        <w:rPr>
          <w:rFonts w:ascii="宋体" w:hAnsi="宋体" w:cs="TimesNewRomanPSMT"/>
          <w:szCs w:val="21"/>
        </w:rPr>
        <w:t>”</w:t>
      </w:r>
      <w:r>
        <w:rPr>
          <w:rFonts w:hint="eastAsia" w:ascii="宋体" w:hAnsi="宋体" w:cs="仿宋_GB2312"/>
          <w:szCs w:val="21"/>
        </w:rPr>
        <w:t>）于</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日签订的</w:t>
      </w:r>
      <w:r>
        <w:rPr>
          <w:rFonts w:hint="eastAsia" w:ascii="宋体" w:hAnsi="宋体" w:cs="仿宋_GB2312"/>
          <w:szCs w:val="21"/>
          <w:u w:val="single"/>
        </w:rPr>
        <w:t xml:space="preserve">    </w:t>
      </w:r>
      <w:r>
        <w:rPr>
          <w:rFonts w:hint="eastAsia" w:ascii="宋体" w:hAnsi="宋体" w:cs="仿宋_GB2312"/>
          <w:szCs w:val="21"/>
        </w:rPr>
        <w:t>（项目名称）监理承包合同，承包人按约定的金额向发包人提交一份质量保证金担保，即有权得到发包人支付相等金额的质量保证金。我方愿意就你方提供给承包人的质量保证金提供担保。</w:t>
      </w:r>
    </w:p>
    <w:p>
      <w:pPr>
        <w:autoSpaceDE w:val="0"/>
        <w:autoSpaceDN w:val="0"/>
        <w:ind w:firstLine="420" w:firstLineChars="200"/>
        <w:rPr>
          <w:rFonts w:hint="eastAsia" w:ascii="宋体" w:hAnsi="宋体" w:cs="仿宋_GB2312"/>
          <w:szCs w:val="21"/>
        </w:rPr>
      </w:pPr>
      <w:r>
        <w:rPr>
          <w:rFonts w:ascii="宋体" w:hAnsi="宋体" w:cs="TimesNewRomanPSMT"/>
          <w:szCs w:val="21"/>
        </w:rPr>
        <w:t xml:space="preserve">1. </w:t>
      </w:r>
      <w:r>
        <w:rPr>
          <w:rFonts w:hint="eastAsia" w:ascii="宋体" w:hAnsi="宋体" w:cs="仿宋_GB2312"/>
          <w:szCs w:val="21"/>
        </w:rPr>
        <w:t>担保金额人民币（大写）</w:t>
      </w:r>
      <w:r>
        <w:rPr>
          <w:rFonts w:hint="eastAsia" w:ascii="宋体" w:hAnsi="宋体" w:cs="仿宋_GB2312"/>
          <w:szCs w:val="21"/>
          <w:u w:val="single"/>
        </w:rPr>
        <w:t xml:space="preserve">           </w:t>
      </w:r>
      <w:r>
        <w:rPr>
          <w:rFonts w:hint="eastAsia" w:ascii="宋体" w:hAnsi="宋体" w:cs="仿宋_GB2312"/>
          <w:szCs w:val="21"/>
        </w:rPr>
        <w:t>元（</w:t>
      </w:r>
      <w:r>
        <w:rPr>
          <w:rFonts w:ascii="宋体" w:hAnsi="宋体" w:cs="TimesNewRomanPSMT"/>
          <w:szCs w:val="21"/>
        </w:rPr>
        <w:t>¥</w:t>
      </w:r>
      <w:r>
        <w:rPr>
          <w:rFonts w:hint="eastAsia" w:ascii="宋体" w:hAnsi="宋体" w:cs="TimesNewRomanPSMT"/>
          <w:szCs w:val="21"/>
          <w:u w:val="single"/>
        </w:rPr>
        <w:t xml:space="preserve">         </w:t>
      </w:r>
      <w:r>
        <w:rPr>
          <w:rFonts w:ascii="宋体" w:hAnsi="宋体" w:cs="TimesNewRomanPSMT"/>
          <w:szCs w:val="21"/>
        </w:rPr>
        <w:t xml:space="preserve"> </w:t>
      </w:r>
      <w:r>
        <w:rPr>
          <w:rFonts w:hint="eastAsia" w:ascii="宋体" w:hAnsi="宋体" w:cs="仿宋_GB2312"/>
          <w:szCs w:val="21"/>
        </w:rPr>
        <w:t>）。</w:t>
      </w:r>
    </w:p>
    <w:p>
      <w:pPr>
        <w:autoSpaceDE w:val="0"/>
        <w:autoSpaceDN w:val="0"/>
        <w:ind w:firstLine="420" w:firstLineChars="200"/>
        <w:rPr>
          <w:rFonts w:hint="eastAsia" w:ascii="宋体" w:hAnsi="宋体" w:cs="仿宋_GB2312"/>
          <w:szCs w:val="21"/>
        </w:rPr>
      </w:pPr>
      <w:r>
        <w:rPr>
          <w:rFonts w:ascii="宋体" w:hAnsi="宋体" w:cs="TimesNewRomanPSMT"/>
          <w:szCs w:val="21"/>
        </w:rPr>
        <w:t xml:space="preserve">2. </w:t>
      </w:r>
      <w:r>
        <w:rPr>
          <w:rFonts w:hint="eastAsia" w:ascii="宋体" w:hAnsi="宋体" w:cs="仿宋_GB2312"/>
          <w:szCs w:val="21"/>
        </w:rPr>
        <w:t>担保有效期自质量保证金支付给承包人起生效，至质保期结束止。</w:t>
      </w:r>
    </w:p>
    <w:p>
      <w:pPr>
        <w:autoSpaceDE w:val="0"/>
        <w:autoSpaceDN w:val="0"/>
        <w:ind w:firstLine="420" w:firstLineChars="200"/>
        <w:rPr>
          <w:rFonts w:hint="eastAsia" w:ascii="宋体" w:hAnsi="宋体" w:cs="仿宋_GB2312"/>
          <w:szCs w:val="21"/>
        </w:rPr>
      </w:pPr>
      <w:r>
        <w:rPr>
          <w:rFonts w:ascii="宋体" w:hAnsi="宋体" w:cs="TimesNewRomanPSMT"/>
          <w:szCs w:val="21"/>
        </w:rPr>
        <w:t xml:space="preserve">3. </w:t>
      </w:r>
      <w:r>
        <w:rPr>
          <w:rFonts w:hint="eastAsia" w:ascii="宋体" w:hAnsi="宋体" w:cs="仿宋_GB2312"/>
          <w:szCs w:val="21"/>
        </w:rPr>
        <w:t>在本保函有效期内，因承包人违反合同约定而拒绝履行质保期相关义务时，我方在收到你方的书面通知后，在７天内无条件支付。但本保函的担保金额，在任何时候不应超过质保金金额。</w:t>
      </w:r>
    </w:p>
    <w:p>
      <w:pPr>
        <w:autoSpaceDE w:val="0"/>
        <w:autoSpaceDN w:val="0"/>
        <w:ind w:firstLine="420" w:firstLineChars="200"/>
        <w:rPr>
          <w:rFonts w:hint="eastAsia" w:ascii="宋体" w:hAnsi="宋体" w:cs="仿宋_GB2312"/>
          <w:szCs w:val="21"/>
        </w:rPr>
      </w:pPr>
      <w:r>
        <w:rPr>
          <w:rFonts w:ascii="宋体" w:hAnsi="宋体" w:cs="TimesNewRomanPSMT"/>
          <w:szCs w:val="21"/>
        </w:rPr>
        <w:t xml:space="preserve">4. </w:t>
      </w:r>
      <w:r>
        <w:rPr>
          <w:rFonts w:hint="eastAsia" w:ascii="宋体" w:hAnsi="宋体" w:cs="仿宋_GB2312"/>
          <w:szCs w:val="21"/>
        </w:rPr>
        <w:t>发包人和承包人变更合同时，我方承担本保函规定的义务不变。</w:t>
      </w:r>
    </w:p>
    <w:p>
      <w:pPr>
        <w:autoSpaceDE w:val="0"/>
        <w:autoSpaceDN w:val="0"/>
        <w:ind w:firstLine="420" w:firstLineChars="200"/>
        <w:jc w:val="right"/>
        <w:rPr>
          <w:rFonts w:hint="eastAsia" w:ascii="宋体" w:hAnsi="宋体" w:cs="仿宋_GB2312"/>
          <w:szCs w:val="21"/>
        </w:rPr>
      </w:pPr>
    </w:p>
    <w:p>
      <w:pPr>
        <w:autoSpaceDE w:val="0"/>
        <w:autoSpaceDN w:val="0"/>
        <w:ind w:firstLine="420" w:firstLineChars="200"/>
        <w:jc w:val="right"/>
        <w:rPr>
          <w:rFonts w:ascii="宋体" w:hAnsi="宋体" w:cs="仿宋_GB2312"/>
          <w:szCs w:val="21"/>
        </w:rPr>
      </w:pPr>
      <w:r>
        <w:rPr>
          <w:rFonts w:hint="eastAsia" w:ascii="宋体" w:hAnsi="宋体" w:cs="仿宋_GB2312"/>
          <w:szCs w:val="21"/>
        </w:rPr>
        <w:t>担</w:t>
      </w:r>
      <w:r>
        <w:rPr>
          <w:rFonts w:ascii="宋体" w:hAnsi="宋体" w:cs="仿宋_GB2312"/>
          <w:szCs w:val="21"/>
        </w:rPr>
        <w:t xml:space="preserve"> </w:t>
      </w:r>
      <w:r>
        <w:rPr>
          <w:rFonts w:hint="eastAsia" w:ascii="宋体" w:hAnsi="宋体" w:cs="仿宋_GB2312"/>
          <w:szCs w:val="21"/>
        </w:rPr>
        <w:t>保</w:t>
      </w:r>
      <w:r>
        <w:rPr>
          <w:rFonts w:ascii="宋体" w:hAnsi="宋体" w:cs="仿宋_GB2312"/>
          <w:szCs w:val="21"/>
        </w:rPr>
        <w:t xml:space="preserve"> </w:t>
      </w:r>
      <w:r>
        <w:rPr>
          <w:rFonts w:hint="eastAsia" w:ascii="宋体" w:hAnsi="宋体" w:cs="仿宋_GB2312"/>
          <w:szCs w:val="21"/>
        </w:rPr>
        <w:t>人：</w:t>
      </w:r>
      <w:r>
        <w:rPr>
          <w:rFonts w:hint="eastAsia" w:ascii="宋体" w:hAnsi="宋体" w:cs="仿宋_GB2312"/>
          <w:szCs w:val="21"/>
          <w:u w:val="single"/>
        </w:rPr>
        <w:t xml:space="preserve">                            </w:t>
      </w:r>
      <w:r>
        <w:rPr>
          <w:rFonts w:hint="eastAsia" w:ascii="宋体" w:hAnsi="宋体" w:cs="仿宋_GB2312"/>
          <w:szCs w:val="21"/>
        </w:rPr>
        <w:t>（盖单位章）</w:t>
      </w:r>
    </w:p>
    <w:p>
      <w:pPr>
        <w:autoSpaceDE w:val="0"/>
        <w:autoSpaceDN w:val="0"/>
        <w:jc w:val="right"/>
        <w:rPr>
          <w:rFonts w:ascii="宋体" w:hAnsi="宋体" w:cs="仿宋_GB2312"/>
          <w:szCs w:val="21"/>
        </w:rPr>
      </w:pPr>
      <w:r>
        <w:rPr>
          <w:rFonts w:hint="eastAsia" w:ascii="宋体" w:hAnsi="宋体" w:cs="仿宋_GB2312"/>
          <w:szCs w:val="21"/>
        </w:rPr>
        <w:t>法定代表人或其委托代理人：</w:t>
      </w:r>
      <w:r>
        <w:rPr>
          <w:rFonts w:hint="eastAsia" w:ascii="宋体" w:hAnsi="宋体" w:cs="仿宋_GB2312"/>
          <w:szCs w:val="21"/>
          <w:u w:val="single"/>
        </w:rPr>
        <w:t xml:space="preserve">                </w:t>
      </w:r>
      <w:r>
        <w:rPr>
          <w:rFonts w:hint="eastAsia" w:ascii="宋体" w:hAnsi="宋体" w:cs="仿宋_GB2312"/>
          <w:szCs w:val="21"/>
        </w:rPr>
        <w:t>（签字）</w:t>
      </w:r>
    </w:p>
    <w:p>
      <w:pPr>
        <w:autoSpaceDE w:val="0"/>
        <w:autoSpaceDN w:val="0"/>
        <w:ind w:firstLine="3780" w:firstLineChars="1800"/>
        <w:rPr>
          <w:rFonts w:ascii="宋体" w:hAnsi="宋体" w:cs="仿宋_GB2312"/>
          <w:szCs w:val="21"/>
          <w:u w:val="single"/>
        </w:rPr>
      </w:pPr>
      <w:r>
        <w:rPr>
          <w:rFonts w:hint="eastAsia" w:ascii="宋体" w:hAnsi="宋体" w:cs="仿宋_GB2312"/>
          <w:szCs w:val="21"/>
        </w:rPr>
        <w:t>地</w:t>
      </w:r>
      <w:r>
        <w:rPr>
          <w:rFonts w:ascii="宋体" w:hAnsi="宋体" w:cs="仿宋_GB2312"/>
          <w:szCs w:val="21"/>
        </w:rPr>
        <w:t xml:space="preserve"> </w:t>
      </w:r>
      <w:r>
        <w:rPr>
          <w:rFonts w:hint="eastAsia" w:ascii="宋体" w:hAnsi="宋体" w:cs="仿宋_GB2312"/>
          <w:szCs w:val="21"/>
        </w:rPr>
        <w:t>址：</w:t>
      </w:r>
      <w:r>
        <w:rPr>
          <w:rFonts w:hint="eastAsia" w:ascii="宋体" w:hAnsi="宋体" w:cs="仿宋_GB2312"/>
          <w:szCs w:val="21"/>
          <w:u w:val="single"/>
        </w:rPr>
        <w:t xml:space="preserve">                                         </w:t>
      </w:r>
    </w:p>
    <w:p>
      <w:pPr>
        <w:autoSpaceDE w:val="0"/>
        <w:autoSpaceDN w:val="0"/>
        <w:ind w:firstLine="3780" w:firstLineChars="1800"/>
        <w:rPr>
          <w:rFonts w:ascii="宋体" w:hAnsi="宋体" w:cs="仿宋_GB2312"/>
          <w:szCs w:val="21"/>
          <w:u w:val="single"/>
        </w:rPr>
      </w:pPr>
      <w:r>
        <w:rPr>
          <w:rFonts w:hint="eastAsia" w:ascii="宋体" w:hAnsi="宋体" w:cs="仿宋_GB2312"/>
          <w:szCs w:val="21"/>
        </w:rPr>
        <w:t>邮政编码：</w:t>
      </w:r>
      <w:r>
        <w:rPr>
          <w:rFonts w:hint="eastAsia" w:ascii="宋体" w:hAnsi="宋体" w:cs="仿宋_GB2312"/>
          <w:szCs w:val="21"/>
          <w:u w:val="single"/>
        </w:rPr>
        <w:t xml:space="preserve">                                      </w:t>
      </w:r>
    </w:p>
    <w:p>
      <w:pPr>
        <w:autoSpaceDE w:val="0"/>
        <w:autoSpaceDN w:val="0"/>
        <w:ind w:firstLine="3780" w:firstLineChars="1800"/>
        <w:rPr>
          <w:rFonts w:ascii="宋体" w:hAnsi="宋体" w:cs="仿宋_GB2312"/>
          <w:szCs w:val="21"/>
          <w:u w:val="single"/>
        </w:rPr>
      </w:pPr>
      <w:r>
        <w:rPr>
          <w:rFonts w:hint="eastAsia" w:ascii="宋体" w:hAnsi="宋体" w:cs="仿宋_GB2312"/>
          <w:szCs w:val="21"/>
        </w:rPr>
        <w:t>电</w:t>
      </w:r>
      <w:r>
        <w:rPr>
          <w:rFonts w:ascii="宋体" w:hAnsi="宋体" w:cs="仿宋_GB2312"/>
          <w:szCs w:val="21"/>
        </w:rPr>
        <w:t xml:space="preserve"> </w:t>
      </w:r>
      <w:r>
        <w:rPr>
          <w:rFonts w:hint="eastAsia" w:ascii="宋体" w:hAnsi="宋体" w:cs="仿宋_GB2312"/>
          <w:szCs w:val="21"/>
        </w:rPr>
        <w:t>话：</w:t>
      </w:r>
      <w:r>
        <w:rPr>
          <w:rFonts w:hint="eastAsia" w:ascii="宋体" w:hAnsi="宋体" w:cs="仿宋_GB2312"/>
          <w:szCs w:val="21"/>
          <w:u w:val="single"/>
        </w:rPr>
        <w:t xml:space="preserve">                                         </w:t>
      </w:r>
    </w:p>
    <w:p>
      <w:pPr>
        <w:autoSpaceDE w:val="0"/>
        <w:autoSpaceDN w:val="0"/>
        <w:ind w:firstLine="3780" w:firstLineChars="1800"/>
        <w:rPr>
          <w:rFonts w:ascii="宋体" w:hAnsi="宋体" w:cs="仿宋_GB2312"/>
          <w:szCs w:val="21"/>
          <w:u w:val="single"/>
        </w:rPr>
      </w:pPr>
      <w:r>
        <w:rPr>
          <w:rFonts w:hint="eastAsia" w:ascii="宋体" w:hAnsi="宋体" w:cs="仿宋_GB2312"/>
          <w:szCs w:val="21"/>
        </w:rPr>
        <w:t>传</w:t>
      </w:r>
      <w:r>
        <w:rPr>
          <w:rFonts w:ascii="宋体" w:hAnsi="宋体" w:cs="仿宋_GB2312"/>
          <w:szCs w:val="21"/>
        </w:rPr>
        <w:t xml:space="preserve"> </w:t>
      </w:r>
      <w:r>
        <w:rPr>
          <w:rFonts w:hint="eastAsia" w:ascii="宋体" w:hAnsi="宋体" w:cs="仿宋_GB2312"/>
          <w:szCs w:val="21"/>
        </w:rPr>
        <w:t>真：</w:t>
      </w:r>
      <w:r>
        <w:rPr>
          <w:rFonts w:hint="eastAsia" w:ascii="宋体" w:hAnsi="宋体" w:cs="仿宋_GB2312"/>
          <w:szCs w:val="21"/>
          <w:u w:val="single"/>
        </w:rPr>
        <w:t xml:space="preserve">                                         </w:t>
      </w:r>
    </w:p>
    <w:p>
      <w:pPr>
        <w:pStyle w:val="22"/>
        <w:ind w:firstLine="420" w:firstLineChars="200"/>
        <w:jc w:val="center"/>
        <w:rPr>
          <w:rFonts w:hint="eastAsia" w:hAnsi="宋体"/>
          <w:szCs w:val="21"/>
          <w:u w:val="single"/>
        </w:rPr>
      </w:pPr>
      <w:r>
        <w:rPr>
          <w:rFonts w:hint="eastAsia" w:hAnsi="宋体" w:cs="仿宋_GB2312"/>
          <w:szCs w:val="21"/>
        </w:rPr>
        <w:t xml:space="preserve">                                                       </w:t>
      </w:r>
      <w:r>
        <w:rPr>
          <w:rFonts w:hint="eastAsia" w:hAnsi="宋体" w:cs="仿宋_GB2312"/>
          <w:szCs w:val="21"/>
          <w:u w:val="single"/>
        </w:rPr>
        <w:t xml:space="preserve">     </w:t>
      </w:r>
      <w:r>
        <w:rPr>
          <w:rFonts w:hint="eastAsia" w:hAnsi="宋体" w:cs="仿宋_GB2312"/>
          <w:szCs w:val="21"/>
        </w:rPr>
        <w:t>年</w:t>
      </w:r>
      <w:r>
        <w:rPr>
          <w:rFonts w:hint="eastAsia" w:hAnsi="宋体" w:cs="仿宋_GB2312"/>
          <w:szCs w:val="21"/>
          <w:u w:val="single"/>
        </w:rPr>
        <w:t xml:space="preserve">      </w:t>
      </w:r>
      <w:r>
        <w:rPr>
          <w:rFonts w:hint="eastAsia" w:hAnsi="宋体" w:cs="仿宋_GB2312"/>
          <w:szCs w:val="21"/>
        </w:rPr>
        <w:t>月</w:t>
      </w:r>
      <w:r>
        <w:rPr>
          <w:rFonts w:hint="eastAsia" w:hAnsi="宋体" w:cs="仿宋_GB2312"/>
          <w:szCs w:val="21"/>
          <w:u w:val="single"/>
        </w:rPr>
        <w:t xml:space="preserve">      </w:t>
      </w:r>
      <w:r>
        <w:rPr>
          <w:rFonts w:hint="eastAsia" w:hAnsi="宋体" w:cs="仿宋_GB2312"/>
          <w:szCs w:val="21"/>
        </w:rPr>
        <w:t>日</w:t>
      </w:r>
    </w:p>
    <w:p>
      <w:pPr>
        <w:autoSpaceDE w:val="0"/>
        <w:autoSpaceDN w:val="0"/>
        <w:spacing w:line="320" w:lineRule="exact"/>
        <w:rPr>
          <w:rFonts w:ascii="宋体" w:hAnsi="宋体" w:cs="仿宋_GB2312"/>
          <w:szCs w:val="21"/>
        </w:rPr>
      </w:pPr>
      <w:r>
        <w:rPr>
          <w:rFonts w:hint="eastAsia" w:ascii="宋体" w:hAnsi="宋体" w:cs="仿宋_GB2312"/>
          <w:szCs w:val="21"/>
        </w:rPr>
        <w:br w:type="page"/>
      </w:r>
    </w:p>
    <w:p>
      <w:pPr>
        <w:pStyle w:val="5"/>
        <w:ind w:firstLine="137"/>
        <w:rPr>
          <w:rFonts w:ascii="Times New Roman"/>
        </w:rPr>
      </w:pPr>
      <w:bookmarkStart w:id="390" w:name="_Toc16994"/>
      <w:r>
        <w:rPr>
          <w:rFonts w:hint="eastAsia" w:ascii="Times New Roman"/>
        </w:rPr>
        <w:t>附件</w:t>
      </w:r>
      <w:r>
        <w:rPr>
          <w:rFonts w:hint="eastAsia" w:ascii="Times New Roman"/>
          <w:lang w:val="en-US" w:eastAsia="zh-CN"/>
        </w:rPr>
        <w:t>九</w:t>
      </w:r>
      <w:r>
        <w:rPr>
          <w:rFonts w:hint="eastAsia" w:ascii="Times New Roman"/>
        </w:rPr>
        <w:t>：管理规范和技术（规范）标准</w:t>
      </w:r>
      <w:bookmarkEnd w:id="390"/>
    </w:p>
    <w:p>
      <w:pPr>
        <w:pStyle w:val="22"/>
        <w:spacing w:line="360" w:lineRule="auto"/>
        <w:jc w:val="center"/>
        <w:rPr>
          <w:rFonts w:hAnsi="宋体"/>
          <w:b/>
          <w:szCs w:val="21"/>
        </w:rPr>
      </w:pPr>
      <w:r>
        <w:rPr>
          <w:rFonts w:hint="eastAsia"/>
        </w:rPr>
        <w:tab/>
      </w:r>
      <w:r>
        <w:rPr>
          <w:rFonts w:hint="eastAsia"/>
        </w:rPr>
        <w:tab/>
      </w:r>
      <w:r>
        <w:rPr>
          <w:rFonts w:hint="eastAsia"/>
        </w:rPr>
        <w:tab/>
      </w:r>
      <w:r>
        <w:rPr>
          <w:rFonts w:hint="eastAsia" w:hAnsi="宋体"/>
          <w:b/>
          <w:szCs w:val="21"/>
        </w:rPr>
        <w:t>管理规范和技术（规范）标准</w:t>
      </w:r>
    </w:p>
    <w:p>
      <w:pPr>
        <w:pStyle w:val="22"/>
        <w:ind w:firstLine="420" w:firstLineChars="200"/>
        <w:rPr>
          <w:rFonts w:hAnsi="宋体"/>
          <w:szCs w:val="21"/>
        </w:rPr>
      </w:pPr>
      <w:r>
        <w:rPr>
          <w:rFonts w:hAnsi="宋体"/>
          <w:szCs w:val="21"/>
        </w:rPr>
        <w:t>本项目须达到下列现行中华人民共和国以及省、自治区、直辖市或行业的</w:t>
      </w:r>
      <w:r>
        <w:rPr>
          <w:rFonts w:hint="eastAsia" w:hAnsi="宋体"/>
          <w:szCs w:val="21"/>
        </w:rPr>
        <w:t>有关法律法规、</w:t>
      </w:r>
      <w:r>
        <w:rPr>
          <w:rFonts w:hAnsi="宋体"/>
          <w:szCs w:val="21"/>
        </w:rPr>
        <w:t>标准、规范的要求，</w:t>
      </w:r>
      <w:r>
        <w:rPr>
          <w:rFonts w:hint="eastAsia" w:hAnsi="宋体"/>
          <w:szCs w:val="21"/>
        </w:rPr>
        <w:t>满足中国南方电网公司有限责任公司的管理制度和规定、</w:t>
      </w:r>
      <w:r>
        <w:rPr>
          <w:szCs w:val="21"/>
        </w:rPr>
        <w:t>技术标准</w:t>
      </w:r>
      <w:r>
        <w:rPr>
          <w:rFonts w:hint="eastAsia" w:hAnsi="宋体"/>
          <w:szCs w:val="21"/>
        </w:rPr>
        <w:t>，</w:t>
      </w:r>
      <w:r>
        <w:rPr>
          <w:rFonts w:hAnsi="宋体"/>
          <w:szCs w:val="21"/>
        </w:rPr>
        <w:t>至少应包括：</w:t>
      </w:r>
    </w:p>
    <w:tbl>
      <w:tblPr>
        <w:tblStyle w:val="42"/>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60" w:type="dxa"/>
            <w:noWrap w:val="0"/>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7019" w:type="dxa"/>
            <w:noWrap w:val="0"/>
            <w:vAlign w:val="center"/>
          </w:tcPr>
          <w:p>
            <w:pPr>
              <w:widowControl/>
              <w:jc w:val="center"/>
              <w:rPr>
                <w:rFonts w:ascii="宋体" w:hAnsi="宋体" w:cs="宋体"/>
                <w:b/>
                <w:bCs/>
                <w:kern w:val="0"/>
                <w:szCs w:val="21"/>
              </w:rPr>
            </w:pPr>
            <w:r>
              <w:rPr>
                <w:rFonts w:hint="eastAsia" w:ascii="宋体" w:hAnsi="宋体" w:cs="宋体"/>
                <w:b/>
                <w:bCs/>
                <w:kern w:val="0"/>
                <w:szCs w:val="21"/>
              </w:rPr>
              <w:t>名称</w:t>
            </w:r>
          </w:p>
        </w:tc>
        <w:tc>
          <w:tcPr>
            <w:tcW w:w="1907" w:type="dxa"/>
            <w:noWrap w:val="0"/>
            <w:vAlign w:val="center"/>
          </w:tcPr>
          <w:p>
            <w:pPr>
              <w:widowControl/>
              <w:jc w:val="center"/>
              <w:rPr>
                <w:rFonts w:ascii="宋体" w:hAnsi="宋体" w:cs="宋体"/>
                <w:b/>
                <w:bCs/>
                <w:kern w:val="0"/>
                <w:szCs w:val="21"/>
              </w:rPr>
            </w:pPr>
            <w:r>
              <w:rPr>
                <w:rFonts w:hint="eastAsia" w:ascii="宋体" w:hAnsi="宋体" w:cs="宋体"/>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widowControl/>
              <w:jc w:val="center"/>
              <w:rPr>
                <w:rFonts w:ascii="宋体" w:hAnsi="宋体" w:cs="宋体"/>
                <w:b/>
                <w:bCs/>
                <w:kern w:val="0"/>
                <w:szCs w:val="21"/>
              </w:rPr>
            </w:pPr>
            <w:r>
              <w:rPr>
                <w:rFonts w:hint="eastAsia" w:ascii="宋体" w:hAnsi="宋体" w:cs="宋体"/>
                <w:b/>
                <w:bCs/>
                <w:kern w:val="0"/>
                <w:szCs w:val="21"/>
              </w:rPr>
              <w:t>国家法律、行政法规、规章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textAlignment w:val="center"/>
              <w:rPr>
                <w:rFonts w:ascii="宋体" w:hAnsi="宋体" w:cs="宋体"/>
                <w:kern w:val="0"/>
                <w:szCs w:val="21"/>
              </w:rPr>
            </w:pPr>
            <w:r>
              <w:rPr>
                <w:rFonts w:hint="eastAsia" w:ascii="宋体" w:hAnsi="宋体" w:cs="宋体"/>
                <w:kern w:val="0"/>
                <w:szCs w:val="21"/>
              </w:rPr>
              <w:t>1</w:t>
            </w:r>
          </w:p>
        </w:tc>
        <w:tc>
          <w:tcPr>
            <w:tcW w:w="7019" w:type="dxa"/>
            <w:noWrap w:val="0"/>
            <w:vAlign w:val="center"/>
          </w:tcPr>
          <w:p>
            <w:pPr>
              <w:widowControl/>
              <w:jc w:val="left"/>
              <w:textAlignment w:val="center"/>
              <w:rPr>
                <w:rFonts w:ascii="宋体" w:hAnsi="宋体" w:cs="宋体"/>
                <w:kern w:val="0"/>
                <w:szCs w:val="21"/>
              </w:rPr>
            </w:pPr>
            <w:r>
              <w:rPr>
                <w:rFonts w:hint="eastAsia" w:ascii="宋体" w:hAnsi="宋体" w:cs="宋体"/>
                <w:kern w:val="0"/>
                <w:szCs w:val="21"/>
              </w:rPr>
              <w:t>《中华人民共和国建筑法》 (主席令</w:t>
            </w:r>
            <w:r>
              <w:rPr>
                <w:rFonts w:hint="eastAsia" w:ascii="宋体" w:hAnsi="宋体" w:cs="宋体"/>
                <w:kern w:val="0"/>
                <w:szCs w:val="21"/>
                <w:lang w:val="en-US" w:eastAsia="zh-CN"/>
              </w:rPr>
              <w:t>第29</w:t>
            </w:r>
            <w:r>
              <w:rPr>
                <w:rFonts w:hint="eastAsia" w:ascii="宋体" w:hAnsi="宋体" w:cs="宋体"/>
                <w:kern w:val="0"/>
                <w:szCs w:val="21"/>
              </w:rPr>
              <w:t>号，第十三届全国人民代表大会常务委员会第十次会议修改，2019年4月23日施行)</w:t>
            </w:r>
          </w:p>
        </w:tc>
        <w:tc>
          <w:tcPr>
            <w:tcW w:w="1907" w:type="dxa"/>
            <w:noWrap w:val="0"/>
            <w:vAlign w:val="center"/>
          </w:tcPr>
          <w:p>
            <w:pPr>
              <w:widowControl/>
              <w:jc w:val="center"/>
              <w:textAlignment w:val="center"/>
              <w:rPr>
                <w:rFonts w:ascii="宋体" w:hAnsi="宋体" w:cs="宋体"/>
                <w:kern w:val="0"/>
                <w:szCs w:val="21"/>
              </w:rPr>
            </w:pPr>
            <w:r>
              <w:rPr>
                <w:rFonts w:hint="eastAsia" w:ascii="宋体" w:hAnsi="宋体" w:cs="宋体"/>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7019" w:type="dxa"/>
            <w:noWrap w:val="0"/>
            <w:vAlign w:val="center"/>
          </w:tcPr>
          <w:p>
            <w:pPr>
              <w:widowControl/>
              <w:jc w:val="left"/>
              <w:textAlignment w:val="center"/>
              <w:rPr>
                <w:rFonts w:ascii="宋体" w:hAnsi="宋体" w:cs="宋体"/>
                <w:kern w:val="0"/>
                <w:szCs w:val="21"/>
              </w:rPr>
            </w:pPr>
            <w:r>
              <w:rPr>
                <w:rFonts w:hint="eastAsia" w:ascii="宋体" w:hAnsi="宋体" w:cs="宋体"/>
                <w:kern w:val="0"/>
                <w:szCs w:val="21"/>
              </w:rPr>
              <w:t>《中华人民共和国</w:t>
            </w:r>
            <w:r>
              <w:rPr>
                <w:rFonts w:hint="eastAsia" w:ascii="宋体" w:hAnsi="宋体" w:cs="宋体"/>
                <w:kern w:val="0"/>
                <w:szCs w:val="21"/>
                <w:lang w:val="en-US" w:eastAsia="zh-CN"/>
              </w:rPr>
              <w:t>民法典</w:t>
            </w:r>
            <w:r>
              <w:rPr>
                <w:rFonts w:hint="eastAsia" w:ascii="宋体" w:hAnsi="宋体" w:cs="宋体"/>
                <w:kern w:val="0"/>
                <w:szCs w:val="21"/>
              </w:rPr>
              <w:t>》（主席令</w:t>
            </w:r>
            <w:r>
              <w:rPr>
                <w:rFonts w:hint="eastAsia" w:ascii="宋体" w:hAnsi="宋体" w:cs="宋体"/>
                <w:kern w:val="0"/>
                <w:szCs w:val="21"/>
                <w:lang w:val="en-US" w:eastAsia="zh-CN"/>
              </w:rPr>
              <w:t>第</w:t>
            </w:r>
            <w:r>
              <w:rPr>
                <w:rFonts w:hint="default" w:ascii="宋体" w:hAnsi="宋体" w:cs="宋体"/>
                <w:kern w:val="0"/>
                <w:szCs w:val="21"/>
                <w:lang w:val="en-US"/>
              </w:rPr>
              <w:t>45</w:t>
            </w:r>
            <w:r>
              <w:rPr>
                <w:rFonts w:hint="eastAsia" w:ascii="宋体" w:hAnsi="宋体" w:cs="宋体"/>
                <w:kern w:val="0"/>
                <w:szCs w:val="21"/>
              </w:rPr>
              <w:t>号，</w:t>
            </w:r>
            <w:r>
              <w:rPr>
                <w:rFonts w:hint="default" w:ascii="宋体" w:hAnsi="宋体" w:cs="宋体"/>
                <w:kern w:val="0"/>
                <w:szCs w:val="21"/>
                <w:lang w:val="en-US"/>
              </w:rPr>
              <w:t>2021</w:t>
            </w:r>
            <w:r>
              <w:rPr>
                <w:rFonts w:hint="eastAsia" w:ascii="宋体" w:hAnsi="宋体" w:cs="宋体"/>
                <w:kern w:val="0"/>
                <w:szCs w:val="21"/>
              </w:rPr>
              <w:t>年</w:t>
            </w:r>
            <w:r>
              <w:rPr>
                <w:rFonts w:hint="default" w:ascii="宋体" w:hAnsi="宋体" w:cs="宋体"/>
                <w:kern w:val="0"/>
                <w:szCs w:val="21"/>
                <w:lang w:val="en-US"/>
              </w:rPr>
              <w:t>1</w:t>
            </w:r>
            <w:r>
              <w:rPr>
                <w:rFonts w:hint="eastAsia" w:ascii="宋体" w:hAnsi="宋体" w:cs="宋体"/>
                <w:kern w:val="0"/>
                <w:szCs w:val="21"/>
              </w:rPr>
              <w:t>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7019" w:type="dxa"/>
            <w:noWrap w:val="0"/>
            <w:vAlign w:val="center"/>
          </w:tcPr>
          <w:p>
            <w:pPr>
              <w:widowControl/>
              <w:jc w:val="left"/>
              <w:textAlignment w:val="center"/>
              <w:rPr>
                <w:rFonts w:ascii="宋体" w:hAnsi="宋体" w:cs="宋体"/>
                <w:kern w:val="0"/>
                <w:szCs w:val="21"/>
              </w:rPr>
            </w:pPr>
            <w:r>
              <w:rPr>
                <w:rFonts w:hint="eastAsia" w:ascii="宋体" w:hAnsi="宋体" w:cs="宋体"/>
                <w:kern w:val="0"/>
                <w:szCs w:val="21"/>
              </w:rPr>
              <w:t>《中华人民共和国安全生产法》(主席令</w:t>
            </w:r>
            <w:r>
              <w:rPr>
                <w:rFonts w:hint="eastAsia" w:ascii="宋体" w:hAnsi="宋体" w:cs="宋体"/>
                <w:kern w:val="0"/>
                <w:szCs w:val="21"/>
                <w:lang w:val="en-US" w:eastAsia="zh-CN"/>
              </w:rPr>
              <w:t>第88</w:t>
            </w:r>
            <w:r>
              <w:rPr>
                <w:rFonts w:hint="eastAsia" w:ascii="宋体" w:hAnsi="宋体" w:cs="宋体"/>
                <w:kern w:val="0"/>
                <w:szCs w:val="21"/>
              </w:rPr>
              <w:t>号，2021年9月1日施行)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7019" w:type="dxa"/>
            <w:noWrap w:val="0"/>
            <w:vAlign w:val="center"/>
          </w:tcPr>
          <w:p>
            <w:pPr>
              <w:widowControl/>
              <w:jc w:val="left"/>
              <w:textAlignment w:val="center"/>
              <w:rPr>
                <w:rFonts w:ascii="宋体" w:hAnsi="宋体" w:cs="宋体"/>
                <w:kern w:val="0"/>
                <w:szCs w:val="21"/>
              </w:rPr>
            </w:pPr>
            <w:r>
              <w:rPr>
                <w:rFonts w:hint="eastAsia" w:ascii="宋体" w:hAnsi="宋体" w:cs="宋体"/>
                <w:kern w:val="0"/>
                <w:szCs w:val="21"/>
              </w:rPr>
              <w:t>《中华人民共和国招标投标法》(主席令第86号，2017年12月28日起施行)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7019" w:type="dxa"/>
            <w:noWrap w:val="0"/>
            <w:vAlign w:val="center"/>
          </w:tcPr>
          <w:p>
            <w:pPr>
              <w:widowControl/>
              <w:jc w:val="left"/>
              <w:textAlignment w:val="center"/>
              <w:rPr>
                <w:rFonts w:ascii="宋体" w:hAnsi="宋体" w:cs="宋体"/>
                <w:kern w:val="0"/>
                <w:szCs w:val="21"/>
              </w:rPr>
            </w:pPr>
            <w:r>
              <w:rPr>
                <w:rFonts w:hint="eastAsia" w:ascii="宋体" w:hAnsi="宋体" w:cs="宋体"/>
                <w:kern w:val="0"/>
                <w:szCs w:val="21"/>
              </w:rPr>
              <w:t>《中华人民共和国环境保护法》（主席令</w:t>
            </w:r>
            <w:r>
              <w:rPr>
                <w:rFonts w:hint="eastAsia" w:ascii="宋体" w:hAnsi="宋体" w:cs="宋体"/>
                <w:kern w:val="0"/>
                <w:szCs w:val="21"/>
                <w:lang w:val="en-US" w:eastAsia="zh-CN"/>
              </w:rPr>
              <w:t>第</w:t>
            </w:r>
            <w:r>
              <w:rPr>
                <w:rFonts w:hint="eastAsia" w:ascii="宋体" w:hAnsi="宋体" w:cs="宋体"/>
                <w:kern w:val="0"/>
                <w:szCs w:val="21"/>
              </w:rPr>
              <w:t>9号，2015年1月1日实施）</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《中华人民共和国电力法》（主席令第</w:t>
            </w:r>
            <w:r>
              <w:rPr>
                <w:rFonts w:hint="eastAsia" w:ascii="宋体" w:hAnsi="宋体" w:cs="宋体"/>
                <w:color w:val="000000"/>
                <w:kern w:val="0"/>
                <w:szCs w:val="21"/>
                <w:lang w:val="en-US" w:eastAsia="zh-CN"/>
              </w:rPr>
              <w:t>23</w:t>
            </w:r>
            <w:r>
              <w:rPr>
                <w:rFonts w:hint="eastAsia" w:ascii="宋体" w:hAnsi="宋体" w:cs="宋体"/>
                <w:color w:val="000000"/>
                <w:kern w:val="0"/>
                <w:szCs w:val="21"/>
              </w:rPr>
              <w:t>号,,第十三届全国人民代表大会常务委员会第七次会议第三次修订，2018年12月29日施行）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《中华人民共和国劳动法》（主席令第2</w:t>
            </w:r>
            <w:r>
              <w:rPr>
                <w:rFonts w:hint="eastAsia" w:ascii="宋体" w:hAnsi="宋体" w:cs="宋体"/>
                <w:color w:val="000000"/>
                <w:kern w:val="0"/>
                <w:szCs w:val="21"/>
                <w:lang w:val="en-US" w:eastAsia="zh-CN"/>
              </w:rPr>
              <w:t>4</w:t>
            </w:r>
            <w:r>
              <w:rPr>
                <w:rFonts w:hint="eastAsia" w:ascii="宋体" w:hAnsi="宋体" w:cs="宋体"/>
                <w:color w:val="000000"/>
                <w:kern w:val="0"/>
                <w:szCs w:val="21"/>
              </w:rPr>
              <w:t xml:space="preserve">号，第十三届全国人民代表大会常务委员会第七次会议修订，2018年12月29日施行) </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《中华人民共和国劳动合同法》（主席令第73号，第十一届全国人民代表大会常务委员会第三十次会议修订2013年7月1日起施行) </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《中华人民共和国水土保持法》（主席令</w:t>
            </w:r>
            <w:r>
              <w:rPr>
                <w:rFonts w:hint="eastAsia" w:ascii="宋体" w:hAnsi="宋体" w:cs="宋体"/>
                <w:color w:val="000000"/>
                <w:kern w:val="0"/>
                <w:szCs w:val="21"/>
                <w:lang w:val="en-US" w:eastAsia="zh-CN"/>
              </w:rPr>
              <w:t>第</w:t>
            </w:r>
            <w:r>
              <w:rPr>
                <w:rFonts w:hint="eastAsia" w:ascii="宋体" w:hAnsi="宋体" w:cs="宋体"/>
                <w:color w:val="000000"/>
                <w:kern w:val="0"/>
                <w:szCs w:val="21"/>
              </w:rPr>
              <w:t>39号，2011年3月1日施行）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《建设工程质量管理条例》（国务院令第279号，2000年1月30日发布，2019年修订，国务院令第714号，2019年4月23日施行）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《建设工程安全生产管理条例》（国务院令第393号，2004年2月1日起施行）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《建设项目环境保护管理条例》（国务院令第253号，1998年11月29日发布，2017年修订，国务院令第682号,2017年10月1日施行）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《建设工程勘察设计管理条例》(国务院令第293号，2000年9月20日发布，2017年修订，国务院令第687号，2017年10月7日施行）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《生产安全事故报告和调查处理条例》(国务院令第493号，2007年6月1日施行)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《电力安全事故应急处置和调查处理条例》(国务院令第599号，2011年9月1日施行)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《中华人民共和国招标投标法实施条例》(国务院令第613号，2012年2月1日发布，2019年修订，国务院令第709号，2019年3月2日施行）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《中共中央纪委关于严格禁止利用职务上的便利谋取不正当利益的若干规定》(2007年6月8日发布)</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《国务院关于特大安全事故行政责任追究的规定》（国务院令第302号，2001年4月21日起施行)）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中华人民共和国固体废物污染环境防治法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（主席令第23号，第十三届全国人民代表大会常务委员会第十七次会议修订，2020年9月1日施行）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中华人民共和国大气污染防治法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（主席令第31号，第十三届全国人民代表大会常务委员会第六次会议修订，2018年10月26日施行）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中华人民共和国计量法</w:t>
            </w:r>
            <w:r>
              <w:rPr>
                <w:rFonts w:hint="eastAsia" w:ascii="宋体" w:hAnsi="宋体" w:cs="宋体"/>
                <w:color w:val="000000"/>
                <w:kern w:val="0"/>
                <w:szCs w:val="21"/>
                <w:lang w:eastAsia="zh-CN"/>
              </w:rPr>
              <w:t>》（主席令第26号，第十三届全国人民代表大会常务委员会第六次会议修订，2018年10月26日起施行</w:t>
            </w:r>
            <w:r>
              <w:rPr>
                <w:rFonts w:hint="eastAsia" w:ascii="宋体" w:hAnsi="宋体" w:cs="宋体"/>
                <w:color w:val="000000"/>
                <w:kern w:val="0"/>
                <w:szCs w:val="21"/>
              </w:rPr>
              <w:t>）</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《评标委员会和评标方法暂行规定》（七部委12号令）</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《工程建设项目货物招标投标办法》（七部委27号令）</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《工程建设项目施工招标投标办法》（七部委30号令，九部委23号令修订，2013年5月1日施行）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《工程建设项目勘察设计招标投标办法》（八部委2号令，九部委23号令修订，2013年5月1日施行）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《关于废止和修改部分招标投标规章和规范性文件的决定》（九部委第23号令）</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《电子招标投标办法》（八部委20号令）</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《电力建设工程施工安全监督管理办法》（国家发展和改革委员会令第28号）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《建筑业企业资质管理规定》（住建部令第22号,2015年3月1日起发布，2018年修订，住建部令第45号，2018年12月22日施行）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《房屋建筑工程和市政基础设施工程实行见证取样和送检的规定》(建建[2000]211号)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《施工总承包企业特级资质标准》（建市[2007]72号）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《关于进一步加强和完善建筑劳务管理工作的指导意见》（建市[2014]112号）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《建筑工程施工发包与承包违法行为认定查处管理办法》（建市规〔2019〕1号）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《建筑业企业资质标准》（建市(2014)159号，建市(2016)226号修改，2016年11月1日施行）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《建设单位项目负责人质量安全责任八项规定（试行）》及《建筑工程项目总监理工程师质量安全责任六项规定（试行）》(建市[2015]35号)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《建设部关于加强建筑意外伤害保险工作的指导意见》（建质[2003]107号）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《建设工程质量责任主体和有关机构不良记录管理办法》（试行）（建质[2003]113号）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《建筑施工人员个人劳动保护用品使用管理暂行规定》（建质[2007]255号）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《建筑施工特种作业人员管理规定》(建质[2008]75号)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《建筑施工企业安全生产管理机构设置及专职安全生产管理人员配备办法》（建质[2008]91号）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《建筑施工企业负责人及项目负责人施工现场带班暂行办法》(建质[2011]111号)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《房屋建筑和市政基础设施工程竣工验收规定》（建质[2013]171号）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《建筑施工安全生产标准化考评暂行办法》（建质[2014]111号）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《建筑施工项目经理质量安全责任十项规定（试行）》（建质[2014]123号）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《建筑工程五方责任主体项目负责人质量终身责任追究暂行办法》（建质[2014]124号）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《房屋建筑和市政基础设施工程施工安全监督规定》（建质[2014]153号）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《房屋建筑和市政基础设施工程施工安全监督工作规程》（建质[2014]154号）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《关于严格落实建筑工程质量终身责任承诺制的通知》（建办质[2014]44号）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《房屋建筑工程质量保修办法》(建设部令,第80号)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《国家优质工程奖评选办法》（中施企协字〔20</w:t>
            </w:r>
            <w:r>
              <w:rPr>
                <w:rFonts w:hint="eastAsia" w:ascii="宋体" w:hAnsi="宋体" w:cs="宋体"/>
                <w:color w:val="000000"/>
                <w:kern w:val="0"/>
                <w:szCs w:val="21"/>
                <w:lang w:val="en-US" w:eastAsia="zh-CN"/>
              </w:rPr>
              <w:t>20</w:t>
            </w:r>
            <w:r>
              <w:rPr>
                <w:rFonts w:hint="eastAsia" w:ascii="宋体" w:hAnsi="宋体" w:cs="宋体"/>
                <w:color w:val="000000"/>
                <w:kern w:val="0"/>
                <w:szCs w:val="21"/>
              </w:rPr>
              <w:t>〕</w:t>
            </w:r>
            <w:r>
              <w:rPr>
                <w:rFonts w:hint="eastAsia" w:ascii="宋体" w:hAnsi="宋体" w:cs="宋体"/>
                <w:color w:val="000000"/>
                <w:kern w:val="0"/>
                <w:szCs w:val="21"/>
                <w:lang w:val="en-US" w:eastAsia="zh-CN"/>
              </w:rPr>
              <w:t>54</w:t>
            </w:r>
            <w:r>
              <w:rPr>
                <w:rFonts w:hint="eastAsia" w:ascii="宋体" w:hAnsi="宋体" w:cs="宋体"/>
                <w:color w:val="000000"/>
                <w:kern w:val="0"/>
                <w:szCs w:val="21"/>
              </w:rPr>
              <w:t>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《实施工程建设强制性标准监督规定》(房和城乡建设部令第52号）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《建设工程勘察设计资质管理规定》（建设部令第160号，住建部令第45号修改，2018年12月22日施行）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《工程监理企业资质管理规定》（建设部令第158号，住建部令第45号修改，2018年12月22日施行）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《国家能源局综合司关于开展电力建设工程落实施工方案专项行动的通知》国能综安全［2015］163 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《国家能源局关于加强电力工程质量监督工作的通知》（国能安全﹙2014）206号）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《国家能源局关于修订印发火力发电、输变电、陆上风力发电、光伏发电建设工程质量监督检查大纲的通知(2023) 》（国能发安全规〔2023〕41号）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《国家能源局关于印发电力工程质量监督体系调整方案的通知》（国能电力（2012）306号）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关于印发《电力工程质量监督实施管理程序（试行）》的通知(中电联质监〔2012〕437号)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《特种作业人员安全技术培训考核管理规定》(国家安全监督总局第80号令修订，2015年7月1日实施)</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《企业安全生产应急管理九条规定》(国家安全监督总局第74号令，2015年1月30日实施)</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《防止电力生产事故的二十五项重点要求</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2023年版</w:t>
            </w:r>
            <w:r>
              <w:rPr>
                <w:rFonts w:hint="eastAsia" w:ascii="宋体" w:hAnsi="宋体" w:cs="宋体"/>
                <w:color w:val="000000"/>
                <w:kern w:val="0"/>
                <w:szCs w:val="21"/>
                <w:lang w:eastAsia="zh-CN"/>
              </w:rPr>
              <w:t>）</w:t>
            </w:r>
            <w:r>
              <w:rPr>
                <w:rFonts w:hint="eastAsia" w:ascii="宋体" w:hAnsi="宋体" w:cs="宋体"/>
                <w:color w:val="000000"/>
                <w:kern w:val="0"/>
                <w:szCs w:val="21"/>
              </w:rPr>
              <w:t>》（国能安全[20</w:t>
            </w:r>
            <w:r>
              <w:rPr>
                <w:rFonts w:hint="eastAsia" w:ascii="宋体" w:hAnsi="宋体" w:cs="宋体"/>
                <w:color w:val="000000"/>
                <w:kern w:val="0"/>
                <w:szCs w:val="21"/>
                <w:lang w:val="en-US" w:eastAsia="zh-CN"/>
              </w:rPr>
              <w:t>23</w:t>
            </w:r>
            <w:r>
              <w:rPr>
                <w:rFonts w:hint="eastAsia" w:ascii="宋体" w:hAnsi="宋体" w:cs="宋体"/>
                <w:color w:val="000000"/>
                <w:kern w:val="0"/>
                <w:szCs w:val="21"/>
              </w:rPr>
              <w:t>]</w:t>
            </w:r>
            <w:r>
              <w:rPr>
                <w:rFonts w:hint="eastAsia" w:ascii="宋体" w:hAnsi="宋体" w:cs="宋体"/>
                <w:color w:val="000000"/>
                <w:kern w:val="0"/>
                <w:szCs w:val="21"/>
                <w:lang w:val="en-US" w:eastAsia="zh-CN"/>
              </w:rPr>
              <w:t>22</w:t>
            </w:r>
            <w:r>
              <w:rPr>
                <w:rFonts w:hint="eastAsia" w:ascii="宋体" w:hAnsi="宋体" w:cs="宋体"/>
                <w:color w:val="000000"/>
                <w:kern w:val="0"/>
                <w:szCs w:val="21"/>
              </w:rPr>
              <w:t>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《国家电力监管委员会令》（第5号）--《电力二次系统安全防护规定》</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《承装（修、试）电力设施许可证管理办法》（国家发展和改革委员会令第36号）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《危险性较大的分部分项工程安全管理规定》(中华人民共和国住房和城乡建设部令第37号，建设部令第47号修改，2019年3月13日施行)</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必须招标的工程项目规定</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（国家发展和改革委员会令第16号）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必须招标的基础设施和公用事业项目范围规定</w:t>
            </w:r>
            <w:r>
              <w:rPr>
                <w:rFonts w:hint="eastAsia" w:ascii="宋体" w:hAnsi="宋体" w:cs="宋体"/>
                <w:color w:val="000000"/>
                <w:kern w:val="0"/>
                <w:szCs w:val="21"/>
                <w:lang w:eastAsia="zh-CN"/>
              </w:rPr>
              <w:t>》</w:t>
            </w:r>
            <w:r>
              <w:rPr>
                <w:rFonts w:hint="eastAsia" w:ascii="宋体" w:hAnsi="宋体" w:cs="宋体"/>
                <w:color w:val="000000"/>
                <w:kern w:val="0"/>
                <w:szCs w:val="21"/>
              </w:rPr>
              <w:t>（发改法规规[2018]843号）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招标公告和公示信息发布管理办法</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（国家发展和改革委员会令第10号）</w:t>
            </w:r>
          </w:p>
        </w:tc>
        <w:tc>
          <w:tcPr>
            <w:tcW w:w="190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0" w:type="dxa"/>
            <w:noWrap w:val="0"/>
            <w:vAlign w:val="center"/>
          </w:tcPr>
          <w:p>
            <w:pPr>
              <w:jc w:val="center"/>
              <w:rPr>
                <w:rFonts w:ascii="宋体" w:hAnsi="宋体" w:cs="宋体"/>
                <w:szCs w:val="21"/>
              </w:rPr>
            </w:pPr>
          </w:p>
        </w:tc>
        <w:tc>
          <w:tcPr>
            <w:tcW w:w="7019" w:type="dxa"/>
            <w:noWrap w:val="0"/>
            <w:vAlign w:val="center"/>
          </w:tcPr>
          <w:p>
            <w:pPr>
              <w:widowControl/>
              <w:jc w:val="center"/>
              <w:rPr>
                <w:rFonts w:ascii="宋体" w:hAnsi="宋体" w:cs="宋体"/>
                <w:b/>
                <w:kern w:val="0"/>
                <w:szCs w:val="21"/>
              </w:rPr>
            </w:pPr>
            <w:r>
              <w:rPr>
                <w:rFonts w:hint="eastAsia" w:ascii="宋体" w:hAnsi="宋体" w:cs="宋体"/>
                <w:b/>
                <w:kern w:val="0"/>
                <w:szCs w:val="21"/>
              </w:rPr>
              <w:t>国家、行业设计规范和技术标准</w:t>
            </w:r>
          </w:p>
        </w:tc>
        <w:tc>
          <w:tcPr>
            <w:tcW w:w="1907" w:type="dxa"/>
            <w:noWrap w:val="0"/>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《电力安全工作规程》发电厂和变电所电气部分、电力线路部分（GB 26860-2011、GB 26859-2011）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《电力建设安全工作规程》电力线路；变电站(DL 5009.2-2013；DL 5009.3-2013)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《20kV及以下变电所设计规范》GB 50053-2013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《10kV及以下架空配电线路设计技术规程》DL/T 5220-2005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《110kV～750kV架空输电线路设计规范》GB 50545-2010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《110kV～750kV架空输电线路施工及验收规范》GB 50233-2014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《110-750kV架空送电线路工程施工质量检验及评定规程》DL/T 5168-2016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《110kV及以上送变电工程启动及竣工验收规程》DL/T 782-2001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《3～110kV高压配电装置设计规范》GB 50060-2008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《35kV～110kV变电站设计规范》GB 50059-2011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《66kV及以下架空电力线路设计规范》  GB 50061-2010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电网建设项目文件归档与档案整理规范DL/T1363-2014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《变电站建筑结构设计技术规程》DL/T 5457-2012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《变电站总布置设计技术规程》DL/T 5056-2007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《110kV～750kV架空输电线路张力架线施工工艺导则》DL/T 5343-2018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《城市电力电缆线路设计技术规定》DL/T 5221-2016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《城市工程管线综合规划规范》  GB 50289-2016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《导体和电器选择设计技术规定》DL/T 5222-2005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《低合金高强度结构钢》GB/T 1591-2018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《低压配电设计规范》GB 50054-2011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《地下防水工程质量验收规范》GB 50208-2011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《地下工程防水技术规范》GB 50108-2008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《电工圆铝线》GB/T 3955-2009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《电工圆铜线》GB/T3953-2009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《电缆的导体》GB/T 3956-2008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《电缆外护层》（GB /T 2952.1-2008、GB /T 2952.2-2008、GB /T 2952.3-2008）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《电缆载流量计算》（JB/T 10181.11-2014、JB/T 10181.12-2014、JB/T 10181.21-2014、JB/T 10181.22-2014、JB/T 10181.31-2014、JB/T 10181.32-2014）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《电力工程直流电源系统设计技术规程》 DL/T 5044-2014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《电力建设施工及验收技术规范》DJ 57-1979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《电力设备典型消防规程》DL 5027-2015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《电力设施抗震设计规范》GB 50260-2013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《电力系统安全稳定导则》DL 755-2001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《电力系统设计技术规程》DL/T 5429-2009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《电力系统设计内容深度规定》DL/T 5444-2010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高压电器施工及验收规范》GB 50147-2010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电力变压器、油浸电抗器、互感器施工及验收规范》GB 50148-2010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母线装置施工及验收规范》GB 50149-2010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电气设备交接试验标准》GB50150-2016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《电气装置安装工程 电缆线路施工及验收规范 》GB50168-2018 </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接地装置施工及验收规范》GB 50169-2016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旋转电机施工及验收规范》 GB 50170-2018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盘、柜及二次回路接线施工及验收规范》GB 50171-2012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蓄电池施工及验收规范》GB 50172-2012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66kV及以下架空电力线路施工及验收规范》GB 50173-2014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低压电器施工及验收规范》GB 50254-2014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电力变流设备施工及验收规范》GB 50255-2014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起重机电气装置施工及验收规范》GB 50256-2014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爆炸和火灾危险环境电气装置施工及验收规范》GB 50257-2014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串联电容器补偿装置施工及验收规范》GB 51049-2014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《1000kV系统电气装置安装工程电气设备交接试验标准》GB/T 50832-2013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电气装置安装工程 质量检验及评定规程 DL/T 5161.1-2018～DL/T 5161.15-2018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《电力装置电测量仪表装置设计规范》  GB/T50063-2017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《电力装置的继电保护和自动装置设计规范》  GB/T50062－2008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《电线电缆电性能试验方法》（GB/T 3048.1-2007、GB/T 3048.2-2007、GB/T 3048.3-2007、GB/T 3048.4-2007、GB/T 3048.5-2007、GB/T 3048.7-2007、GB/T 3048.8-2007、GB/T 3048.9-2007、GB/T 3048.10-2007、GB/T 3048.11-2007、GB/T 3048.12-2007）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《电线电缆交货盘》JB/T 8137.1-4-2013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《电线电缆识别标志方法》GB/T6995.1-5-2008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《额定电压110kV（Um=126kV）交联聚乙烯绝缘电力电缆及其附件》（GB/T 11017.1-2014、GB/T 11017.2-2014、GB/T 11017.3-2014）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《额定电压220kV(Um=252kV)交联聚乙烯绝缘电力电缆及其附件》GB/Z 18890.1-2015、GB/Z 18890.2-2015、GB/Z 18890.3-2015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《额定电压1kV(Um=1.2kV)到35kV(Um=40.5kV)挤包绝缘电力电缆及附件》GB/T 12706-2008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《额定电压6kV(Um=7.2kV)到35kV(Um=40.5kV)电力电缆附件试验方法》GB/T 18889-2002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《非合金钢及细晶粒钢焊条》GB/T 5117-2012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《钢结构高强度螺栓连接技术规程》JGJ 82-2011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《钢结构工程施工质量验收规范》  GB 50205-2001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《钢筋焊接及验收规程》JGJ 18-2012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《钢结构设计标准》GB 50017-2017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《混凝土结构设计规范》 GB 50010-2010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《高压电缆选用导则》DL/T 401-2017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《高压绝缘子瓷件技术条件》GB/T 772-2005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《工程测量规范(附条文说明)》GB 50026-2007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《供配电系统设计规范》  GB50052-2009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《灌注桩基础技术规程(附条文说明)》YSJ 212-1992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《混凝土结构工程施工质量验收规范》GB 50204-2015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《混凝土强度检验评定标准》GB/T 50107-2010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《混凝土质量控制标准》GB 50164-2011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《火力发电厂、变电站二次接线设计技术规程 》DL/T 5136-2012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《火力发电厂与变电站设计防火标准》GB 50229-2019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《继电保护和安全自动装置技术规程》GB/T 14285-2006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《架空电力线路内爆压接施工工艺规程》SDJ 277-1990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《架空送电线路钢管杆设计技术规定》(DL/T5130一2001)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《电力工程电缆设计标准》GB50217-2018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《建设工程监理规范》GB/T50319-2013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《电力建设工程监理规范》(DL/T 5434-2009)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《建筑工程施工质量验收统一标准》 GB 50300-2013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《工程建设标准强制性条文》（房屋建筑部分）（2013版）</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《建设工程项目管理规范》 GB/T 50326-2017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《建设工程文件归档规范》GB/T 50328-2014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《建设项目档案管理规范》DA/T28-2018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《建筑基桩检测技术规范》JGJ 106-2014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《建筑地基处理技术规范》JGJ 79-2012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《建筑地基基础设计规范》GB 50027-2011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《建筑地基基础工程施工质量验收标准》GB 50202-2018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《建筑地面工程施工质量验收规范》 GB 50209-2010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《建筑电气工程施工质量验收规范》GB50303-2015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 50303-2015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《建筑钢结构防火设计规程（附条文说明）》DG/TJ 08-20008-2000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《建筑给水排水及采暖工程施工质量验收规范》GB50242-2002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《建筑工程抗震设防分类标准》GB 50223-2008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5009-2012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《建筑结构检测技术标准》GB/T 50344-2004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《建筑抗震设计规范（附条文说明）》GB 50011-2010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《建筑气象参数标准》JGJ 35-1987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《建筑设计防火规范》GB 50016-2014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《建筑桩基技术规范》、《建筑地基基础设计规范》JGJ94-2008、GB50007-2011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《建筑装饰装修工程质量验收规范》GB 50210-2018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《建设用卵石、碎石》GB/T 14685-2011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《建设用砂》GB/T 14684-2011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《交流110kV交联聚乙烯绝缘电缆及其附件订货技术规范》DL 509-1993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《民用建筑电气设计规范(附条文说明[另册])》 JGJ 16-2008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《木结构工程施工质量验收规范》 GB 50206-2012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《普通混凝土力学性能试验方法标准》GB/T 50081-2002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《普通混凝土配合比设计规程》JGJ 55-2011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《普通混凝土用砂、石质量及检验方法标准》JGJ 52-2006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《砌体结构工程施工质量验收规范 》GB 50203-2011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《砌体结构设计规范》GB 50003-2011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《砌筑砂浆配合比设计规程》JGJ/T 98-2010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《热强钢焊条》GB/T 5118-2012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《输变电工程架空导线及地线液压压接工艺规程》DL/T 5285-2018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《架空输电线路施工机具基本技术要求》DL/T 875-2016 </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《输电线路铁塔制造技术条件》GB/T 2694-2018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《水泥混凝土路面施工及验收规范》 GBJ 97-1987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《碳素结构钢》 GB/T 700-2006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《通风与空调工程施工质量验收规范》GB50243-2016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《通用用电设备配电设计规范》 GB 50055-2011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《土方与爆破工程施工及验收规范》GB 50201-2012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《屋面工程质量验收规范》GB 50207-2012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《岩土工程勘察规范》GB 50021-2001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《优质碳素结构钢》 GB/T 699-2015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《远动设备及系统 第5101部分:传输规约 基本远动任务配套标准》DL/T 634.5101-2002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《远动设备及系统 第5-104部分：传输规约 采用标准传输协议集的IEC60870-5-101网络访问》 DL/T 634.5104-2009</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《中国地震动参数区划图》GB 18306-2015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《组合钢模板技术规范》 GB/T 50214-2013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《电力建设工程质量监督检查典型大纲（火电、送变电部分）》（电建质监[2005]57号）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《电力建设施工质量验收及评价规程　第1部分：土建工程》 DL/T 5210.1-2012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50009-2012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建筑照明设计标准GB 50034-2013</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《钢筋混凝土用钢 第1部分 热轧光圆钢筋》GB 1499.1-2017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《钢筋混凝土用钢 第2部分 热轧带肋钢筋》GB 1499.2-2018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《通用硅酸盐水泥》GB 175-2007/XG2-2015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《外墙饰面砖工程施工及验收规程》 JGJ 126-2015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《水工混凝土施工规范》 DL/T 5144-2015</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《现场绝缘试验实施导则》DL/T 474.1～4-2018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《光纤复合架空地线》 JB/T 8999-2014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《电磁环境控制限值》 GB 8702-2014</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工程量清单计价规范-输电线路工程》 DL/T 5205-2016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工程量清单计价规范-变电工程》 DL/T 5341-2016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《20kV及以下配电网工程工程量清单计算规范》DL/T 5766-2018</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《电网工程建设预算编制与计算规定（2013年版）》（国能电力[2013]289号）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《20kV及以下配电网工程建设预算编制与计算规定》（国能电力[2017]6号）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《国家能源局关于颁布2013版电力建设工程定额和费用计算规定的通知》（国能电力〔2013〕289号）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《国家能源局关于颁布20千伏及以下配电网工程定额及费用标准（2016年版）的通知》（国能电力〔2017〕6号）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关于落实《国家发展改革委关于进一步放开建设项目专业服务价格的通知》（发改价格[2015]299号）的指导意见（中电联定额[2015]162号文）</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221</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《220kV-500kV挤包固体绝缘电缆及附件试验方法要求》IEC 62067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222</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《30kV-150kV挤包固体绝缘电缆及附件试验方法要求》IEC 60840</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223</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《电缆额定电流的计算》IEC 60287-1-1-2006</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224</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《电缆连续（100%负荷率）允许载流量计算》IEC287</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225</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《电缆周期性和应急额定电流计算》IEC853-2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226</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《220kV电力电缆》CSBTS/TC213-01</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227</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《220kV电力电缆附件》CSBTS/TC213-02</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228</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《工程建设标准强制性条文》（电力工程部分）（2011版，中电联标准(2012)16号）</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229</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《电力建设工程施工安全监督管理办法》（国家发改委第28号令）</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230</w:t>
            </w:r>
          </w:p>
        </w:tc>
        <w:tc>
          <w:tcPr>
            <w:tcW w:w="7019"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《输变电工程质量监督检查大纲》（2014版）</w:t>
            </w:r>
          </w:p>
        </w:tc>
        <w:tc>
          <w:tcPr>
            <w:tcW w:w="1907" w:type="dxa"/>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widowControl/>
              <w:jc w:val="center"/>
              <w:rPr>
                <w:rFonts w:ascii="宋体" w:hAnsi="宋体" w:cs="宋体"/>
                <w:kern w:val="0"/>
                <w:szCs w:val="21"/>
              </w:rPr>
            </w:pPr>
            <w:r>
              <w:rPr>
                <w:rFonts w:hint="eastAsia" w:ascii="宋体" w:hAnsi="宋体" w:cs="宋体"/>
                <w:b/>
                <w:bCs/>
                <w:kern w:val="0"/>
                <w:szCs w:val="21"/>
              </w:rPr>
              <w:t>南方电网管理要求、企业标准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232</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《中国南方电网有限责任公司安全生产问责管理规定》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233</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《中国南方电网有限责任公司电力安全工作规程》</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234</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235</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《中国南方电网有限责任公司安全监督工作规定》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236</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《安全生产风险管理体系审核业务指导书》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237</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中国南方电网有限责任公司安全工作规程考试管理业务指导书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238</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中国南方电网有限责任公司安全生产风险管控监督业务指导书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239</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中国南方电网有限责任公司电力安全工器具管理业务指导书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240</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中国南方电网有限责任公司隐患治理监督和安全检查业务指导书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241</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中国南方电网有限责任公司基建项目作业环境管理（5S）工作指引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242</w:t>
            </w:r>
          </w:p>
        </w:tc>
        <w:tc>
          <w:tcPr>
            <w:tcW w:w="7019" w:type="dxa"/>
            <w:noWrap w:val="0"/>
            <w:vAlign w:val="bottom"/>
          </w:tcPr>
          <w:p>
            <w:pPr>
              <w:widowControl/>
              <w:jc w:val="left"/>
              <w:rPr>
                <w:rFonts w:ascii="宋体" w:hAnsi="宋体" w:cs="宋体"/>
                <w:kern w:val="0"/>
                <w:szCs w:val="21"/>
              </w:rPr>
            </w:pPr>
            <w:r>
              <w:rPr>
                <w:rFonts w:hint="eastAsia" w:ascii="宋体" w:hAnsi="宋体" w:cs="宋体"/>
                <w:kern w:val="0"/>
                <w:szCs w:val="21"/>
              </w:rPr>
              <w:t>中国南方电网有限责任公司基建项目承包商管理业务指导书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243</w:t>
            </w:r>
          </w:p>
        </w:tc>
        <w:tc>
          <w:tcPr>
            <w:tcW w:w="7019" w:type="dxa"/>
            <w:noWrap w:val="0"/>
            <w:vAlign w:val="bottom"/>
          </w:tcPr>
          <w:p>
            <w:pPr>
              <w:widowControl/>
              <w:jc w:val="left"/>
              <w:rPr>
                <w:rFonts w:ascii="宋体" w:hAnsi="宋体" w:cs="宋体"/>
                <w:kern w:val="0"/>
                <w:szCs w:val="21"/>
              </w:rPr>
            </w:pPr>
            <w:r>
              <w:rPr>
                <w:rFonts w:hint="eastAsia" w:ascii="宋体" w:hAnsi="宋体" w:cs="宋体"/>
                <w:kern w:val="0"/>
                <w:szCs w:val="21"/>
              </w:rPr>
              <w:t>《中国南方电网有限责任公司基建项目达标投产及工程评优管理业务指导书》（Q/CSG433016-2015）</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244</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中国南方电网有限责任公司保供电管理规定(Q/CSG210004—2014)</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245</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中国南方电网有限责任公司应急管理规定(Q/CSG210003-2014)</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246</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中国南方电网有限责任公司应急预案与演练管理办法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247</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中国南方电网有限责任公司应急预警与响应管理办法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248</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中国南方电网有限责任公司配电自动化规划导则</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249</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《南方电网公司基建项目造价信息化规约（电网工程部分）》（基建[2013]50号）</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250</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《南方电网公司基建项目造价信息化规约（2013）》（南方电网基建[2014]60号）</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251</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《基建前期继电保护相关技术问题专题会会议纪要》（系统[2012]第56期）</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252</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《转发中国电力企业联合会关于落实进一步放开建设项目专业服务价格指导意见的通知》（南方电网定额〔2015〕12号）</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253</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公司基建工程质量控制（WHS）标准（2017年版）</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254</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255</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中国南方电网有限责任公司投资管理规定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256</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中国南方电网有限责任公司采购计划与需求管理办法(2017)(修订)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257</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中国南方电网有限责任公司仓储配送管理办法（2017）(修订)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258</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中国南方电网有限责任公司电力行业统计管理办法(修订)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259</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中国南方电网有限责任公司非招标采购方式管理办法(2017)(修订)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260</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中国南方电网有限责任公司工程交接验收管理办法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261</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中国南方电网有限责任公司供货商扣分处罚实施细则</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262</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中国南方电网有限责任公司供应商管理办法(2017)(修订)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263</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中国南方电网有限责任公司环境保护风险监督管理办法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264</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中国南方电网有限责任公司基建安全管理办法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265</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中国南方电网有限责任公司基建工程验收管理办法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266</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中国南方电网有限责任公司基建技术管理办法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267</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中国南方电网有限责任公司基建设计管理办法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268</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中国南方电网有限责任公司基建项目进度管理办法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269</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中国南方电网有限责任公司基建项目投资管控业务指导书</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270</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中国南方电网有限责任公司基建造价管理办法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271</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中国南方电网有限责任公司基建质量管理办法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272</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中国南方电网有限责任公司技术监督管理规定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273</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中国南方电网有限责任公司生产设备选型管理办法</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274</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中国南方电网有限责任公司新技术推广应用管理规定</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275</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中国南方电网有限责任公司招标管理规定(2017)(修订)</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276</w:t>
            </w:r>
          </w:p>
        </w:tc>
        <w:tc>
          <w:tcPr>
            <w:tcW w:w="7019"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关于印发工程领域违法转分包专项治理措施的通知（南方电网基建[2019]18号）</w:t>
            </w:r>
          </w:p>
        </w:tc>
        <w:tc>
          <w:tcPr>
            <w:tcW w:w="1907" w:type="dxa"/>
            <w:noWrap w:val="0"/>
            <w:vAlign w:val="bottom"/>
          </w:tcPr>
          <w:p>
            <w:pPr>
              <w:widowControl/>
              <w:jc w:val="left"/>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277</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中国南方电网有限责任公司基建工程监理工作典型表式（2015年版）</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278</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中国南方电网有限责任公司监理项目部工作手册</w:t>
            </w:r>
          </w:p>
        </w:tc>
        <w:tc>
          <w:tcPr>
            <w:tcW w:w="1907"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279</w:t>
            </w:r>
          </w:p>
        </w:tc>
        <w:tc>
          <w:tcPr>
            <w:tcW w:w="7019" w:type="dxa"/>
            <w:noWrap w:val="0"/>
            <w:vAlign w:val="center"/>
          </w:tcPr>
          <w:p>
            <w:pPr>
              <w:widowControl/>
              <w:rPr>
                <w:rFonts w:ascii="宋体" w:hAnsi="宋体" w:cs="宋体"/>
                <w:color w:val="000000"/>
                <w:kern w:val="0"/>
                <w:szCs w:val="21"/>
              </w:rPr>
            </w:pPr>
            <w:bookmarkStart w:id="391" w:name="RANGE!B287"/>
            <w:r>
              <w:rPr>
                <w:rFonts w:hint="eastAsia" w:ascii="宋体" w:hAnsi="宋体" w:cs="宋体"/>
                <w:color w:val="000000"/>
                <w:kern w:val="0"/>
                <w:szCs w:val="21"/>
              </w:rPr>
              <w:t>中国南方电网有限责任公司基建承包商违章扣分实施指南（2019版）</w:t>
            </w:r>
            <w:bookmarkEnd w:id="391"/>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280</w:t>
            </w:r>
          </w:p>
        </w:tc>
        <w:tc>
          <w:tcPr>
            <w:tcW w:w="7019" w:type="dxa"/>
            <w:noWrap w:val="0"/>
            <w:vAlign w:val="center"/>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中国南方电网有限责任公司基建项目承包商评价标准</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281</w:t>
            </w:r>
          </w:p>
        </w:tc>
        <w:tc>
          <w:tcPr>
            <w:tcW w:w="7019" w:type="dxa"/>
            <w:noWrap w:val="0"/>
            <w:vAlign w:val="center"/>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《中国南方电网有限责任公司工程项目质量保证金管理工作指引》（南方电网基建〔2019〕10号）</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282</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《中国南方电网有限责任公司设备缺陷定级标准》（基建分册）、《中国南方电网有限责任公司缺陷标准库》（基建分册）</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283</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《南方电网公司基建项目造价信息化规约（20kV及以下配网工程2016定额版）》（基建〔2017〕46号）</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284</w:t>
            </w:r>
          </w:p>
        </w:tc>
        <w:tc>
          <w:tcPr>
            <w:tcW w:w="7019" w:type="dxa"/>
            <w:noWrap w:val="0"/>
            <w:vAlign w:val="bottom"/>
          </w:tcPr>
          <w:p>
            <w:pPr>
              <w:widowControl/>
              <w:rPr>
                <w:rFonts w:ascii="宋体" w:hAnsi="宋体" w:cs="宋体"/>
                <w:color w:val="000000"/>
                <w:kern w:val="0"/>
                <w:szCs w:val="21"/>
              </w:rPr>
            </w:pPr>
            <w:r>
              <w:rPr>
                <w:rFonts w:hint="eastAsia" w:ascii="宋体" w:hAnsi="宋体" w:cs="宋体"/>
                <w:color w:val="000000"/>
                <w:kern w:val="0"/>
                <w:szCs w:val="21"/>
              </w:rPr>
              <w:t>《南方电网公司技术标准体系表（2019版）》</w:t>
            </w:r>
          </w:p>
        </w:tc>
        <w:tc>
          <w:tcPr>
            <w:tcW w:w="1907" w:type="dxa"/>
            <w:noWrap w:val="0"/>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南方电网企业标准</w:t>
            </w:r>
          </w:p>
        </w:tc>
      </w:tr>
    </w:tbl>
    <w:p>
      <w:pPr>
        <w:widowControl/>
        <w:autoSpaceDE w:val="0"/>
        <w:autoSpaceDN w:val="0"/>
        <w:adjustRightInd w:val="0"/>
        <w:spacing w:before="64"/>
        <w:ind w:firstLine="420" w:firstLineChars="200"/>
        <w:jc w:val="left"/>
        <w:rPr>
          <w:rFonts w:ascii="宋体" w:hAnsi="宋体" w:cs="宋体"/>
          <w:kern w:val="0"/>
          <w:szCs w:val="21"/>
        </w:rPr>
      </w:pPr>
      <w:r>
        <w:rPr>
          <w:rFonts w:hint="eastAsia" w:ascii="宋体" w:hAnsi="宋体"/>
          <w:szCs w:val="21"/>
        </w:rPr>
        <w:t>以上所列的主要技术标准和规范，如未能达到国际和国内最新标准时，投标方应使用符合最近的国际、国内标准，并提供采用的标准、规范和所应用的最新版本的有关技术依据资料。</w:t>
      </w:r>
    </w:p>
    <w:p>
      <w:pPr>
        <w:pStyle w:val="22"/>
        <w:spacing w:line="360" w:lineRule="auto"/>
        <w:jc w:val="center"/>
        <w:rPr>
          <w:rFonts w:hAnsi="宋体" w:cs="仿宋_GB2312"/>
          <w:szCs w:val="21"/>
        </w:rPr>
      </w:pPr>
      <w:r>
        <w:rPr>
          <w:rFonts w:hint="eastAsia" w:hAnsi="宋体" w:cs="仿宋_GB2312"/>
          <w:szCs w:val="21"/>
        </w:rPr>
        <w:br w:type="page"/>
      </w:r>
    </w:p>
    <w:p>
      <w:pPr>
        <w:pStyle w:val="5"/>
        <w:ind w:firstLine="137"/>
        <w:rPr>
          <w:rFonts w:ascii="Times New Roman"/>
        </w:rPr>
      </w:pPr>
      <w:bookmarkStart w:id="392" w:name="_Toc2573"/>
      <w:r>
        <w:rPr>
          <w:rFonts w:hint="eastAsia" w:ascii="Times New Roman"/>
        </w:rPr>
        <w:t>附件十：</w:t>
      </w:r>
      <w:r>
        <w:rPr>
          <w:rFonts w:hint="eastAsia" w:ascii="宋体" w:hAnsi="宋体"/>
          <w:szCs w:val="21"/>
        </w:rPr>
        <w:t>联合体协议书（如有）</w:t>
      </w:r>
      <w:bookmarkEnd w:id="392"/>
    </w:p>
    <w:p>
      <w:pPr>
        <w:autoSpaceDE w:val="0"/>
        <w:autoSpaceDN w:val="0"/>
        <w:spacing w:line="320" w:lineRule="exact"/>
        <w:rPr>
          <w:rFonts w:ascii="宋体" w:hAnsi="宋体" w:cs="仿宋_GB2312"/>
          <w:szCs w:val="21"/>
        </w:rPr>
      </w:pPr>
      <w:r>
        <w:rPr>
          <w:rFonts w:hint="eastAsia" w:ascii="宋体" w:hAnsi="宋体" w:cs="仿宋_GB2312"/>
          <w:szCs w:val="21"/>
        </w:rPr>
        <w:br w:type="page"/>
      </w:r>
    </w:p>
    <w:p>
      <w:pPr>
        <w:pStyle w:val="5"/>
        <w:numPr>
          <w:ilvl w:val="0"/>
          <w:numId w:val="4"/>
        </w:numPr>
        <w:ind w:firstLine="643" w:firstLineChars="200"/>
        <w:jc w:val="center"/>
        <w:rPr>
          <w:rFonts w:ascii="Times New Roman" w:hAnsi="Times New Roman"/>
        </w:rPr>
      </w:pPr>
      <w:bookmarkStart w:id="393" w:name="_Toc20424"/>
      <w:r>
        <w:rPr>
          <w:rFonts w:hint="eastAsia" w:ascii="Times New Roman" w:hAnsi="Times New Roman"/>
        </w:rPr>
        <w:t>报价书</w:t>
      </w:r>
      <w:bookmarkEnd w:id="393"/>
    </w:p>
    <w:p>
      <w:r>
        <w:rPr>
          <w:rFonts w:hint="eastAsia" w:ascii="宋体" w:hAnsi="宋体"/>
          <w:szCs w:val="21"/>
        </w:rPr>
        <w:t>详见投标文件。</w:t>
      </w:r>
      <w:permEnd w:id="135"/>
      <w:bookmarkEnd w:id="192"/>
      <w:bookmarkEnd w:id="193"/>
      <w:bookmarkEnd w:id="194"/>
      <w:bookmarkEnd w:id="195"/>
      <w:bookmarkEnd w:id="196"/>
      <w:bookmarkEnd w:id="197"/>
      <w:bookmarkEnd w:id="198"/>
      <w:bookmarkEnd w:id="384"/>
      <w:bookmarkEnd w:id="385"/>
      <w:bookmarkEnd w:id="386"/>
      <w:bookmarkEnd w:id="387"/>
      <w:bookmarkEnd w:id="388"/>
      <w:bookmarkEnd w:id="389"/>
    </w:p>
    <w:sectPr>
      <w:footerReference r:id="rId3" w:type="default"/>
      <w:pgSz w:w="12240" w:h="15840"/>
      <w:pgMar w:top="1440" w:right="1800" w:bottom="1440" w:left="1800" w:header="720" w:footer="720" w:gutter="0"/>
      <w:pgNumType w:fmt="decimal"/>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ˎ̥">
    <w:altName w:val="Noto Sans SC"/>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宋体-18030">
    <w:altName w:val="微软雅黑"/>
    <w:panose1 w:val="02010609060101010101"/>
    <w:charset w:val="86"/>
    <w:family w:val="swiss"/>
    <w:pitch w:val="default"/>
    <w:sig w:usb0="00000000" w:usb1="00000000" w:usb2="000A005E" w:usb3="00000000" w:csb0="00040001" w:csb1="00000000"/>
  </w:font>
  <w:font w:name="TimesNewRomanPSMT">
    <w:altName w:val="Times New Roman"/>
    <w:panose1 w:val="02020503050405090304"/>
    <w:charset w:val="00"/>
    <w:family w:val="roman"/>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v:textbox>
            </v:shape>
          </w:pict>
        </mc:Fallback>
      </mc:AlternateContent>
    </w:r>
  </w:p>
  <w:p>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0B80"/>
    <w:multiLevelType w:val="singleLevel"/>
    <w:tmpl w:val="5A580B80"/>
    <w:lvl w:ilvl="0" w:tentative="0">
      <w:start w:val="3"/>
      <w:numFmt w:val="decimal"/>
      <w:suff w:val="nothing"/>
      <w:lvlText w:val="（%1）"/>
      <w:lvlJc w:val="left"/>
    </w:lvl>
  </w:abstractNum>
  <w:abstractNum w:abstractNumId="1">
    <w:nsid w:val="5A585638"/>
    <w:multiLevelType w:val="singleLevel"/>
    <w:tmpl w:val="5A585638"/>
    <w:lvl w:ilvl="0" w:tentative="0">
      <w:start w:val="4"/>
      <w:numFmt w:val="decimal"/>
      <w:suff w:val="space"/>
      <w:lvlText w:val="%1."/>
      <w:lvlJc w:val="left"/>
    </w:lvl>
  </w:abstractNum>
  <w:abstractNum w:abstractNumId="2">
    <w:nsid w:val="5A587B94"/>
    <w:multiLevelType w:val="singleLevel"/>
    <w:tmpl w:val="5A587B94"/>
    <w:lvl w:ilvl="0" w:tentative="0">
      <w:start w:val="4"/>
      <w:numFmt w:val="chineseCounting"/>
      <w:suff w:val="nothing"/>
      <w:lvlText w:val="第%1节"/>
      <w:lvlJc w:val="left"/>
    </w:lvl>
  </w:abstractNum>
  <w:abstractNum w:abstractNumId="3">
    <w:nsid w:val="5A5BFCE5"/>
    <w:multiLevelType w:val="singleLevel"/>
    <w:tmpl w:val="5A5BFCE5"/>
    <w:lvl w:ilvl="0" w:tentative="0">
      <w:start w:val="1"/>
      <w:numFmt w:val="decimal"/>
      <w:pStyle w:val="88"/>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NjcwZjQ5NWM5YmI3ZDE0Y2U1NTFhMDgyMWJjNzUifQ=="/>
  </w:docVars>
  <w:rsids>
    <w:rsidRoot w:val="00172A27"/>
    <w:rsid w:val="00002A60"/>
    <w:rsid w:val="00004603"/>
    <w:rsid w:val="00007319"/>
    <w:rsid w:val="000106AE"/>
    <w:rsid w:val="00011D02"/>
    <w:rsid w:val="00012703"/>
    <w:rsid w:val="000129D7"/>
    <w:rsid w:val="0001485E"/>
    <w:rsid w:val="00020140"/>
    <w:rsid w:val="00021BFE"/>
    <w:rsid w:val="00024B18"/>
    <w:rsid w:val="000250D6"/>
    <w:rsid w:val="00025980"/>
    <w:rsid w:val="00025ACC"/>
    <w:rsid w:val="00026171"/>
    <w:rsid w:val="000316F2"/>
    <w:rsid w:val="00032762"/>
    <w:rsid w:val="000351AE"/>
    <w:rsid w:val="00036642"/>
    <w:rsid w:val="00037A43"/>
    <w:rsid w:val="00043778"/>
    <w:rsid w:val="000452CE"/>
    <w:rsid w:val="000453B3"/>
    <w:rsid w:val="0005229A"/>
    <w:rsid w:val="00055BAD"/>
    <w:rsid w:val="00062AC6"/>
    <w:rsid w:val="00065A9E"/>
    <w:rsid w:val="000668F1"/>
    <w:rsid w:val="00067035"/>
    <w:rsid w:val="00071337"/>
    <w:rsid w:val="000752F3"/>
    <w:rsid w:val="00077D16"/>
    <w:rsid w:val="0008132B"/>
    <w:rsid w:val="00081360"/>
    <w:rsid w:val="0008253E"/>
    <w:rsid w:val="00084830"/>
    <w:rsid w:val="00087558"/>
    <w:rsid w:val="0009240C"/>
    <w:rsid w:val="000943B0"/>
    <w:rsid w:val="00094C66"/>
    <w:rsid w:val="000A16FC"/>
    <w:rsid w:val="000A1AB2"/>
    <w:rsid w:val="000A287B"/>
    <w:rsid w:val="000A5C81"/>
    <w:rsid w:val="000A76B3"/>
    <w:rsid w:val="000B65E2"/>
    <w:rsid w:val="000B676B"/>
    <w:rsid w:val="000C0018"/>
    <w:rsid w:val="000C1A9B"/>
    <w:rsid w:val="000C2AB5"/>
    <w:rsid w:val="000C4323"/>
    <w:rsid w:val="000C45BF"/>
    <w:rsid w:val="000C4710"/>
    <w:rsid w:val="000D0812"/>
    <w:rsid w:val="000D3DD3"/>
    <w:rsid w:val="000D4336"/>
    <w:rsid w:val="000D49B4"/>
    <w:rsid w:val="000D7260"/>
    <w:rsid w:val="000E08CB"/>
    <w:rsid w:val="000E1602"/>
    <w:rsid w:val="000E5673"/>
    <w:rsid w:val="000E5E77"/>
    <w:rsid w:val="000E7256"/>
    <w:rsid w:val="000F2186"/>
    <w:rsid w:val="000F2A12"/>
    <w:rsid w:val="000F2ECC"/>
    <w:rsid w:val="000F3757"/>
    <w:rsid w:val="000F7A0C"/>
    <w:rsid w:val="00100EF3"/>
    <w:rsid w:val="001011FC"/>
    <w:rsid w:val="00102618"/>
    <w:rsid w:val="00102F0B"/>
    <w:rsid w:val="00105423"/>
    <w:rsid w:val="00110431"/>
    <w:rsid w:val="001119B6"/>
    <w:rsid w:val="00111BC8"/>
    <w:rsid w:val="001122DE"/>
    <w:rsid w:val="00115124"/>
    <w:rsid w:val="00117629"/>
    <w:rsid w:val="00117A4F"/>
    <w:rsid w:val="00117F0F"/>
    <w:rsid w:val="001202A6"/>
    <w:rsid w:val="00120A52"/>
    <w:rsid w:val="00120DBF"/>
    <w:rsid w:val="00124337"/>
    <w:rsid w:val="0012552C"/>
    <w:rsid w:val="00132D26"/>
    <w:rsid w:val="001373A8"/>
    <w:rsid w:val="0014098E"/>
    <w:rsid w:val="00141621"/>
    <w:rsid w:val="00144A65"/>
    <w:rsid w:val="00152FFB"/>
    <w:rsid w:val="001530C6"/>
    <w:rsid w:val="00163567"/>
    <w:rsid w:val="001639B6"/>
    <w:rsid w:val="00163A5B"/>
    <w:rsid w:val="00170389"/>
    <w:rsid w:val="00171218"/>
    <w:rsid w:val="001729B8"/>
    <w:rsid w:val="00172A27"/>
    <w:rsid w:val="001735B4"/>
    <w:rsid w:val="001748A3"/>
    <w:rsid w:val="001770DF"/>
    <w:rsid w:val="00182B11"/>
    <w:rsid w:val="00183AEA"/>
    <w:rsid w:val="00183B4A"/>
    <w:rsid w:val="00186361"/>
    <w:rsid w:val="00187146"/>
    <w:rsid w:val="00193C1D"/>
    <w:rsid w:val="00194127"/>
    <w:rsid w:val="00196EED"/>
    <w:rsid w:val="001A093D"/>
    <w:rsid w:val="001A0C52"/>
    <w:rsid w:val="001A0CCF"/>
    <w:rsid w:val="001A2D03"/>
    <w:rsid w:val="001A2E05"/>
    <w:rsid w:val="001A4491"/>
    <w:rsid w:val="001A4684"/>
    <w:rsid w:val="001B0A20"/>
    <w:rsid w:val="001B1289"/>
    <w:rsid w:val="001B5478"/>
    <w:rsid w:val="001B7FEF"/>
    <w:rsid w:val="001C133B"/>
    <w:rsid w:val="001C30C7"/>
    <w:rsid w:val="001D033C"/>
    <w:rsid w:val="001D30B6"/>
    <w:rsid w:val="001D3BE0"/>
    <w:rsid w:val="001D58C8"/>
    <w:rsid w:val="001E0901"/>
    <w:rsid w:val="001E1056"/>
    <w:rsid w:val="001E1433"/>
    <w:rsid w:val="001F1B9C"/>
    <w:rsid w:val="001F2208"/>
    <w:rsid w:val="001F285E"/>
    <w:rsid w:val="001F2D26"/>
    <w:rsid w:val="001F4134"/>
    <w:rsid w:val="001F45EE"/>
    <w:rsid w:val="001F4850"/>
    <w:rsid w:val="001F4A49"/>
    <w:rsid w:val="001F6870"/>
    <w:rsid w:val="00204444"/>
    <w:rsid w:val="00204A5C"/>
    <w:rsid w:val="00206384"/>
    <w:rsid w:val="002063D8"/>
    <w:rsid w:val="00207739"/>
    <w:rsid w:val="00207A0B"/>
    <w:rsid w:val="00207FB1"/>
    <w:rsid w:val="00212A53"/>
    <w:rsid w:val="0021322F"/>
    <w:rsid w:val="00213B90"/>
    <w:rsid w:val="00214661"/>
    <w:rsid w:val="00215412"/>
    <w:rsid w:val="00215AF0"/>
    <w:rsid w:val="002229E2"/>
    <w:rsid w:val="0022434B"/>
    <w:rsid w:val="002245DD"/>
    <w:rsid w:val="00233ADF"/>
    <w:rsid w:val="0023423F"/>
    <w:rsid w:val="002349F6"/>
    <w:rsid w:val="00237B0E"/>
    <w:rsid w:val="002430C2"/>
    <w:rsid w:val="00244E70"/>
    <w:rsid w:val="002454BD"/>
    <w:rsid w:val="002472BF"/>
    <w:rsid w:val="00250CB7"/>
    <w:rsid w:val="0025135E"/>
    <w:rsid w:val="00251A49"/>
    <w:rsid w:val="002521B3"/>
    <w:rsid w:val="00252893"/>
    <w:rsid w:val="00253B41"/>
    <w:rsid w:val="0025460A"/>
    <w:rsid w:val="00255D0D"/>
    <w:rsid w:val="00260C77"/>
    <w:rsid w:val="00261352"/>
    <w:rsid w:val="00263F0B"/>
    <w:rsid w:val="0026441A"/>
    <w:rsid w:val="00264EB1"/>
    <w:rsid w:val="0026505A"/>
    <w:rsid w:val="00273794"/>
    <w:rsid w:val="0027678C"/>
    <w:rsid w:val="00276C71"/>
    <w:rsid w:val="00281526"/>
    <w:rsid w:val="00285406"/>
    <w:rsid w:val="002875E7"/>
    <w:rsid w:val="00290A02"/>
    <w:rsid w:val="0029129F"/>
    <w:rsid w:val="00293C0C"/>
    <w:rsid w:val="002A0BA8"/>
    <w:rsid w:val="002A0C76"/>
    <w:rsid w:val="002A33B3"/>
    <w:rsid w:val="002A552C"/>
    <w:rsid w:val="002A6152"/>
    <w:rsid w:val="002A65ED"/>
    <w:rsid w:val="002A74F3"/>
    <w:rsid w:val="002B2B5B"/>
    <w:rsid w:val="002C0C29"/>
    <w:rsid w:val="002C1B66"/>
    <w:rsid w:val="002C31DD"/>
    <w:rsid w:val="002C3CD8"/>
    <w:rsid w:val="002C4ACF"/>
    <w:rsid w:val="002C7B9B"/>
    <w:rsid w:val="002D2B90"/>
    <w:rsid w:val="002D6F32"/>
    <w:rsid w:val="002D7B78"/>
    <w:rsid w:val="002E1C97"/>
    <w:rsid w:val="002E1DAC"/>
    <w:rsid w:val="002E6D05"/>
    <w:rsid w:val="002E76C7"/>
    <w:rsid w:val="002F077E"/>
    <w:rsid w:val="002F4FD3"/>
    <w:rsid w:val="002F72A0"/>
    <w:rsid w:val="00311324"/>
    <w:rsid w:val="003122C4"/>
    <w:rsid w:val="00315B0D"/>
    <w:rsid w:val="00316B28"/>
    <w:rsid w:val="0032031D"/>
    <w:rsid w:val="003214BA"/>
    <w:rsid w:val="00321647"/>
    <w:rsid w:val="00321989"/>
    <w:rsid w:val="00321DDA"/>
    <w:rsid w:val="003243EC"/>
    <w:rsid w:val="003247CD"/>
    <w:rsid w:val="003279BD"/>
    <w:rsid w:val="003362AD"/>
    <w:rsid w:val="00342688"/>
    <w:rsid w:val="0034440E"/>
    <w:rsid w:val="00344FE2"/>
    <w:rsid w:val="00347899"/>
    <w:rsid w:val="003518D6"/>
    <w:rsid w:val="00354B7A"/>
    <w:rsid w:val="0036122C"/>
    <w:rsid w:val="00363966"/>
    <w:rsid w:val="00364943"/>
    <w:rsid w:val="003701CE"/>
    <w:rsid w:val="0037172D"/>
    <w:rsid w:val="003741B0"/>
    <w:rsid w:val="00375481"/>
    <w:rsid w:val="003766FB"/>
    <w:rsid w:val="0037688E"/>
    <w:rsid w:val="0038240C"/>
    <w:rsid w:val="0038359A"/>
    <w:rsid w:val="0038499D"/>
    <w:rsid w:val="00386AA0"/>
    <w:rsid w:val="00387996"/>
    <w:rsid w:val="0039022C"/>
    <w:rsid w:val="00391F03"/>
    <w:rsid w:val="00392926"/>
    <w:rsid w:val="0039407B"/>
    <w:rsid w:val="00394F29"/>
    <w:rsid w:val="00396A68"/>
    <w:rsid w:val="003A0C6B"/>
    <w:rsid w:val="003A2368"/>
    <w:rsid w:val="003A593E"/>
    <w:rsid w:val="003A6775"/>
    <w:rsid w:val="003B02F9"/>
    <w:rsid w:val="003B1B15"/>
    <w:rsid w:val="003B2287"/>
    <w:rsid w:val="003B7203"/>
    <w:rsid w:val="003C083C"/>
    <w:rsid w:val="003C0ADF"/>
    <w:rsid w:val="003C0D7D"/>
    <w:rsid w:val="003C3B81"/>
    <w:rsid w:val="003C4858"/>
    <w:rsid w:val="003C5BB3"/>
    <w:rsid w:val="003C66EB"/>
    <w:rsid w:val="003D1170"/>
    <w:rsid w:val="003D1B8E"/>
    <w:rsid w:val="003D2D72"/>
    <w:rsid w:val="003D36EE"/>
    <w:rsid w:val="003D402C"/>
    <w:rsid w:val="003D6546"/>
    <w:rsid w:val="003D6E0A"/>
    <w:rsid w:val="003D7915"/>
    <w:rsid w:val="003E2C4E"/>
    <w:rsid w:val="003E56F5"/>
    <w:rsid w:val="003F3518"/>
    <w:rsid w:val="003F504F"/>
    <w:rsid w:val="003F5B69"/>
    <w:rsid w:val="00400514"/>
    <w:rsid w:val="004105EF"/>
    <w:rsid w:val="00412171"/>
    <w:rsid w:val="00415A1A"/>
    <w:rsid w:val="0042326A"/>
    <w:rsid w:val="004238AC"/>
    <w:rsid w:val="00423F96"/>
    <w:rsid w:val="00427C4D"/>
    <w:rsid w:val="00431F4F"/>
    <w:rsid w:val="00432518"/>
    <w:rsid w:val="0043351E"/>
    <w:rsid w:val="00433676"/>
    <w:rsid w:val="00436504"/>
    <w:rsid w:val="004405C7"/>
    <w:rsid w:val="00441D39"/>
    <w:rsid w:val="00442AF8"/>
    <w:rsid w:val="00442B41"/>
    <w:rsid w:val="0044514A"/>
    <w:rsid w:val="00447E59"/>
    <w:rsid w:val="00457DC2"/>
    <w:rsid w:val="00463001"/>
    <w:rsid w:val="00466309"/>
    <w:rsid w:val="00466339"/>
    <w:rsid w:val="004729B9"/>
    <w:rsid w:val="004733D3"/>
    <w:rsid w:val="00476673"/>
    <w:rsid w:val="00476828"/>
    <w:rsid w:val="00487315"/>
    <w:rsid w:val="00490E43"/>
    <w:rsid w:val="00490F92"/>
    <w:rsid w:val="00494530"/>
    <w:rsid w:val="00494624"/>
    <w:rsid w:val="00495001"/>
    <w:rsid w:val="004A112E"/>
    <w:rsid w:val="004A20AC"/>
    <w:rsid w:val="004A289F"/>
    <w:rsid w:val="004A76F2"/>
    <w:rsid w:val="004B51E3"/>
    <w:rsid w:val="004B6ED7"/>
    <w:rsid w:val="004B7926"/>
    <w:rsid w:val="004C5E8A"/>
    <w:rsid w:val="004C625D"/>
    <w:rsid w:val="004D0C9D"/>
    <w:rsid w:val="004D1209"/>
    <w:rsid w:val="004D1ADB"/>
    <w:rsid w:val="004D361D"/>
    <w:rsid w:val="004D3DEA"/>
    <w:rsid w:val="004D422A"/>
    <w:rsid w:val="004D4247"/>
    <w:rsid w:val="004D7237"/>
    <w:rsid w:val="004D794D"/>
    <w:rsid w:val="004D7FCB"/>
    <w:rsid w:val="004E0C05"/>
    <w:rsid w:val="004E0EFF"/>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1BAF"/>
    <w:rsid w:val="00533F95"/>
    <w:rsid w:val="00537781"/>
    <w:rsid w:val="005409DB"/>
    <w:rsid w:val="005410AB"/>
    <w:rsid w:val="00542C62"/>
    <w:rsid w:val="0054326D"/>
    <w:rsid w:val="00543F5F"/>
    <w:rsid w:val="00545698"/>
    <w:rsid w:val="00546149"/>
    <w:rsid w:val="005510C3"/>
    <w:rsid w:val="00553331"/>
    <w:rsid w:val="00555089"/>
    <w:rsid w:val="005565F1"/>
    <w:rsid w:val="00562259"/>
    <w:rsid w:val="005655BD"/>
    <w:rsid w:val="00566AB8"/>
    <w:rsid w:val="00572ADB"/>
    <w:rsid w:val="00573B46"/>
    <w:rsid w:val="00573C8F"/>
    <w:rsid w:val="00576C5E"/>
    <w:rsid w:val="00577C17"/>
    <w:rsid w:val="00580957"/>
    <w:rsid w:val="005810CA"/>
    <w:rsid w:val="005824FB"/>
    <w:rsid w:val="005827A7"/>
    <w:rsid w:val="00583DBF"/>
    <w:rsid w:val="00585B39"/>
    <w:rsid w:val="00586041"/>
    <w:rsid w:val="00586955"/>
    <w:rsid w:val="00587411"/>
    <w:rsid w:val="0059030C"/>
    <w:rsid w:val="00592372"/>
    <w:rsid w:val="005955BA"/>
    <w:rsid w:val="005A0B59"/>
    <w:rsid w:val="005A245A"/>
    <w:rsid w:val="005A2C7B"/>
    <w:rsid w:val="005A328C"/>
    <w:rsid w:val="005A4B80"/>
    <w:rsid w:val="005A5F20"/>
    <w:rsid w:val="005A697C"/>
    <w:rsid w:val="005B0F9A"/>
    <w:rsid w:val="005B1A42"/>
    <w:rsid w:val="005B46BD"/>
    <w:rsid w:val="005B4DB1"/>
    <w:rsid w:val="005B4E5B"/>
    <w:rsid w:val="005B6D33"/>
    <w:rsid w:val="005C162E"/>
    <w:rsid w:val="005C1B19"/>
    <w:rsid w:val="005C417A"/>
    <w:rsid w:val="005C7507"/>
    <w:rsid w:val="005D22FC"/>
    <w:rsid w:val="005D3D41"/>
    <w:rsid w:val="005D736F"/>
    <w:rsid w:val="005E4F70"/>
    <w:rsid w:val="005E7CE8"/>
    <w:rsid w:val="005F162E"/>
    <w:rsid w:val="005F16C3"/>
    <w:rsid w:val="005F328B"/>
    <w:rsid w:val="005F74F3"/>
    <w:rsid w:val="0060161F"/>
    <w:rsid w:val="006026CE"/>
    <w:rsid w:val="006038CA"/>
    <w:rsid w:val="00605A28"/>
    <w:rsid w:val="006126DA"/>
    <w:rsid w:val="00614E98"/>
    <w:rsid w:val="00615987"/>
    <w:rsid w:val="00615CC9"/>
    <w:rsid w:val="00621D6C"/>
    <w:rsid w:val="0062261D"/>
    <w:rsid w:val="0062295C"/>
    <w:rsid w:val="00623AD2"/>
    <w:rsid w:val="0062437A"/>
    <w:rsid w:val="006254F0"/>
    <w:rsid w:val="006319DE"/>
    <w:rsid w:val="00632467"/>
    <w:rsid w:val="00632B51"/>
    <w:rsid w:val="00633021"/>
    <w:rsid w:val="00636962"/>
    <w:rsid w:val="00636B86"/>
    <w:rsid w:val="00644C71"/>
    <w:rsid w:val="006462FA"/>
    <w:rsid w:val="00653BCA"/>
    <w:rsid w:val="0065601C"/>
    <w:rsid w:val="00660EBB"/>
    <w:rsid w:val="00663AB4"/>
    <w:rsid w:val="00663BF4"/>
    <w:rsid w:val="00663CC5"/>
    <w:rsid w:val="00666E8E"/>
    <w:rsid w:val="0067054F"/>
    <w:rsid w:val="00670660"/>
    <w:rsid w:val="00671F1A"/>
    <w:rsid w:val="0067588F"/>
    <w:rsid w:val="00680905"/>
    <w:rsid w:val="00680AC7"/>
    <w:rsid w:val="00684D69"/>
    <w:rsid w:val="006867B4"/>
    <w:rsid w:val="00686AF3"/>
    <w:rsid w:val="006928F3"/>
    <w:rsid w:val="006952F5"/>
    <w:rsid w:val="00696FBE"/>
    <w:rsid w:val="006A03B5"/>
    <w:rsid w:val="006A1B2F"/>
    <w:rsid w:val="006A350C"/>
    <w:rsid w:val="006A5596"/>
    <w:rsid w:val="006A79FA"/>
    <w:rsid w:val="006A7D10"/>
    <w:rsid w:val="006B4620"/>
    <w:rsid w:val="006B6E3B"/>
    <w:rsid w:val="006C1B42"/>
    <w:rsid w:val="006C549C"/>
    <w:rsid w:val="006C56C9"/>
    <w:rsid w:val="006D1443"/>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30B4"/>
    <w:rsid w:val="006F3A43"/>
    <w:rsid w:val="006F3F8C"/>
    <w:rsid w:val="006F46C3"/>
    <w:rsid w:val="006F5383"/>
    <w:rsid w:val="006F6E12"/>
    <w:rsid w:val="006F713A"/>
    <w:rsid w:val="007009AA"/>
    <w:rsid w:val="00701A84"/>
    <w:rsid w:val="007026E3"/>
    <w:rsid w:val="007036C3"/>
    <w:rsid w:val="00705859"/>
    <w:rsid w:val="00705FBD"/>
    <w:rsid w:val="00706041"/>
    <w:rsid w:val="00710CAF"/>
    <w:rsid w:val="007123AF"/>
    <w:rsid w:val="00712A96"/>
    <w:rsid w:val="007169EC"/>
    <w:rsid w:val="00721056"/>
    <w:rsid w:val="00722501"/>
    <w:rsid w:val="00725C94"/>
    <w:rsid w:val="00726A6C"/>
    <w:rsid w:val="00726B23"/>
    <w:rsid w:val="00726DB7"/>
    <w:rsid w:val="00727E29"/>
    <w:rsid w:val="00733083"/>
    <w:rsid w:val="00741FC2"/>
    <w:rsid w:val="00742B21"/>
    <w:rsid w:val="00744517"/>
    <w:rsid w:val="00747254"/>
    <w:rsid w:val="00750137"/>
    <w:rsid w:val="0075115C"/>
    <w:rsid w:val="007525B7"/>
    <w:rsid w:val="00752BB4"/>
    <w:rsid w:val="00753BB7"/>
    <w:rsid w:val="00755157"/>
    <w:rsid w:val="00756C67"/>
    <w:rsid w:val="00766147"/>
    <w:rsid w:val="00766DD4"/>
    <w:rsid w:val="00770518"/>
    <w:rsid w:val="007724D2"/>
    <w:rsid w:val="00772E30"/>
    <w:rsid w:val="007769FC"/>
    <w:rsid w:val="00780470"/>
    <w:rsid w:val="00782413"/>
    <w:rsid w:val="00787D38"/>
    <w:rsid w:val="00790A94"/>
    <w:rsid w:val="007911B2"/>
    <w:rsid w:val="00792DDB"/>
    <w:rsid w:val="00797ACE"/>
    <w:rsid w:val="007A08F7"/>
    <w:rsid w:val="007A1E5B"/>
    <w:rsid w:val="007A36C9"/>
    <w:rsid w:val="007A5188"/>
    <w:rsid w:val="007A6512"/>
    <w:rsid w:val="007A67FD"/>
    <w:rsid w:val="007B27B1"/>
    <w:rsid w:val="007B3D71"/>
    <w:rsid w:val="007B5213"/>
    <w:rsid w:val="007B5482"/>
    <w:rsid w:val="007B55D1"/>
    <w:rsid w:val="007B5AE0"/>
    <w:rsid w:val="007B7DDF"/>
    <w:rsid w:val="007C047C"/>
    <w:rsid w:val="007C292F"/>
    <w:rsid w:val="007C3698"/>
    <w:rsid w:val="007C642C"/>
    <w:rsid w:val="007C73A4"/>
    <w:rsid w:val="007C749A"/>
    <w:rsid w:val="007D07A2"/>
    <w:rsid w:val="007D16DC"/>
    <w:rsid w:val="007D4C26"/>
    <w:rsid w:val="007D5CBB"/>
    <w:rsid w:val="007D6572"/>
    <w:rsid w:val="007D7CE8"/>
    <w:rsid w:val="007E0563"/>
    <w:rsid w:val="007E6590"/>
    <w:rsid w:val="007E6DB4"/>
    <w:rsid w:val="007E78FD"/>
    <w:rsid w:val="007F33A5"/>
    <w:rsid w:val="007F43B1"/>
    <w:rsid w:val="007F4E04"/>
    <w:rsid w:val="007F4E75"/>
    <w:rsid w:val="007F5833"/>
    <w:rsid w:val="007F6A96"/>
    <w:rsid w:val="008016DA"/>
    <w:rsid w:val="00803D1B"/>
    <w:rsid w:val="00804854"/>
    <w:rsid w:val="00805D01"/>
    <w:rsid w:val="008119E7"/>
    <w:rsid w:val="0081489C"/>
    <w:rsid w:val="00814ACE"/>
    <w:rsid w:val="00817ED4"/>
    <w:rsid w:val="00822B05"/>
    <w:rsid w:val="00823971"/>
    <w:rsid w:val="008250EC"/>
    <w:rsid w:val="00826534"/>
    <w:rsid w:val="00826C28"/>
    <w:rsid w:val="008331F8"/>
    <w:rsid w:val="00833E5B"/>
    <w:rsid w:val="00841EEB"/>
    <w:rsid w:val="00842D0A"/>
    <w:rsid w:val="0084602F"/>
    <w:rsid w:val="00847755"/>
    <w:rsid w:val="00851FB3"/>
    <w:rsid w:val="0085267C"/>
    <w:rsid w:val="008567AE"/>
    <w:rsid w:val="008602E0"/>
    <w:rsid w:val="00860649"/>
    <w:rsid w:val="008625DD"/>
    <w:rsid w:val="008631FE"/>
    <w:rsid w:val="00865A18"/>
    <w:rsid w:val="00867646"/>
    <w:rsid w:val="00867C03"/>
    <w:rsid w:val="008702EF"/>
    <w:rsid w:val="008736FF"/>
    <w:rsid w:val="00874DAC"/>
    <w:rsid w:val="00876D34"/>
    <w:rsid w:val="00877B50"/>
    <w:rsid w:val="00880C4E"/>
    <w:rsid w:val="00881742"/>
    <w:rsid w:val="00881D81"/>
    <w:rsid w:val="008827C4"/>
    <w:rsid w:val="00884568"/>
    <w:rsid w:val="0088620C"/>
    <w:rsid w:val="00886D39"/>
    <w:rsid w:val="0089100D"/>
    <w:rsid w:val="008936E5"/>
    <w:rsid w:val="0089400B"/>
    <w:rsid w:val="008946EA"/>
    <w:rsid w:val="008A0C4A"/>
    <w:rsid w:val="008A3781"/>
    <w:rsid w:val="008A4337"/>
    <w:rsid w:val="008A4F8A"/>
    <w:rsid w:val="008A6265"/>
    <w:rsid w:val="008B382C"/>
    <w:rsid w:val="008B4958"/>
    <w:rsid w:val="008B51D6"/>
    <w:rsid w:val="008C3B4C"/>
    <w:rsid w:val="008C4D93"/>
    <w:rsid w:val="008D02D6"/>
    <w:rsid w:val="008D0EA5"/>
    <w:rsid w:val="008D1879"/>
    <w:rsid w:val="008D2B4F"/>
    <w:rsid w:val="008D3603"/>
    <w:rsid w:val="008D4E0B"/>
    <w:rsid w:val="008D7D07"/>
    <w:rsid w:val="008E0053"/>
    <w:rsid w:val="008E0C18"/>
    <w:rsid w:val="008E4CFA"/>
    <w:rsid w:val="008E773D"/>
    <w:rsid w:val="008F2DB6"/>
    <w:rsid w:val="008F6AF6"/>
    <w:rsid w:val="008F78BF"/>
    <w:rsid w:val="0090152F"/>
    <w:rsid w:val="00905AE6"/>
    <w:rsid w:val="009102B1"/>
    <w:rsid w:val="009117AF"/>
    <w:rsid w:val="00913DA9"/>
    <w:rsid w:val="00915BD0"/>
    <w:rsid w:val="009165B6"/>
    <w:rsid w:val="0091764F"/>
    <w:rsid w:val="00920216"/>
    <w:rsid w:val="00922D1D"/>
    <w:rsid w:val="009233CB"/>
    <w:rsid w:val="009252E9"/>
    <w:rsid w:val="0092577B"/>
    <w:rsid w:val="00926831"/>
    <w:rsid w:val="00926EEB"/>
    <w:rsid w:val="0093186F"/>
    <w:rsid w:val="00937163"/>
    <w:rsid w:val="00940EBA"/>
    <w:rsid w:val="00942FF5"/>
    <w:rsid w:val="00943B39"/>
    <w:rsid w:val="00943F58"/>
    <w:rsid w:val="0094443B"/>
    <w:rsid w:val="0094469F"/>
    <w:rsid w:val="0094784E"/>
    <w:rsid w:val="0094793B"/>
    <w:rsid w:val="00952E3F"/>
    <w:rsid w:val="00953D09"/>
    <w:rsid w:val="00956336"/>
    <w:rsid w:val="00956DB3"/>
    <w:rsid w:val="0096197F"/>
    <w:rsid w:val="00964882"/>
    <w:rsid w:val="009678EF"/>
    <w:rsid w:val="00972737"/>
    <w:rsid w:val="00972D10"/>
    <w:rsid w:val="00972F1D"/>
    <w:rsid w:val="00973F9A"/>
    <w:rsid w:val="00975DA5"/>
    <w:rsid w:val="00976838"/>
    <w:rsid w:val="00976894"/>
    <w:rsid w:val="0098095B"/>
    <w:rsid w:val="00981293"/>
    <w:rsid w:val="009816BB"/>
    <w:rsid w:val="00984168"/>
    <w:rsid w:val="0098447C"/>
    <w:rsid w:val="0098473F"/>
    <w:rsid w:val="0098548A"/>
    <w:rsid w:val="009857A5"/>
    <w:rsid w:val="00986B3E"/>
    <w:rsid w:val="00987946"/>
    <w:rsid w:val="009914DB"/>
    <w:rsid w:val="00993DD3"/>
    <w:rsid w:val="0099765D"/>
    <w:rsid w:val="009A0515"/>
    <w:rsid w:val="009A21F7"/>
    <w:rsid w:val="009A6828"/>
    <w:rsid w:val="009B115E"/>
    <w:rsid w:val="009B54E6"/>
    <w:rsid w:val="009B5735"/>
    <w:rsid w:val="009C1900"/>
    <w:rsid w:val="009C28A9"/>
    <w:rsid w:val="009C42F0"/>
    <w:rsid w:val="009C5BB4"/>
    <w:rsid w:val="009C5D2B"/>
    <w:rsid w:val="009D0A6C"/>
    <w:rsid w:val="009D4779"/>
    <w:rsid w:val="009E280D"/>
    <w:rsid w:val="009E42EB"/>
    <w:rsid w:val="009E77CE"/>
    <w:rsid w:val="009F0176"/>
    <w:rsid w:val="009F1AC6"/>
    <w:rsid w:val="009F2027"/>
    <w:rsid w:val="009F3D52"/>
    <w:rsid w:val="009F46DE"/>
    <w:rsid w:val="009F54BB"/>
    <w:rsid w:val="009F7053"/>
    <w:rsid w:val="00A00218"/>
    <w:rsid w:val="00A01041"/>
    <w:rsid w:val="00A013E6"/>
    <w:rsid w:val="00A059CF"/>
    <w:rsid w:val="00A1079F"/>
    <w:rsid w:val="00A11B75"/>
    <w:rsid w:val="00A14161"/>
    <w:rsid w:val="00A1421E"/>
    <w:rsid w:val="00A161A9"/>
    <w:rsid w:val="00A20C87"/>
    <w:rsid w:val="00A214E6"/>
    <w:rsid w:val="00A21E6F"/>
    <w:rsid w:val="00A2348C"/>
    <w:rsid w:val="00A236AA"/>
    <w:rsid w:val="00A239C4"/>
    <w:rsid w:val="00A24A30"/>
    <w:rsid w:val="00A24AE5"/>
    <w:rsid w:val="00A27544"/>
    <w:rsid w:val="00A27AD2"/>
    <w:rsid w:val="00A30ACF"/>
    <w:rsid w:val="00A31684"/>
    <w:rsid w:val="00A31FBE"/>
    <w:rsid w:val="00A37C1C"/>
    <w:rsid w:val="00A40975"/>
    <w:rsid w:val="00A42546"/>
    <w:rsid w:val="00A443E0"/>
    <w:rsid w:val="00A51D94"/>
    <w:rsid w:val="00A54915"/>
    <w:rsid w:val="00A549E2"/>
    <w:rsid w:val="00A575A3"/>
    <w:rsid w:val="00A60D27"/>
    <w:rsid w:val="00A61259"/>
    <w:rsid w:val="00A63845"/>
    <w:rsid w:val="00A64CFB"/>
    <w:rsid w:val="00A660F9"/>
    <w:rsid w:val="00A661B6"/>
    <w:rsid w:val="00A7108D"/>
    <w:rsid w:val="00A71821"/>
    <w:rsid w:val="00A74B5E"/>
    <w:rsid w:val="00A75A0E"/>
    <w:rsid w:val="00A75AAB"/>
    <w:rsid w:val="00A77C2A"/>
    <w:rsid w:val="00A77E91"/>
    <w:rsid w:val="00A814E9"/>
    <w:rsid w:val="00A8150A"/>
    <w:rsid w:val="00A8366F"/>
    <w:rsid w:val="00A86BC1"/>
    <w:rsid w:val="00A909F4"/>
    <w:rsid w:val="00A90FFC"/>
    <w:rsid w:val="00A93CEE"/>
    <w:rsid w:val="00A94DA7"/>
    <w:rsid w:val="00A95DBF"/>
    <w:rsid w:val="00A97ECB"/>
    <w:rsid w:val="00AA44DC"/>
    <w:rsid w:val="00AA77E6"/>
    <w:rsid w:val="00AA78EE"/>
    <w:rsid w:val="00AB22FD"/>
    <w:rsid w:val="00AB249C"/>
    <w:rsid w:val="00AB3141"/>
    <w:rsid w:val="00AB5EF7"/>
    <w:rsid w:val="00AB609D"/>
    <w:rsid w:val="00AB66B8"/>
    <w:rsid w:val="00AB6EDE"/>
    <w:rsid w:val="00AC077B"/>
    <w:rsid w:val="00AC12CA"/>
    <w:rsid w:val="00AC2268"/>
    <w:rsid w:val="00AC6253"/>
    <w:rsid w:val="00AD0AA2"/>
    <w:rsid w:val="00AD44D7"/>
    <w:rsid w:val="00AD75D8"/>
    <w:rsid w:val="00AD7CAC"/>
    <w:rsid w:val="00AD7DE4"/>
    <w:rsid w:val="00AE3D01"/>
    <w:rsid w:val="00AE4A58"/>
    <w:rsid w:val="00AE4FC4"/>
    <w:rsid w:val="00AE5260"/>
    <w:rsid w:val="00AE5CF7"/>
    <w:rsid w:val="00AE67B6"/>
    <w:rsid w:val="00AF08A4"/>
    <w:rsid w:val="00AF0D29"/>
    <w:rsid w:val="00AF324E"/>
    <w:rsid w:val="00AF3442"/>
    <w:rsid w:val="00AF49A0"/>
    <w:rsid w:val="00AF5D13"/>
    <w:rsid w:val="00AF70D5"/>
    <w:rsid w:val="00AF7CFA"/>
    <w:rsid w:val="00B0423C"/>
    <w:rsid w:val="00B0526E"/>
    <w:rsid w:val="00B05EB7"/>
    <w:rsid w:val="00B0641E"/>
    <w:rsid w:val="00B07C93"/>
    <w:rsid w:val="00B11FE4"/>
    <w:rsid w:val="00B132F2"/>
    <w:rsid w:val="00B158CB"/>
    <w:rsid w:val="00B17226"/>
    <w:rsid w:val="00B1739F"/>
    <w:rsid w:val="00B20435"/>
    <w:rsid w:val="00B2193F"/>
    <w:rsid w:val="00B21AD3"/>
    <w:rsid w:val="00B22D70"/>
    <w:rsid w:val="00B34169"/>
    <w:rsid w:val="00B40AC5"/>
    <w:rsid w:val="00B40DB4"/>
    <w:rsid w:val="00B43529"/>
    <w:rsid w:val="00B45828"/>
    <w:rsid w:val="00B470CF"/>
    <w:rsid w:val="00B51807"/>
    <w:rsid w:val="00B51D11"/>
    <w:rsid w:val="00B52304"/>
    <w:rsid w:val="00B556AB"/>
    <w:rsid w:val="00B568D1"/>
    <w:rsid w:val="00B56F9E"/>
    <w:rsid w:val="00B60089"/>
    <w:rsid w:val="00B6040F"/>
    <w:rsid w:val="00B60576"/>
    <w:rsid w:val="00B60D18"/>
    <w:rsid w:val="00B70AB4"/>
    <w:rsid w:val="00B743C4"/>
    <w:rsid w:val="00B82CF7"/>
    <w:rsid w:val="00B82E6C"/>
    <w:rsid w:val="00B83E5B"/>
    <w:rsid w:val="00B840FF"/>
    <w:rsid w:val="00B84A8B"/>
    <w:rsid w:val="00B850F5"/>
    <w:rsid w:val="00B86412"/>
    <w:rsid w:val="00B8792A"/>
    <w:rsid w:val="00B87E1C"/>
    <w:rsid w:val="00B87E24"/>
    <w:rsid w:val="00B923D8"/>
    <w:rsid w:val="00B924CB"/>
    <w:rsid w:val="00B9299E"/>
    <w:rsid w:val="00B9460B"/>
    <w:rsid w:val="00B96FEB"/>
    <w:rsid w:val="00BA1742"/>
    <w:rsid w:val="00BA4A15"/>
    <w:rsid w:val="00BA6A1E"/>
    <w:rsid w:val="00BA779B"/>
    <w:rsid w:val="00BB14E3"/>
    <w:rsid w:val="00BB3C2E"/>
    <w:rsid w:val="00BB6955"/>
    <w:rsid w:val="00BC2D2B"/>
    <w:rsid w:val="00BC31D7"/>
    <w:rsid w:val="00BC69F6"/>
    <w:rsid w:val="00BC7BDB"/>
    <w:rsid w:val="00BD0888"/>
    <w:rsid w:val="00BD16CC"/>
    <w:rsid w:val="00BD2382"/>
    <w:rsid w:val="00BD38A7"/>
    <w:rsid w:val="00BD4CB1"/>
    <w:rsid w:val="00BD4F92"/>
    <w:rsid w:val="00BD5685"/>
    <w:rsid w:val="00BD58EC"/>
    <w:rsid w:val="00BD6AE4"/>
    <w:rsid w:val="00BD6C5E"/>
    <w:rsid w:val="00BD7122"/>
    <w:rsid w:val="00BE1F7A"/>
    <w:rsid w:val="00BE3696"/>
    <w:rsid w:val="00BE52C6"/>
    <w:rsid w:val="00BF10E3"/>
    <w:rsid w:val="00BF1EA6"/>
    <w:rsid w:val="00BF1F32"/>
    <w:rsid w:val="00BF2A1B"/>
    <w:rsid w:val="00BF4EBD"/>
    <w:rsid w:val="00BF5EC0"/>
    <w:rsid w:val="00BF7CA8"/>
    <w:rsid w:val="00C000E6"/>
    <w:rsid w:val="00C01E68"/>
    <w:rsid w:val="00C10A53"/>
    <w:rsid w:val="00C11B1A"/>
    <w:rsid w:val="00C136A3"/>
    <w:rsid w:val="00C13F58"/>
    <w:rsid w:val="00C1558A"/>
    <w:rsid w:val="00C16E65"/>
    <w:rsid w:val="00C2313E"/>
    <w:rsid w:val="00C2467E"/>
    <w:rsid w:val="00C33549"/>
    <w:rsid w:val="00C368F9"/>
    <w:rsid w:val="00C409F2"/>
    <w:rsid w:val="00C40EFF"/>
    <w:rsid w:val="00C41015"/>
    <w:rsid w:val="00C426BD"/>
    <w:rsid w:val="00C473A5"/>
    <w:rsid w:val="00C50F27"/>
    <w:rsid w:val="00C548F8"/>
    <w:rsid w:val="00C561A1"/>
    <w:rsid w:val="00C57185"/>
    <w:rsid w:val="00C60374"/>
    <w:rsid w:val="00C65F10"/>
    <w:rsid w:val="00C71195"/>
    <w:rsid w:val="00C737B4"/>
    <w:rsid w:val="00C74CE6"/>
    <w:rsid w:val="00C750F1"/>
    <w:rsid w:val="00C75D0D"/>
    <w:rsid w:val="00C77D07"/>
    <w:rsid w:val="00C8014F"/>
    <w:rsid w:val="00C81B27"/>
    <w:rsid w:val="00C8383B"/>
    <w:rsid w:val="00C8459E"/>
    <w:rsid w:val="00C857A7"/>
    <w:rsid w:val="00C9312C"/>
    <w:rsid w:val="00C97B27"/>
    <w:rsid w:val="00CA039A"/>
    <w:rsid w:val="00CA0BC9"/>
    <w:rsid w:val="00CA54D2"/>
    <w:rsid w:val="00CB2000"/>
    <w:rsid w:val="00CB2025"/>
    <w:rsid w:val="00CB48A6"/>
    <w:rsid w:val="00CB5687"/>
    <w:rsid w:val="00CB621C"/>
    <w:rsid w:val="00CB6493"/>
    <w:rsid w:val="00CB684E"/>
    <w:rsid w:val="00CB7E0D"/>
    <w:rsid w:val="00CC02F2"/>
    <w:rsid w:val="00CC167A"/>
    <w:rsid w:val="00CC69FA"/>
    <w:rsid w:val="00CC6B34"/>
    <w:rsid w:val="00CD09B4"/>
    <w:rsid w:val="00CD54AC"/>
    <w:rsid w:val="00CD6EE8"/>
    <w:rsid w:val="00CD71BA"/>
    <w:rsid w:val="00CD737F"/>
    <w:rsid w:val="00CD7773"/>
    <w:rsid w:val="00CE691B"/>
    <w:rsid w:val="00CE78B9"/>
    <w:rsid w:val="00CF1B82"/>
    <w:rsid w:val="00CF2DD6"/>
    <w:rsid w:val="00CF48A1"/>
    <w:rsid w:val="00CF540C"/>
    <w:rsid w:val="00CF5CD9"/>
    <w:rsid w:val="00CF67F1"/>
    <w:rsid w:val="00CF7789"/>
    <w:rsid w:val="00D01E73"/>
    <w:rsid w:val="00D02F71"/>
    <w:rsid w:val="00D0314D"/>
    <w:rsid w:val="00D0437A"/>
    <w:rsid w:val="00D05F0E"/>
    <w:rsid w:val="00D132EA"/>
    <w:rsid w:val="00D13DA8"/>
    <w:rsid w:val="00D17D84"/>
    <w:rsid w:val="00D20184"/>
    <w:rsid w:val="00D2193C"/>
    <w:rsid w:val="00D2665C"/>
    <w:rsid w:val="00D302FA"/>
    <w:rsid w:val="00D31229"/>
    <w:rsid w:val="00D31A22"/>
    <w:rsid w:val="00D32CD6"/>
    <w:rsid w:val="00D3347A"/>
    <w:rsid w:val="00D34EDB"/>
    <w:rsid w:val="00D355AF"/>
    <w:rsid w:val="00D362C9"/>
    <w:rsid w:val="00D4185E"/>
    <w:rsid w:val="00D424F4"/>
    <w:rsid w:val="00D5039B"/>
    <w:rsid w:val="00D57F85"/>
    <w:rsid w:val="00D61E00"/>
    <w:rsid w:val="00D63B31"/>
    <w:rsid w:val="00D64F39"/>
    <w:rsid w:val="00D70B9C"/>
    <w:rsid w:val="00D71AF2"/>
    <w:rsid w:val="00D73671"/>
    <w:rsid w:val="00D74914"/>
    <w:rsid w:val="00D7651E"/>
    <w:rsid w:val="00D765FC"/>
    <w:rsid w:val="00D769EB"/>
    <w:rsid w:val="00D774EA"/>
    <w:rsid w:val="00D80CDC"/>
    <w:rsid w:val="00D8264B"/>
    <w:rsid w:val="00D8422D"/>
    <w:rsid w:val="00D879E6"/>
    <w:rsid w:val="00D9028D"/>
    <w:rsid w:val="00D90E2B"/>
    <w:rsid w:val="00D91F21"/>
    <w:rsid w:val="00D930A2"/>
    <w:rsid w:val="00D935CD"/>
    <w:rsid w:val="00D94273"/>
    <w:rsid w:val="00D944A0"/>
    <w:rsid w:val="00D946E9"/>
    <w:rsid w:val="00DA3EE7"/>
    <w:rsid w:val="00DA47F3"/>
    <w:rsid w:val="00DA7EB6"/>
    <w:rsid w:val="00DB2502"/>
    <w:rsid w:val="00DB45CC"/>
    <w:rsid w:val="00DB7E41"/>
    <w:rsid w:val="00DC1BF6"/>
    <w:rsid w:val="00DC3A4D"/>
    <w:rsid w:val="00DC4022"/>
    <w:rsid w:val="00DC4FA6"/>
    <w:rsid w:val="00DC500F"/>
    <w:rsid w:val="00DC76AE"/>
    <w:rsid w:val="00DD0476"/>
    <w:rsid w:val="00DD18DE"/>
    <w:rsid w:val="00DD230C"/>
    <w:rsid w:val="00DD2358"/>
    <w:rsid w:val="00DD4D0C"/>
    <w:rsid w:val="00DE0C34"/>
    <w:rsid w:val="00DE2DF3"/>
    <w:rsid w:val="00DE3B31"/>
    <w:rsid w:val="00DE7014"/>
    <w:rsid w:val="00DF1FFA"/>
    <w:rsid w:val="00DF677B"/>
    <w:rsid w:val="00E00B48"/>
    <w:rsid w:val="00E01702"/>
    <w:rsid w:val="00E027C9"/>
    <w:rsid w:val="00E02F47"/>
    <w:rsid w:val="00E030EE"/>
    <w:rsid w:val="00E05423"/>
    <w:rsid w:val="00E0646B"/>
    <w:rsid w:val="00E0723B"/>
    <w:rsid w:val="00E108C3"/>
    <w:rsid w:val="00E11F03"/>
    <w:rsid w:val="00E120B9"/>
    <w:rsid w:val="00E13758"/>
    <w:rsid w:val="00E148F3"/>
    <w:rsid w:val="00E151DA"/>
    <w:rsid w:val="00E15382"/>
    <w:rsid w:val="00E20944"/>
    <w:rsid w:val="00E22006"/>
    <w:rsid w:val="00E238A2"/>
    <w:rsid w:val="00E23DCD"/>
    <w:rsid w:val="00E241E7"/>
    <w:rsid w:val="00E2758F"/>
    <w:rsid w:val="00E3243B"/>
    <w:rsid w:val="00E335D8"/>
    <w:rsid w:val="00E33707"/>
    <w:rsid w:val="00E33A55"/>
    <w:rsid w:val="00E34005"/>
    <w:rsid w:val="00E34DA9"/>
    <w:rsid w:val="00E35FAE"/>
    <w:rsid w:val="00E413AB"/>
    <w:rsid w:val="00E43274"/>
    <w:rsid w:val="00E453B5"/>
    <w:rsid w:val="00E459CF"/>
    <w:rsid w:val="00E4665E"/>
    <w:rsid w:val="00E5076B"/>
    <w:rsid w:val="00E53F38"/>
    <w:rsid w:val="00E57045"/>
    <w:rsid w:val="00E60CDF"/>
    <w:rsid w:val="00E64E71"/>
    <w:rsid w:val="00E70312"/>
    <w:rsid w:val="00E73E35"/>
    <w:rsid w:val="00E740D3"/>
    <w:rsid w:val="00E807BA"/>
    <w:rsid w:val="00E80F7E"/>
    <w:rsid w:val="00E8164C"/>
    <w:rsid w:val="00E82B5F"/>
    <w:rsid w:val="00E85FFA"/>
    <w:rsid w:val="00E879C9"/>
    <w:rsid w:val="00E9070C"/>
    <w:rsid w:val="00E90D94"/>
    <w:rsid w:val="00E95194"/>
    <w:rsid w:val="00E96F65"/>
    <w:rsid w:val="00EA019B"/>
    <w:rsid w:val="00EA26FB"/>
    <w:rsid w:val="00EA5BBB"/>
    <w:rsid w:val="00EA7212"/>
    <w:rsid w:val="00EB10A7"/>
    <w:rsid w:val="00EB2328"/>
    <w:rsid w:val="00EB48A2"/>
    <w:rsid w:val="00EB494C"/>
    <w:rsid w:val="00EB6DE7"/>
    <w:rsid w:val="00EB71F5"/>
    <w:rsid w:val="00EC3656"/>
    <w:rsid w:val="00EC6890"/>
    <w:rsid w:val="00EC72A4"/>
    <w:rsid w:val="00ED08B0"/>
    <w:rsid w:val="00ED2CF2"/>
    <w:rsid w:val="00ED694A"/>
    <w:rsid w:val="00ED76D9"/>
    <w:rsid w:val="00EE0169"/>
    <w:rsid w:val="00EE1FD3"/>
    <w:rsid w:val="00EE4722"/>
    <w:rsid w:val="00F0019C"/>
    <w:rsid w:val="00F006BB"/>
    <w:rsid w:val="00F060A4"/>
    <w:rsid w:val="00F06124"/>
    <w:rsid w:val="00F06F4B"/>
    <w:rsid w:val="00F07523"/>
    <w:rsid w:val="00F10055"/>
    <w:rsid w:val="00F10837"/>
    <w:rsid w:val="00F1326E"/>
    <w:rsid w:val="00F155B4"/>
    <w:rsid w:val="00F15D39"/>
    <w:rsid w:val="00F16B10"/>
    <w:rsid w:val="00F16E76"/>
    <w:rsid w:val="00F205D9"/>
    <w:rsid w:val="00F22898"/>
    <w:rsid w:val="00F231AB"/>
    <w:rsid w:val="00F24BB1"/>
    <w:rsid w:val="00F26054"/>
    <w:rsid w:val="00F27C44"/>
    <w:rsid w:val="00F304EE"/>
    <w:rsid w:val="00F31887"/>
    <w:rsid w:val="00F35671"/>
    <w:rsid w:val="00F400C4"/>
    <w:rsid w:val="00F41E90"/>
    <w:rsid w:val="00F4710F"/>
    <w:rsid w:val="00F507C9"/>
    <w:rsid w:val="00F53A81"/>
    <w:rsid w:val="00F57D8D"/>
    <w:rsid w:val="00F60AAC"/>
    <w:rsid w:val="00F60E88"/>
    <w:rsid w:val="00F6324E"/>
    <w:rsid w:val="00F667DA"/>
    <w:rsid w:val="00F67288"/>
    <w:rsid w:val="00F7182B"/>
    <w:rsid w:val="00F73B29"/>
    <w:rsid w:val="00F757F6"/>
    <w:rsid w:val="00F7632F"/>
    <w:rsid w:val="00F8168D"/>
    <w:rsid w:val="00F823B7"/>
    <w:rsid w:val="00F82B69"/>
    <w:rsid w:val="00F86321"/>
    <w:rsid w:val="00F90B43"/>
    <w:rsid w:val="00F91143"/>
    <w:rsid w:val="00F91188"/>
    <w:rsid w:val="00F9546C"/>
    <w:rsid w:val="00F95A5F"/>
    <w:rsid w:val="00F96CF9"/>
    <w:rsid w:val="00F974A1"/>
    <w:rsid w:val="00F97B72"/>
    <w:rsid w:val="00FA10A8"/>
    <w:rsid w:val="00FA1427"/>
    <w:rsid w:val="00FA1505"/>
    <w:rsid w:val="00FA3291"/>
    <w:rsid w:val="00FA45BA"/>
    <w:rsid w:val="00FA5296"/>
    <w:rsid w:val="00FB1F93"/>
    <w:rsid w:val="00FB455F"/>
    <w:rsid w:val="00FB48DF"/>
    <w:rsid w:val="00FB5972"/>
    <w:rsid w:val="00FB632F"/>
    <w:rsid w:val="00FB6D5B"/>
    <w:rsid w:val="00FC3B49"/>
    <w:rsid w:val="00FC3BAF"/>
    <w:rsid w:val="00FC5824"/>
    <w:rsid w:val="00FC5AFE"/>
    <w:rsid w:val="00FC5D22"/>
    <w:rsid w:val="00FD01BA"/>
    <w:rsid w:val="00FD0CA5"/>
    <w:rsid w:val="00FD1E2E"/>
    <w:rsid w:val="00FD4012"/>
    <w:rsid w:val="00FD5D5C"/>
    <w:rsid w:val="00FE20F3"/>
    <w:rsid w:val="00FE278C"/>
    <w:rsid w:val="00FE2C04"/>
    <w:rsid w:val="00FE4D45"/>
    <w:rsid w:val="00FE5412"/>
    <w:rsid w:val="00FE6874"/>
    <w:rsid w:val="00FF0084"/>
    <w:rsid w:val="00FF0E8C"/>
    <w:rsid w:val="00FF2E9A"/>
    <w:rsid w:val="00FF4F25"/>
    <w:rsid w:val="00FF5A7C"/>
    <w:rsid w:val="00FF6B57"/>
    <w:rsid w:val="00FF6CF9"/>
    <w:rsid w:val="016B37F4"/>
    <w:rsid w:val="0174543F"/>
    <w:rsid w:val="036258BF"/>
    <w:rsid w:val="036B6F61"/>
    <w:rsid w:val="039B1FC9"/>
    <w:rsid w:val="055D7D8C"/>
    <w:rsid w:val="06C77060"/>
    <w:rsid w:val="08E904B7"/>
    <w:rsid w:val="08FC31D5"/>
    <w:rsid w:val="0969510B"/>
    <w:rsid w:val="0A126120"/>
    <w:rsid w:val="0A173E2D"/>
    <w:rsid w:val="0A341CDE"/>
    <w:rsid w:val="0A703991"/>
    <w:rsid w:val="0AA90595"/>
    <w:rsid w:val="0B350C8E"/>
    <w:rsid w:val="0BA734EE"/>
    <w:rsid w:val="0BDF50F4"/>
    <w:rsid w:val="0CD13542"/>
    <w:rsid w:val="0D3445F4"/>
    <w:rsid w:val="0DE17921"/>
    <w:rsid w:val="0E39683A"/>
    <w:rsid w:val="0E8C7DF3"/>
    <w:rsid w:val="0E952089"/>
    <w:rsid w:val="0F0E1130"/>
    <w:rsid w:val="0F883694"/>
    <w:rsid w:val="111B7123"/>
    <w:rsid w:val="12300AD5"/>
    <w:rsid w:val="13D67934"/>
    <w:rsid w:val="142526B6"/>
    <w:rsid w:val="16024C41"/>
    <w:rsid w:val="17263178"/>
    <w:rsid w:val="18A87F63"/>
    <w:rsid w:val="1A776975"/>
    <w:rsid w:val="1AFA30DB"/>
    <w:rsid w:val="1B8761D8"/>
    <w:rsid w:val="1BD1472E"/>
    <w:rsid w:val="1BD91554"/>
    <w:rsid w:val="1C8B55A1"/>
    <w:rsid w:val="1C9667E2"/>
    <w:rsid w:val="1CE02E11"/>
    <w:rsid w:val="1D455D95"/>
    <w:rsid w:val="1D9A1D82"/>
    <w:rsid w:val="1DCC37B7"/>
    <w:rsid w:val="1FA71E85"/>
    <w:rsid w:val="20475DBA"/>
    <w:rsid w:val="2084116E"/>
    <w:rsid w:val="20FC6D06"/>
    <w:rsid w:val="217E178C"/>
    <w:rsid w:val="22D726E0"/>
    <w:rsid w:val="23625B52"/>
    <w:rsid w:val="237F34A2"/>
    <w:rsid w:val="2398260B"/>
    <w:rsid w:val="23D93BE6"/>
    <w:rsid w:val="23FB54D5"/>
    <w:rsid w:val="2513673A"/>
    <w:rsid w:val="25E253DA"/>
    <w:rsid w:val="25E87192"/>
    <w:rsid w:val="262A444A"/>
    <w:rsid w:val="271B2E86"/>
    <w:rsid w:val="274A184C"/>
    <w:rsid w:val="27860CAC"/>
    <w:rsid w:val="28166E74"/>
    <w:rsid w:val="29B13EE3"/>
    <w:rsid w:val="2A2B5896"/>
    <w:rsid w:val="2B353338"/>
    <w:rsid w:val="2B631343"/>
    <w:rsid w:val="2EBB72D1"/>
    <w:rsid w:val="2EEF49F4"/>
    <w:rsid w:val="2F3A7103"/>
    <w:rsid w:val="305A2F9C"/>
    <w:rsid w:val="31147CDD"/>
    <w:rsid w:val="31472444"/>
    <w:rsid w:val="318A171B"/>
    <w:rsid w:val="32C051A1"/>
    <w:rsid w:val="330D6E7A"/>
    <w:rsid w:val="33B52568"/>
    <w:rsid w:val="34E27FAC"/>
    <w:rsid w:val="35885819"/>
    <w:rsid w:val="35CE51D8"/>
    <w:rsid w:val="37CE55E2"/>
    <w:rsid w:val="399169CD"/>
    <w:rsid w:val="39FD6DFF"/>
    <w:rsid w:val="3A073317"/>
    <w:rsid w:val="3A0820BE"/>
    <w:rsid w:val="3A102576"/>
    <w:rsid w:val="3A145A9D"/>
    <w:rsid w:val="3A6C4D38"/>
    <w:rsid w:val="3AFA42CB"/>
    <w:rsid w:val="3BCC3603"/>
    <w:rsid w:val="3C35733C"/>
    <w:rsid w:val="3C514D1C"/>
    <w:rsid w:val="3E510E77"/>
    <w:rsid w:val="40325F09"/>
    <w:rsid w:val="414B4169"/>
    <w:rsid w:val="41AA7332"/>
    <w:rsid w:val="43082CE4"/>
    <w:rsid w:val="43474629"/>
    <w:rsid w:val="440250EA"/>
    <w:rsid w:val="441C33EE"/>
    <w:rsid w:val="446F9653"/>
    <w:rsid w:val="44745199"/>
    <w:rsid w:val="44AB72F2"/>
    <w:rsid w:val="45001BC2"/>
    <w:rsid w:val="45100EDD"/>
    <w:rsid w:val="46EF41E6"/>
    <w:rsid w:val="484637F9"/>
    <w:rsid w:val="48A57D63"/>
    <w:rsid w:val="48B12B78"/>
    <w:rsid w:val="48D1527D"/>
    <w:rsid w:val="49277A61"/>
    <w:rsid w:val="4A3D3638"/>
    <w:rsid w:val="4AB21456"/>
    <w:rsid w:val="4AD75A94"/>
    <w:rsid w:val="4AEE5163"/>
    <w:rsid w:val="4AFB6A88"/>
    <w:rsid w:val="4B7C17A5"/>
    <w:rsid w:val="4E4169F5"/>
    <w:rsid w:val="4F06369A"/>
    <w:rsid w:val="4F7FA7DE"/>
    <w:rsid w:val="4FCE4CC6"/>
    <w:rsid w:val="50335D71"/>
    <w:rsid w:val="50AE6E0E"/>
    <w:rsid w:val="50BE1297"/>
    <w:rsid w:val="50F76721"/>
    <w:rsid w:val="515B3273"/>
    <w:rsid w:val="51BF63B5"/>
    <w:rsid w:val="5463469A"/>
    <w:rsid w:val="563F7A3D"/>
    <w:rsid w:val="573F0A13"/>
    <w:rsid w:val="58AA52FF"/>
    <w:rsid w:val="5984729F"/>
    <w:rsid w:val="5AAA3787"/>
    <w:rsid w:val="5BBF3FA7"/>
    <w:rsid w:val="5E8E605A"/>
    <w:rsid w:val="5EEA13F0"/>
    <w:rsid w:val="5F3A49A2"/>
    <w:rsid w:val="608562B0"/>
    <w:rsid w:val="621C6681"/>
    <w:rsid w:val="64964083"/>
    <w:rsid w:val="689B104D"/>
    <w:rsid w:val="68B268D4"/>
    <w:rsid w:val="68D55BBD"/>
    <w:rsid w:val="695818F0"/>
    <w:rsid w:val="699D513D"/>
    <w:rsid w:val="69F65E2E"/>
    <w:rsid w:val="6A6D2480"/>
    <w:rsid w:val="6BB66811"/>
    <w:rsid w:val="6E1E1440"/>
    <w:rsid w:val="6E2B3413"/>
    <w:rsid w:val="6EC505D9"/>
    <w:rsid w:val="6F300A16"/>
    <w:rsid w:val="6F6A29B9"/>
    <w:rsid w:val="71293AC5"/>
    <w:rsid w:val="7161486E"/>
    <w:rsid w:val="71616833"/>
    <w:rsid w:val="71CA3833"/>
    <w:rsid w:val="71FB5323"/>
    <w:rsid w:val="72397147"/>
    <w:rsid w:val="723C53D6"/>
    <w:rsid w:val="7283436D"/>
    <w:rsid w:val="73266FB3"/>
    <w:rsid w:val="73596AC1"/>
    <w:rsid w:val="746A48C0"/>
    <w:rsid w:val="751C37C1"/>
    <w:rsid w:val="76E02CF8"/>
    <w:rsid w:val="77ECF799"/>
    <w:rsid w:val="79452ADE"/>
    <w:rsid w:val="79BB9AEC"/>
    <w:rsid w:val="7AE34FCA"/>
    <w:rsid w:val="7BF10A93"/>
    <w:rsid w:val="7D861156"/>
    <w:rsid w:val="7E2E07E3"/>
    <w:rsid w:val="7FFF2503"/>
    <w:rsid w:val="A7FD2B19"/>
    <w:rsid w:val="B669B815"/>
    <w:rsid w:val="CFEFC857"/>
    <w:rsid w:val="EFB924FA"/>
    <w:rsid w:val="FEF21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qFormat="1"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216"/>
    <w:qFormat/>
    <w:uiPriority w:val="0"/>
    <w:pPr>
      <w:keepNext/>
      <w:keepLines/>
      <w:spacing w:before="340" w:after="330" w:line="576" w:lineRule="auto"/>
      <w:outlineLvl w:val="0"/>
    </w:pPr>
    <w:rPr>
      <w:b/>
      <w:kern w:val="44"/>
      <w:sz w:val="44"/>
      <w:szCs w:val="20"/>
    </w:rPr>
  </w:style>
  <w:style w:type="paragraph" w:styleId="5">
    <w:name w:val="heading 2"/>
    <w:basedOn w:val="1"/>
    <w:next w:val="1"/>
    <w:link w:val="220"/>
    <w:qFormat/>
    <w:uiPriority w:val="0"/>
    <w:pPr>
      <w:keepNext/>
      <w:keepLines/>
      <w:spacing w:before="260" w:after="260" w:line="412" w:lineRule="auto"/>
      <w:outlineLvl w:val="1"/>
    </w:pPr>
    <w:rPr>
      <w:rFonts w:ascii="Arial" w:hAnsi="Arial" w:eastAsia="黑体"/>
      <w:b/>
      <w:sz w:val="32"/>
      <w:szCs w:val="20"/>
    </w:rPr>
  </w:style>
  <w:style w:type="paragraph" w:styleId="6">
    <w:name w:val="heading 3"/>
    <w:basedOn w:val="1"/>
    <w:next w:val="1"/>
    <w:link w:val="189"/>
    <w:qFormat/>
    <w:uiPriority w:val="0"/>
    <w:pPr>
      <w:keepNext/>
      <w:keepLines/>
      <w:spacing w:before="260" w:after="260" w:line="412" w:lineRule="auto"/>
      <w:ind w:firstLine="49" w:firstLineChars="49"/>
      <w:outlineLvl w:val="2"/>
    </w:pPr>
    <w:rPr>
      <w:rFonts w:ascii="黑体" w:hAnsi="Calibri" w:eastAsia="黑体"/>
      <w:sz w:val="28"/>
      <w:szCs w:val="20"/>
    </w:rPr>
  </w:style>
  <w:style w:type="paragraph" w:styleId="7">
    <w:name w:val="heading 4"/>
    <w:basedOn w:val="1"/>
    <w:next w:val="1"/>
    <w:link w:val="162"/>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164"/>
    <w:qFormat/>
    <w:uiPriority w:val="0"/>
    <w:pPr>
      <w:keepNext/>
      <w:keepLines/>
      <w:spacing w:before="280" w:after="290" w:line="376" w:lineRule="auto"/>
      <w:outlineLvl w:val="4"/>
    </w:pPr>
    <w:rPr>
      <w:b/>
      <w:bCs/>
      <w:sz w:val="28"/>
      <w:szCs w:val="28"/>
    </w:rPr>
  </w:style>
  <w:style w:type="paragraph" w:styleId="9">
    <w:name w:val="heading 6"/>
    <w:basedOn w:val="1"/>
    <w:next w:val="1"/>
    <w:link w:val="286"/>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10">
    <w:name w:val="heading 7"/>
    <w:basedOn w:val="1"/>
    <w:next w:val="1"/>
    <w:link w:val="195"/>
    <w:qFormat/>
    <w:uiPriority w:val="0"/>
    <w:pPr>
      <w:keepNext/>
      <w:keepLines/>
      <w:widowControl/>
      <w:tabs>
        <w:tab w:val="left" w:pos="2520"/>
      </w:tabs>
      <w:spacing w:before="240" w:after="64" w:line="319" w:lineRule="auto"/>
      <w:ind w:left="1296" w:hanging="1296"/>
      <w:jc w:val="left"/>
      <w:outlineLvl w:val="6"/>
    </w:pPr>
    <w:rPr>
      <w:b/>
      <w:bCs/>
      <w:kern w:val="0"/>
      <w:sz w:val="24"/>
      <w:szCs w:val="20"/>
    </w:rPr>
  </w:style>
  <w:style w:type="paragraph" w:styleId="11">
    <w:name w:val="heading 8"/>
    <w:basedOn w:val="1"/>
    <w:next w:val="1"/>
    <w:link w:val="259"/>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2">
    <w:name w:val="heading 9"/>
    <w:basedOn w:val="1"/>
    <w:next w:val="1"/>
    <w:link w:val="19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235"/>
    <w:unhideWhenUsed/>
    <w:qFormat/>
    <w:uiPriority w:val="99"/>
    <w:pPr>
      <w:spacing w:after="120"/>
    </w:pPr>
    <w:rPr>
      <w:szCs w:val="20"/>
    </w:rPr>
  </w:style>
  <w:style w:type="paragraph" w:styleId="3">
    <w:name w:val="Title"/>
    <w:basedOn w:val="1"/>
    <w:next w:val="1"/>
    <w:link w:val="27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13">
    <w:name w:val="toc 7"/>
    <w:basedOn w:val="1"/>
    <w:next w:val="1"/>
    <w:qFormat/>
    <w:uiPriority w:val="0"/>
    <w:pPr>
      <w:ind w:left="1200" w:leftChars="1200"/>
    </w:pPr>
  </w:style>
  <w:style w:type="paragraph" w:styleId="14">
    <w:name w:val="Normal Indent"/>
    <w:basedOn w:val="1"/>
    <w:qFormat/>
    <w:uiPriority w:val="0"/>
    <w:pPr>
      <w:ind w:firstLine="420"/>
    </w:pPr>
  </w:style>
  <w:style w:type="paragraph" w:styleId="15">
    <w:name w:val="Document Map"/>
    <w:basedOn w:val="1"/>
    <w:link w:val="284"/>
    <w:qFormat/>
    <w:uiPriority w:val="0"/>
    <w:rPr>
      <w:rFonts w:ascii="宋体" w:hAnsi="Calibri"/>
      <w:sz w:val="18"/>
      <w:szCs w:val="18"/>
    </w:rPr>
  </w:style>
  <w:style w:type="paragraph" w:styleId="16">
    <w:name w:val="annotation text"/>
    <w:basedOn w:val="1"/>
    <w:link w:val="163"/>
    <w:qFormat/>
    <w:uiPriority w:val="0"/>
    <w:pPr>
      <w:jc w:val="left"/>
    </w:pPr>
    <w:rPr>
      <w:szCs w:val="20"/>
    </w:rPr>
  </w:style>
  <w:style w:type="paragraph" w:styleId="17">
    <w:name w:val="Body Text 3"/>
    <w:basedOn w:val="1"/>
    <w:link w:val="276"/>
    <w:qFormat/>
    <w:uiPriority w:val="0"/>
    <w:rPr>
      <w:rFonts w:ascii="宋体" w:hAnsi="Calibri"/>
      <w:sz w:val="24"/>
      <w:szCs w:val="20"/>
    </w:rPr>
  </w:style>
  <w:style w:type="paragraph" w:styleId="18">
    <w:name w:val="Body Text Indent"/>
    <w:basedOn w:val="1"/>
    <w:link w:val="191"/>
    <w:qFormat/>
    <w:uiPriority w:val="0"/>
    <w:pPr>
      <w:spacing w:after="120"/>
      <w:ind w:left="420" w:leftChars="200"/>
    </w:pPr>
    <w:rPr>
      <w:szCs w:val="20"/>
    </w:rPr>
  </w:style>
  <w:style w:type="paragraph" w:styleId="19">
    <w:name w:val="Block Text"/>
    <w:basedOn w:val="1"/>
    <w:unhideWhenUsed/>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00" w:leftChars="800"/>
    </w:pPr>
  </w:style>
  <w:style w:type="paragraph" w:styleId="21">
    <w:name w:val="toc 3"/>
    <w:basedOn w:val="1"/>
    <w:next w:val="1"/>
    <w:qFormat/>
    <w:uiPriority w:val="39"/>
    <w:pPr>
      <w:ind w:left="400" w:leftChars="400"/>
    </w:pPr>
  </w:style>
  <w:style w:type="paragraph" w:styleId="22">
    <w:name w:val="Plain Text"/>
    <w:basedOn w:val="1"/>
    <w:link w:val="205"/>
    <w:qFormat/>
    <w:uiPriority w:val="0"/>
    <w:rPr>
      <w:rFonts w:ascii="宋体" w:hAnsi="Calibri"/>
    </w:rPr>
  </w:style>
  <w:style w:type="paragraph" w:styleId="23">
    <w:name w:val="toc 8"/>
    <w:basedOn w:val="1"/>
    <w:next w:val="1"/>
    <w:qFormat/>
    <w:uiPriority w:val="0"/>
    <w:pPr>
      <w:ind w:left="1400" w:leftChars="1400"/>
    </w:pPr>
  </w:style>
  <w:style w:type="paragraph" w:styleId="24">
    <w:name w:val="Date"/>
    <w:basedOn w:val="1"/>
    <w:next w:val="1"/>
    <w:link w:val="233"/>
    <w:qFormat/>
    <w:uiPriority w:val="0"/>
    <w:pPr>
      <w:ind w:left="2500" w:leftChars="2500"/>
    </w:pPr>
    <w:rPr>
      <w:szCs w:val="20"/>
    </w:rPr>
  </w:style>
  <w:style w:type="paragraph" w:styleId="25">
    <w:name w:val="Body Text Indent 2"/>
    <w:basedOn w:val="1"/>
    <w:link w:val="265"/>
    <w:unhideWhenUsed/>
    <w:qFormat/>
    <w:uiPriority w:val="0"/>
    <w:pPr>
      <w:ind w:firstLine="560" w:firstLineChars="200"/>
    </w:pPr>
    <w:rPr>
      <w:sz w:val="28"/>
    </w:rPr>
  </w:style>
  <w:style w:type="paragraph" w:styleId="26">
    <w:name w:val="Balloon Text"/>
    <w:basedOn w:val="1"/>
    <w:link w:val="261"/>
    <w:qFormat/>
    <w:uiPriority w:val="99"/>
    <w:rPr>
      <w:sz w:val="18"/>
      <w:szCs w:val="20"/>
    </w:rPr>
  </w:style>
  <w:style w:type="paragraph" w:styleId="27">
    <w:name w:val="footer"/>
    <w:basedOn w:val="1"/>
    <w:link w:val="182"/>
    <w:qFormat/>
    <w:uiPriority w:val="0"/>
    <w:pPr>
      <w:tabs>
        <w:tab w:val="center" w:pos="4153"/>
        <w:tab w:val="right" w:pos="8306"/>
      </w:tabs>
      <w:snapToGrid w:val="0"/>
      <w:jc w:val="left"/>
    </w:pPr>
    <w:rPr>
      <w:rFonts w:ascii="Calibri" w:hAnsi="Calibri"/>
      <w:sz w:val="18"/>
    </w:rPr>
  </w:style>
  <w:style w:type="paragraph" w:styleId="28">
    <w:name w:val="header"/>
    <w:basedOn w:val="1"/>
    <w:link w:val="254"/>
    <w:qFormat/>
    <w:uiPriority w:val="0"/>
    <w:pPr>
      <w:tabs>
        <w:tab w:val="center" w:pos="4153"/>
        <w:tab w:val="right" w:pos="8306"/>
      </w:tabs>
      <w:snapToGrid w:val="0"/>
    </w:pPr>
    <w:rPr>
      <w:sz w:val="18"/>
      <w:szCs w:val="20"/>
    </w:rPr>
  </w:style>
  <w:style w:type="paragraph" w:styleId="29">
    <w:name w:val="toc 1"/>
    <w:basedOn w:val="1"/>
    <w:next w:val="1"/>
    <w:qFormat/>
    <w:uiPriority w:val="39"/>
  </w:style>
  <w:style w:type="paragraph" w:styleId="30">
    <w:name w:val="toc 4"/>
    <w:basedOn w:val="1"/>
    <w:next w:val="1"/>
    <w:qFormat/>
    <w:uiPriority w:val="0"/>
    <w:pPr>
      <w:ind w:left="600" w:leftChars="600"/>
    </w:pPr>
  </w:style>
  <w:style w:type="paragraph" w:styleId="31">
    <w:name w:val="toc 6"/>
    <w:basedOn w:val="1"/>
    <w:next w:val="1"/>
    <w:qFormat/>
    <w:uiPriority w:val="0"/>
    <w:pPr>
      <w:ind w:left="1000" w:leftChars="1000"/>
    </w:pPr>
  </w:style>
  <w:style w:type="paragraph" w:styleId="32">
    <w:name w:val="Body Text Indent 3"/>
    <w:basedOn w:val="1"/>
    <w:link w:val="170"/>
    <w:qFormat/>
    <w:uiPriority w:val="0"/>
    <w:pPr>
      <w:spacing w:after="120"/>
      <w:ind w:left="200" w:leftChars="200"/>
    </w:pPr>
    <w:rPr>
      <w:rFonts w:ascii="Calibri" w:hAnsi="Calibri"/>
      <w:sz w:val="16"/>
      <w:szCs w:val="16"/>
    </w:rPr>
  </w:style>
  <w:style w:type="paragraph" w:styleId="33">
    <w:name w:val="toc 2"/>
    <w:basedOn w:val="1"/>
    <w:next w:val="1"/>
    <w:qFormat/>
    <w:uiPriority w:val="39"/>
    <w:pPr>
      <w:ind w:left="200" w:leftChars="200"/>
    </w:pPr>
  </w:style>
  <w:style w:type="paragraph" w:styleId="34">
    <w:name w:val="toc 9"/>
    <w:basedOn w:val="1"/>
    <w:next w:val="1"/>
    <w:qFormat/>
    <w:uiPriority w:val="0"/>
    <w:pPr>
      <w:ind w:left="1600" w:leftChars="1600"/>
    </w:pPr>
  </w:style>
  <w:style w:type="paragraph" w:styleId="35">
    <w:name w:val="Body Text 2"/>
    <w:basedOn w:val="1"/>
    <w:link w:val="160"/>
    <w:unhideWhenUsed/>
    <w:qFormat/>
    <w:uiPriority w:val="0"/>
    <w:rPr>
      <w:sz w:val="24"/>
      <w:szCs w:val="20"/>
    </w:rPr>
  </w:style>
  <w:style w:type="paragraph" w:styleId="36">
    <w:name w:val="HTML Preformatted"/>
    <w:basedOn w:val="1"/>
    <w:link w:val="20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7">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8">
    <w:name w:val="index 1"/>
    <w:basedOn w:val="1"/>
    <w:next w:val="1"/>
    <w:qFormat/>
    <w:uiPriority w:val="0"/>
    <w:pPr>
      <w:spacing w:line="220" w:lineRule="exact"/>
      <w:jc w:val="center"/>
    </w:pPr>
    <w:rPr>
      <w:rFonts w:ascii="仿宋_GB2312" w:hAnsi="Times New Roman" w:eastAsia="仿宋_GB2312"/>
      <w:szCs w:val="21"/>
    </w:rPr>
  </w:style>
  <w:style w:type="paragraph" w:styleId="39">
    <w:name w:val="annotation subject"/>
    <w:basedOn w:val="16"/>
    <w:next w:val="16"/>
    <w:link w:val="223"/>
    <w:qFormat/>
    <w:uiPriority w:val="99"/>
  </w:style>
  <w:style w:type="paragraph" w:styleId="40">
    <w:name w:val="Body Text First Indent"/>
    <w:basedOn w:val="1"/>
    <w:link w:val="219"/>
    <w:qFormat/>
    <w:uiPriority w:val="0"/>
    <w:pPr>
      <w:spacing w:line="312" w:lineRule="auto"/>
      <w:ind w:firstLine="420"/>
    </w:pPr>
    <w:rPr>
      <w:szCs w:val="24"/>
    </w:rPr>
  </w:style>
  <w:style w:type="paragraph" w:styleId="41">
    <w:name w:val="Body Text First Indent 2"/>
    <w:basedOn w:val="18"/>
    <w:link w:val="179"/>
    <w:unhideWhenUsed/>
    <w:qFormat/>
    <w:uiPriority w:val="0"/>
    <w:pPr>
      <w:ind w:firstLine="420" w:firstLineChars="200"/>
    </w:pPr>
    <w:rPr>
      <w:szCs w:val="24"/>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99"/>
  </w:style>
  <w:style w:type="character" w:styleId="47">
    <w:name w:val="FollowedHyperlink"/>
    <w:unhideWhenUsed/>
    <w:qFormat/>
    <w:uiPriority w:val="99"/>
    <w:rPr>
      <w:color w:val="000000"/>
      <w:u w:val="none"/>
    </w:rPr>
  </w:style>
  <w:style w:type="character" w:styleId="48">
    <w:name w:val="Emphasis"/>
    <w:qFormat/>
    <w:uiPriority w:val="0"/>
    <w:rPr>
      <w:rFonts w:ascii="微软雅黑" w:hAnsi="微软雅黑" w:eastAsia="微软雅黑" w:cs="微软雅黑"/>
    </w:rPr>
  </w:style>
  <w:style w:type="character" w:styleId="49">
    <w:name w:val="HTML Acronym"/>
    <w:basedOn w:val="44"/>
    <w:qFormat/>
    <w:uiPriority w:val="0"/>
  </w:style>
  <w:style w:type="character" w:styleId="50">
    <w:name w:val="Hyperlink"/>
    <w:qFormat/>
    <w:uiPriority w:val="99"/>
    <w:rPr>
      <w:color w:val="000000"/>
      <w:u w:val="none"/>
    </w:rPr>
  </w:style>
  <w:style w:type="character" w:styleId="51">
    <w:name w:val="annotation reference"/>
    <w:qFormat/>
    <w:uiPriority w:val="99"/>
    <w:rPr>
      <w:sz w:val="21"/>
    </w:rPr>
  </w:style>
  <w:style w:type="character" w:styleId="52">
    <w:name w:val="footnote reference"/>
    <w:qFormat/>
    <w:uiPriority w:val="0"/>
    <w:rPr>
      <w:vertAlign w:val="superscript"/>
    </w:rPr>
  </w:style>
  <w:style w:type="paragraph" w:customStyle="1" w:styleId="53">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54">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55">
    <w:name w:val="1"/>
    <w:basedOn w:val="1"/>
    <w:qFormat/>
    <w:uiPriority w:val="0"/>
    <w:rPr>
      <w:rFonts w:ascii="Times New Roman" w:hAnsi="Times New Roman"/>
      <w:szCs w:val="20"/>
    </w:rPr>
  </w:style>
  <w:style w:type="paragraph" w:customStyle="1" w:styleId="56">
    <w:name w:val="p0"/>
    <w:basedOn w:val="1"/>
    <w:qFormat/>
    <w:uiPriority w:val="0"/>
    <w:pPr>
      <w:widowControl/>
    </w:pPr>
    <w:rPr>
      <w:kern w:val="0"/>
      <w:szCs w:val="21"/>
    </w:rPr>
  </w:style>
  <w:style w:type="paragraph" w:customStyle="1" w:styleId="57">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58">
    <w:name w:val="font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styleId="59">
    <w:name w:val="No Spacing"/>
    <w:link w:val="258"/>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0">
    <w:name w:val="我的正文"/>
    <w:basedOn w:val="1"/>
    <w:qFormat/>
    <w:uiPriority w:val="0"/>
    <w:rPr>
      <w:rFonts w:ascii="宋体" w:hAnsi="宋体"/>
      <w:sz w:val="24"/>
      <w:szCs w:val="24"/>
    </w:rPr>
  </w:style>
  <w:style w:type="paragraph" w:customStyle="1" w:styleId="6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sz w:val="28"/>
    </w:rPr>
  </w:style>
  <w:style w:type="paragraph" w:customStyle="1" w:styleId="62">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6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4">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等线" w:hAnsi="等线" w:eastAsia="等线" w:cs="宋体"/>
      <w:kern w:val="0"/>
      <w:sz w:val="24"/>
      <w:szCs w:val="24"/>
    </w:rPr>
  </w:style>
  <w:style w:type="paragraph" w:customStyle="1" w:styleId="65">
    <w:name w:val="修订11"/>
    <w:qFormat/>
    <w:uiPriority w:val="0"/>
    <w:rPr>
      <w:rFonts w:ascii="Times New Roman" w:hAnsi="Times New Roman" w:eastAsia="宋体" w:cs="Times New Roman"/>
      <w:kern w:val="2"/>
      <w:sz w:val="21"/>
      <w:szCs w:val="24"/>
      <w:lang w:val="en-US" w:eastAsia="zh-CN" w:bidi="ar-SA"/>
    </w:rPr>
  </w:style>
  <w:style w:type="paragraph" w:customStyle="1" w:styleId="66">
    <w:name w:val="样式 第二级 + 段后: 0.5 行"/>
    <w:basedOn w:val="67"/>
    <w:qFormat/>
    <w:uiPriority w:val="0"/>
    <w:pPr>
      <w:tabs>
        <w:tab w:val="left" w:pos="567"/>
      </w:tabs>
      <w:ind w:left="567" w:hanging="567"/>
    </w:pPr>
    <w:rPr>
      <w:rFonts w:cs="宋体"/>
    </w:rPr>
  </w:style>
  <w:style w:type="paragraph" w:customStyle="1" w:styleId="67">
    <w:name w:val="第二级"/>
    <w:basedOn w:val="1"/>
    <w:qFormat/>
    <w:uiPriority w:val="0"/>
    <w:pPr>
      <w:numPr>
        <w:ilvl w:val="1"/>
        <w:numId w:val="1"/>
      </w:numPr>
      <w:tabs>
        <w:tab w:val="left" w:pos="567"/>
      </w:tabs>
      <w:adjustRightInd w:val="0"/>
      <w:snapToGrid w:val="0"/>
      <w:jc w:val="left"/>
      <w:outlineLvl w:val="1"/>
    </w:pPr>
    <w:rPr>
      <w:rFonts w:ascii="宋体" w:hAnsi="Arial"/>
      <w:sz w:val="24"/>
      <w:szCs w:val="20"/>
    </w:rPr>
  </w:style>
  <w:style w:type="paragraph" w:customStyle="1" w:styleId="68">
    <w:name w:val="_Style 31"/>
    <w:basedOn w:val="1"/>
    <w:qFormat/>
    <w:uiPriority w:val="0"/>
    <w:rPr>
      <w:szCs w:val="20"/>
    </w:rPr>
  </w:style>
  <w:style w:type="paragraph" w:customStyle="1" w:styleId="69">
    <w:name w:val="列表段落"/>
    <w:basedOn w:val="1"/>
    <w:qFormat/>
    <w:uiPriority w:val="34"/>
    <w:pPr>
      <w:spacing w:line="360" w:lineRule="auto"/>
      <w:ind w:firstLine="420" w:firstLineChars="200"/>
    </w:pPr>
  </w:style>
  <w:style w:type="paragraph" w:customStyle="1" w:styleId="70">
    <w:name w:val="域名"/>
    <w:basedOn w:val="1"/>
    <w:qFormat/>
    <w:uiPriority w:val="0"/>
    <w:pPr>
      <w:adjustRightInd w:val="0"/>
      <w:spacing w:line="240" w:lineRule="exact"/>
    </w:pPr>
    <w:rPr>
      <w:rFonts w:ascii="宋体" w:eastAsia="仿宋_GB2312"/>
      <w:b/>
      <w:color w:val="FF0000"/>
      <w:kern w:val="0"/>
      <w:szCs w:val="20"/>
    </w:rPr>
  </w:style>
  <w:style w:type="paragraph" w:customStyle="1" w:styleId="71">
    <w:name w:val="Char1"/>
    <w:basedOn w:val="1"/>
    <w:qFormat/>
    <w:uiPriority w:val="0"/>
    <w:pPr>
      <w:tabs>
        <w:tab w:val="left" w:pos="360"/>
      </w:tabs>
    </w:pPr>
    <w:rPr>
      <w:rFonts w:ascii="Times New Roman" w:hAnsi="Times New Roman"/>
      <w:sz w:val="24"/>
      <w:szCs w:val="20"/>
    </w:rPr>
  </w:style>
  <w:style w:type="paragraph" w:customStyle="1" w:styleId="72">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7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74">
    <w:name w:val="_Style 2"/>
    <w:basedOn w:val="1"/>
    <w:qFormat/>
    <w:uiPriority w:val="34"/>
    <w:pPr>
      <w:ind w:firstLine="420" w:firstLineChars="200"/>
    </w:pPr>
  </w:style>
  <w:style w:type="paragraph" w:customStyle="1" w:styleId="75">
    <w:name w:val="bn"/>
    <w:basedOn w:val="1"/>
    <w:qFormat/>
    <w:uiPriority w:val="0"/>
    <w:pPr>
      <w:topLinePunct/>
      <w:snapToGrid w:val="0"/>
      <w:ind w:left="20" w:leftChars="20" w:right="20" w:rightChars="20"/>
      <w:jc w:val="center"/>
    </w:pPr>
    <w:rPr>
      <w:color w:val="000000"/>
      <w:kern w:val="18"/>
      <w:sz w:val="18"/>
      <w:szCs w:val="18"/>
    </w:rPr>
  </w:style>
  <w:style w:type="paragraph" w:customStyle="1" w:styleId="76">
    <w:name w:val="_Style 23"/>
    <w:basedOn w:val="1"/>
    <w:qFormat/>
    <w:uiPriority w:val="0"/>
    <w:pPr>
      <w:widowControl/>
      <w:spacing w:after="160" w:line="240" w:lineRule="exact"/>
      <w:jc w:val="left"/>
    </w:pPr>
  </w:style>
  <w:style w:type="paragraph" w:customStyle="1" w:styleId="77">
    <w:name w:val="纯文本11"/>
    <w:basedOn w:val="1"/>
    <w:qFormat/>
    <w:uiPriority w:val="99"/>
    <w:pPr>
      <w:adjustRightInd w:val="0"/>
      <w:jc w:val="left"/>
    </w:pPr>
    <w:rPr>
      <w:rFonts w:ascii="宋体" w:hAnsi="Courier New"/>
      <w:sz w:val="24"/>
      <w:szCs w:val="20"/>
    </w:rPr>
  </w:style>
  <w:style w:type="paragraph" w:customStyle="1" w:styleId="78">
    <w:name w:val=" Char"/>
    <w:basedOn w:val="1"/>
    <w:qFormat/>
    <w:uiPriority w:val="0"/>
    <w:rPr>
      <w:rFonts w:ascii="Calibri" w:hAnsi="Calibri"/>
      <w:sz w:val="24"/>
      <w:szCs w:val="24"/>
    </w:rPr>
  </w:style>
  <w:style w:type="paragraph" w:customStyle="1" w:styleId="7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80">
    <w:name w:val="列出段落1"/>
    <w:basedOn w:val="1"/>
    <w:qFormat/>
    <w:uiPriority w:val="0"/>
    <w:pPr>
      <w:ind w:firstLine="420" w:firstLineChars="200"/>
    </w:pPr>
  </w:style>
  <w:style w:type="paragraph" w:customStyle="1" w:styleId="81">
    <w:name w:val="xl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1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84">
    <w:name w:val="Char Char Char Char Char1 Char Char Char Char Char Char Char"/>
    <w:basedOn w:val="1"/>
    <w:qFormat/>
    <w:uiPriority w:val="0"/>
    <w:pPr>
      <w:spacing w:line="360" w:lineRule="auto"/>
    </w:pPr>
    <w:rPr>
      <w:rFonts w:ascii="Tahoma" w:hAnsi="Tahoma"/>
      <w:sz w:val="24"/>
      <w:szCs w:val="20"/>
    </w:rPr>
  </w:style>
  <w:style w:type="paragraph" w:customStyle="1" w:styleId="85">
    <w:name w:val="发文落款"/>
    <w:basedOn w:val="86"/>
    <w:qFormat/>
    <w:uiPriority w:val="0"/>
    <w:pPr>
      <w:ind w:left="4094" w:right="607" w:firstLine="0"/>
      <w:jc w:val="center"/>
    </w:pPr>
  </w:style>
  <w:style w:type="paragraph" w:customStyle="1" w:styleId="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7">
    <w:name w:val="_Style 67"/>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88">
    <w:name w:val="样式 样式 样式1 + 段后: 0.5 行 + 段后: 0.5 行"/>
    <w:basedOn w:val="1"/>
    <w:qFormat/>
    <w:uiPriority w:val="0"/>
    <w:pPr>
      <w:numPr>
        <w:ilvl w:val="0"/>
        <w:numId w:val="2"/>
      </w:numPr>
      <w:tabs>
        <w:tab w:val="left" w:pos="720"/>
      </w:tabs>
      <w:adjustRightInd w:val="0"/>
      <w:snapToGrid w:val="0"/>
      <w:jc w:val="left"/>
      <w:outlineLvl w:val="0"/>
    </w:pPr>
    <w:rPr>
      <w:rFonts w:ascii="宋体" w:hAnsi="Arial" w:cs="宋体"/>
      <w:sz w:val="24"/>
      <w:szCs w:val="20"/>
    </w:rPr>
  </w:style>
  <w:style w:type="paragraph" w:customStyle="1" w:styleId="89">
    <w:name w:val="表格"/>
    <w:basedOn w:val="1"/>
    <w:qFormat/>
    <w:uiPriority w:val="0"/>
    <w:pPr>
      <w:jc w:val="center"/>
      <w:textAlignment w:val="center"/>
    </w:pPr>
    <w:rPr>
      <w:rFonts w:ascii="华文细黑" w:hAnsi="华文细黑"/>
      <w:kern w:val="0"/>
      <w:szCs w:val="20"/>
    </w:rPr>
  </w:style>
  <w:style w:type="paragraph" w:customStyle="1" w:styleId="90">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szCs w:val="20"/>
    </w:rPr>
  </w:style>
  <w:style w:type="paragraph" w:customStyle="1" w:styleId="93">
    <w:name w:val="11"/>
    <w:basedOn w:val="18"/>
    <w:link w:val="194"/>
    <w:qFormat/>
    <w:uiPriority w:val="0"/>
    <w:pPr>
      <w:spacing w:line="360" w:lineRule="auto"/>
    </w:pPr>
    <w:rPr>
      <w:rFonts w:hAnsi="宋体"/>
      <w:b/>
      <w:szCs w:val="21"/>
    </w:rPr>
  </w:style>
  <w:style w:type="paragraph" w:customStyle="1" w:styleId="94">
    <w:name w:val="样式 标题 3 + (中文) 黑体 小四 非加粗 段前: 7.8 磅 段后: 0 磅 行距: 固定值 20 磅"/>
    <w:basedOn w:val="6"/>
    <w:qFormat/>
    <w:uiPriority w:val="0"/>
    <w:pPr>
      <w:spacing w:before="0" w:after="0" w:line="400" w:lineRule="exact"/>
      <w:ind w:firstLine="137"/>
    </w:pPr>
    <w:rPr>
      <w:rFonts w:hAnsi="Times New Roman" w:cs="宋体"/>
      <w:sz w:val="24"/>
    </w:rPr>
  </w:style>
  <w:style w:type="paragraph" w:customStyle="1" w:styleId="95">
    <w:name w:val="xl7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6">
    <w:name w:val="默认段落字体 Para Char Char Char Char"/>
    <w:basedOn w:val="1"/>
    <w:qFormat/>
    <w:uiPriority w:val="0"/>
    <w:rPr>
      <w:szCs w:val="24"/>
    </w:rPr>
  </w:style>
  <w:style w:type="paragraph" w:customStyle="1" w:styleId="97">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98">
    <w:name w:val="bg"/>
    <w:basedOn w:val="18"/>
    <w:qFormat/>
    <w:uiPriority w:val="0"/>
    <w:pPr>
      <w:topLinePunct/>
      <w:snapToGrid w:val="0"/>
      <w:spacing w:after="0"/>
      <w:ind w:left="0" w:leftChars="0"/>
      <w:jc w:val="center"/>
    </w:pPr>
    <w:rPr>
      <w:rFonts w:ascii="Calibri" w:hAnsi="Calibri"/>
      <w:color w:val="000000"/>
      <w:sz w:val="18"/>
      <w:szCs w:val="18"/>
    </w:rPr>
  </w:style>
  <w:style w:type="paragraph" w:styleId="99">
    <w:name w:val="List Paragraph"/>
    <w:basedOn w:val="1"/>
    <w:qFormat/>
    <w:uiPriority w:val="34"/>
    <w:pPr>
      <w:spacing w:line="360" w:lineRule="auto"/>
      <w:ind w:firstLine="420" w:firstLineChars="200"/>
    </w:pPr>
    <w:rPr>
      <w:rFonts w:ascii="Calibri" w:hAnsi="Calibri"/>
    </w:rPr>
  </w:style>
  <w:style w:type="paragraph" w:customStyle="1" w:styleId="100">
    <w:name w:val="正文首行缩进1"/>
    <w:basedOn w:val="1"/>
    <w:link w:val="161"/>
    <w:qFormat/>
    <w:uiPriority w:val="0"/>
    <w:pPr>
      <w:spacing w:line="360" w:lineRule="auto"/>
      <w:ind w:firstLine="200" w:firstLineChars="200"/>
    </w:pPr>
    <w:rPr>
      <w:sz w:val="24"/>
      <w:szCs w:val="24"/>
    </w:rPr>
  </w:style>
  <w:style w:type="paragraph" w:customStyle="1" w:styleId="101">
    <w:name w:val="修订2"/>
    <w:qFormat/>
    <w:uiPriority w:val="0"/>
    <w:rPr>
      <w:rFonts w:ascii="Times New Roman" w:hAnsi="Times New Roman" w:eastAsia="宋体" w:cs="Times New Roman"/>
      <w:kern w:val="2"/>
      <w:sz w:val="21"/>
      <w:szCs w:val="24"/>
      <w:lang w:val="en-US" w:eastAsia="zh-CN" w:bidi="ar-SA"/>
    </w:rPr>
  </w:style>
  <w:style w:type="paragraph" w:customStyle="1" w:styleId="102">
    <w:name w:val="纯文本1"/>
    <w:basedOn w:val="1"/>
    <w:qFormat/>
    <w:uiPriority w:val="0"/>
    <w:pPr>
      <w:adjustRightInd w:val="0"/>
      <w:jc w:val="left"/>
    </w:pPr>
    <w:rPr>
      <w:rFonts w:ascii="宋体" w:hAnsi="Courier New"/>
      <w:sz w:val="24"/>
      <w:szCs w:val="20"/>
    </w:rPr>
  </w:style>
  <w:style w:type="paragraph" w:customStyle="1" w:styleId="103">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104">
    <w:name w:val="公文标题"/>
    <w:basedOn w:val="6"/>
    <w:qFormat/>
    <w:uiPriority w:val="0"/>
    <w:pPr>
      <w:spacing w:line="240" w:lineRule="auto"/>
      <w:ind w:left="1469" w:right="1542" w:firstLine="0" w:firstLineChars="0"/>
      <w:jc w:val="center"/>
    </w:pPr>
    <w:rPr>
      <w:rFonts w:ascii="Calibri" w:eastAsia="宋体"/>
      <w:b/>
      <w:sz w:val="44"/>
      <w:szCs w:val="24"/>
    </w:rPr>
  </w:style>
  <w:style w:type="paragraph" w:customStyle="1" w:styleId="105">
    <w:name w:val="Plain Text"/>
    <w:basedOn w:val="1"/>
    <w:qFormat/>
    <w:uiPriority w:val="0"/>
    <w:pPr>
      <w:adjustRightInd w:val="0"/>
      <w:jc w:val="left"/>
      <w:textAlignment w:val="baseline"/>
    </w:pPr>
    <w:rPr>
      <w:rFonts w:ascii="宋体" w:hAnsi="Courier New"/>
      <w:sz w:val="24"/>
      <w:szCs w:val="20"/>
    </w:rPr>
  </w:style>
  <w:style w:type="paragraph" w:customStyle="1" w:styleId="106">
    <w:name w:val="样式1"/>
    <w:basedOn w:val="1"/>
    <w:next w:val="7"/>
    <w:qFormat/>
    <w:uiPriority w:val="0"/>
    <w:pPr>
      <w:spacing w:line="360" w:lineRule="auto"/>
      <w:ind w:firstLine="420" w:firstLineChars="200"/>
    </w:pPr>
    <w:rPr>
      <w:rFonts w:ascii="宋体" w:hAnsi="宋体"/>
      <w:szCs w:val="21"/>
    </w:rPr>
  </w:style>
  <w:style w:type="paragraph" w:customStyle="1" w:styleId="107">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8">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9">
    <w:name w:val="修订1"/>
    <w:qFormat/>
    <w:uiPriority w:val="0"/>
    <w:rPr>
      <w:rFonts w:ascii="Times New Roman" w:hAnsi="Times New Roman" w:eastAsia="宋体" w:cs="Times New Roman"/>
      <w:kern w:val="2"/>
      <w:sz w:val="21"/>
      <w:lang w:val="en-US" w:eastAsia="zh-CN" w:bidi="ar-SA"/>
    </w:rPr>
  </w:style>
  <w:style w:type="paragraph" w:customStyle="1" w:styleId="110">
    <w:name w:val="！正文（四号字）"/>
    <w:link w:val="214"/>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11">
    <w:name w:val="_Style 58"/>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12">
    <w:name w:val="样式 段后: 0.5 行1"/>
    <w:basedOn w:val="1"/>
    <w:qFormat/>
    <w:uiPriority w:val="0"/>
    <w:pPr>
      <w:snapToGrid w:val="0"/>
    </w:pPr>
    <w:rPr>
      <w:rFonts w:cs="宋体"/>
      <w:sz w:val="24"/>
      <w:szCs w:val="24"/>
    </w:rPr>
  </w:style>
  <w:style w:type="paragraph" w:customStyle="1" w:styleId="11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sz w:val="32"/>
    </w:rPr>
  </w:style>
  <w:style w:type="paragraph" w:customStyle="1" w:styleId="114">
    <w:name w:val="_Style 1"/>
    <w:basedOn w:val="1"/>
    <w:qFormat/>
    <w:uiPriority w:val="34"/>
    <w:pPr>
      <w:spacing w:line="360" w:lineRule="auto"/>
      <w:ind w:firstLine="420" w:firstLineChars="200"/>
    </w:pPr>
  </w:style>
  <w:style w:type="paragraph" w:customStyle="1" w:styleId="115">
    <w:name w:val="p17"/>
    <w:basedOn w:val="1"/>
    <w:qFormat/>
    <w:uiPriority w:val="0"/>
    <w:pPr>
      <w:widowControl/>
    </w:pPr>
    <w:rPr>
      <w:rFonts w:ascii="宋体" w:hAnsi="宋体" w:cs="宋体"/>
      <w:kern w:val="0"/>
      <w:szCs w:val="21"/>
    </w:rPr>
  </w:style>
  <w:style w:type="paragraph" w:customStyle="1" w:styleId="116">
    <w:name w:val="p15"/>
    <w:basedOn w:val="1"/>
    <w:qFormat/>
    <w:uiPriority w:val="0"/>
    <w:pPr>
      <w:widowControl/>
    </w:pPr>
    <w:rPr>
      <w:rFonts w:ascii="宋体" w:hAnsi="宋体" w:cs="宋体"/>
      <w:kern w:val="0"/>
      <w:szCs w:val="21"/>
    </w:rPr>
  </w:style>
  <w:style w:type="paragraph" w:customStyle="1" w:styleId="117">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18">
    <w:name w:val="_Style 117"/>
    <w:semiHidden/>
    <w:qFormat/>
    <w:uiPriority w:val="99"/>
    <w:rPr>
      <w:rFonts w:ascii="Times New Roman" w:hAnsi="Times New Roman" w:eastAsia="宋体" w:cs="Times New Roman"/>
      <w:kern w:val="2"/>
      <w:sz w:val="21"/>
      <w:lang w:val="en-US" w:eastAsia="zh-CN" w:bidi="ar-SA"/>
    </w:rPr>
  </w:style>
  <w:style w:type="paragraph" w:customStyle="1" w:styleId="119">
    <w:name w:val="表格空行_制度头表格"/>
    <w:basedOn w:val="120"/>
    <w:qFormat/>
    <w:uiPriority w:val="0"/>
    <w:pPr>
      <w:tabs>
        <w:tab w:val="left" w:pos="2960"/>
      </w:tabs>
      <w:jc w:val="both"/>
    </w:pPr>
    <w:rPr>
      <w:rFonts w:eastAsia="黑体"/>
      <w:sz w:val="11"/>
      <w:szCs w:val="30"/>
    </w:rPr>
  </w:style>
  <w:style w:type="paragraph" w:customStyle="1" w:styleId="12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121">
    <w:name w:val="xl22"/>
    <w:basedOn w:val="1"/>
    <w:qFormat/>
    <w:uiPriority w:val="0"/>
    <w:pPr>
      <w:widowControl/>
      <w:spacing w:before="100" w:beforeAutospacing="1" w:after="100" w:afterAutospacing="1"/>
      <w:jc w:val="center"/>
    </w:pPr>
    <w:rPr>
      <w:rFonts w:ascii="仿宋_GB2312" w:hAnsi="宋体" w:eastAsia="仿宋_GB2312"/>
      <w:kern w:val="0"/>
      <w:sz w:val="24"/>
      <w:szCs w:val="24"/>
    </w:rPr>
  </w:style>
  <w:style w:type="paragraph" w:customStyle="1" w:styleId="122">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123">
    <w:name w:val="Char Char Char Char Char Char Char Char Char Char Char Char"/>
    <w:basedOn w:val="1"/>
    <w:qFormat/>
    <w:uiPriority w:val="0"/>
    <w:pPr>
      <w:spacing w:line="360" w:lineRule="auto"/>
    </w:pPr>
    <w:rPr>
      <w:szCs w:val="20"/>
    </w:rPr>
  </w:style>
  <w:style w:type="paragraph" w:customStyle="1" w:styleId="124">
    <w:name w:val="xl80"/>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125">
    <w:name w:val="xl7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6">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szCs w:val="20"/>
    </w:rPr>
  </w:style>
  <w:style w:type="paragraph" w:customStyle="1" w:styleId="127">
    <w:name w:val="Char Char Char Char Char1 Char"/>
    <w:basedOn w:val="1"/>
    <w:qFormat/>
    <w:uiPriority w:val="0"/>
    <w:rPr>
      <w:rFonts w:ascii="Tahoma" w:hAnsi="Tahoma"/>
      <w:sz w:val="24"/>
      <w:szCs w:val="20"/>
    </w:rPr>
  </w:style>
  <w:style w:type="paragraph" w:customStyle="1" w:styleId="128">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9">
    <w:name w:val="_Style 75"/>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30">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正文4"/>
    <w:basedOn w:val="1"/>
    <w:qFormat/>
    <w:uiPriority w:val="0"/>
    <w:pPr>
      <w:ind w:firstLine="630"/>
    </w:pPr>
    <w:rPr>
      <w:sz w:val="28"/>
      <w:szCs w:val="20"/>
    </w:rPr>
  </w:style>
  <w:style w:type="paragraph" w:customStyle="1" w:styleId="132">
    <w:name w:val="默认段落字体 Para Char Char Char Char Char Char Char Char Char Char Char Char Char Char"/>
    <w:basedOn w:val="15"/>
    <w:qFormat/>
    <w:uiPriority w:val="0"/>
    <w:pPr>
      <w:shd w:val="clear" w:color="auto" w:fill="000080"/>
    </w:pPr>
    <w:rPr>
      <w:rFonts w:ascii="Calibri" w:cs="Times New Roman"/>
      <w:sz w:val="21"/>
      <w:szCs w:val="20"/>
    </w:rPr>
  </w:style>
  <w:style w:type="paragraph" w:customStyle="1" w:styleId="133">
    <w:name w:val="Char1 Char Char Char Char Char Char Char Char Char Char Char Char Char Char Char Char Char Char Char"/>
    <w:basedOn w:val="1"/>
    <w:qFormat/>
    <w:uiPriority w:val="0"/>
    <w:pPr>
      <w:spacing w:line="360" w:lineRule="auto"/>
    </w:pPr>
    <w:rPr>
      <w:szCs w:val="20"/>
    </w:rPr>
  </w:style>
  <w:style w:type="paragraph" w:customStyle="1" w:styleId="134">
    <w:name w:val="font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35">
    <w:name w:val="font0"/>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136">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37">
    <w:name w:val="TOC 标题1"/>
    <w:basedOn w:val="4"/>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138">
    <w:name w:val="样式3"/>
    <w:basedOn w:val="5"/>
    <w:qFormat/>
    <w:uiPriority w:val="0"/>
    <w:pPr>
      <w:tabs>
        <w:tab w:val="center" w:pos="4365"/>
        <w:tab w:val="left" w:pos="6075"/>
      </w:tabs>
      <w:spacing w:line="240" w:lineRule="auto"/>
      <w:jc w:val="center"/>
    </w:pPr>
    <w:rPr>
      <w:b w:val="0"/>
      <w:sz w:val="21"/>
      <w:szCs w:val="21"/>
    </w:rPr>
  </w:style>
  <w:style w:type="paragraph" w:customStyle="1" w:styleId="139">
    <w:name w:val="_Style 138"/>
    <w:basedOn w:val="4"/>
    <w:next w:val="1"/>
    <w:qFormat/>
    <w:uiPriority w:val="39"/>
    <w:pPr>
      <w:widowControl/>
      <w:adjustRightInd w:val="0"/>
      <w:spacing w:before="480" w:after="0" w:line="276" w:lineRule="auto"/>
      <w:jc w:val="left"/>
      <w:outlineLvl w:val="9"/>
    </w:pPr>
    <w:rPr>
      <w:rFonts w:ascii="Cambria" w:hAnsi="Cambria"/>
      <w:b w:val="0"/>
      <w:bCs/>
      <w:color w:val="365F91"/>
      <w:kern w:val="0"/>
      <w:sz w:val="28"/>
      <w:szCs w:val="28"/>
    </w:rPr>
  </w:style>
  <w:style w:type="paragraph" w:customStyle="1" w:styleId="140">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4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2">
    <w:name w:val="by"/>
    <w:basedOn w:val="98"/>
    <w:qFormat/>
    <w:uiPriority w:val="0"/>
    <w:pPr>
      <w:autoSpaceDE w:val="0"/>
      <w:autoSpaceDN w:val="0"/>
      <w:adjustRightInd w:val="0"/>
      <w:ind w:left="545" w:leftChars="25" w:right="52" w:rightChars="25" w:hanging="493" w:hangingChars="275"/>
      <w:jc w:val="both"/>
    </w:pPr>
    <w:rPr>
      <w:spacing w:val="2"/>
    </w:rPr>
  </w:style>
  <w:style w:type="paragraph" w:customStyle="1" w:styleId="143">
    <w:name w:val="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44">
    <w:name w:val="Default"/>
    <w:unhideWhenUsed/>
    <w:qFormat/>
    <w:uiPriority w:val="0"/>
    <w:pPr>
      <w:widowControl w:val="0"/>
      <w:autoSpaceDE w:val="0"/>
      <w:autoSpaceDN w:val="0"/>
      <w:adjustRightInd w:val="0"/>
    </w:pPr>
    <w:rPr>
      <w:rFonts w:ascii="宋体" w:hAnsi="宋体" w:eastAsia="宋体" w:cs="Times New Roman"/>
      <w:color w:val="000000"/>
      <w:sz w:val="24"/>
      <w:lang w:val="en-US" w:eastAsia="zh-CN" w:bidi="ar-SA"/>
    </w:rPr>
  </w:style>
  <w:style w:type="paragraph" w:customStyle="1" w:styleId="14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4"/>
      <w:szCs w:val="24"/>
    </w:rPr>
  </w:style>
  <w:style w:type="paragraph" w:customStyle="1" w:styleId="14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等线" w:hAnsi="等线" w:eastAsia="等线" w:cs="宋体"/>
      <w:color w:val="0000FF"/>
      <w:kern w:val="0"/>
      <w:sz w:val="24"/>
      <w:szCs w:val="24"/>
    </w:rPr>
  </w:style>
  <w:style w:type="paragraph" w:customStyle="1" w:styleId="147">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8">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49">
    <w:name w:val=" Char1 Char Char Char Char Char Char Char Char Char Char Char Char Char Char Char Char Char Char Char"/>
    <w:basedOn w:val="1"/>
    <w:qFormat/>
    <w:uiPriority w:val="0"/>
    <w:pPr>
      <w:spacing w:line="360" w:lineRule="auto"/>
    </w:pPr>
    <w:rPr>
      <w:rFonts w:ascii="Calibri" w:hAnsi="Calibri"/>
      <w:szCs w:val="20"/>
    </w:rPr>
  </w:style>
  <w:style w:type="paragraph" w:customStyle="1" w:styleId="150">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szCs w:val="20"/>
    </w:rPr>
  </w:style>
  <w:style w:type="paragraph" w:customStyle="1" w:styleId="151">
    <w:name w:val="font7"/>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152">
    <w:name w:val="样式2"/>
    <w:basedOn w:val="6"/>
    <w:qFormat/>
    <w:uiPriority w:val="0"/>
    <w:pPr>
      <w:spacing w:line="415" w:lineRule="auto"/>
      <w:ind w:firstLine="137"/>
    </w:pPr>
    <w:rPr>
      <w:rFonts w:hAnsi="Times New Roman"/>
      <w:bCs/>
      <w:i/>
      <w:szCs w:val="28"/>
    </w:rPr>
  </w:style>
  <w:style w:type="paragraph" w:customStyle="1" w:styleId="153">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54">
    <w:name w:val="中文1"/>
    <w:basedOn w:val="97"/>
    <w:qFormat/>
    <w:uiPriority w:val="0"/>
    <w:pPr>
      <w:ind w:firstLine="371" w:firstLineChars="206"/>
    </w:pPr>
    <w:rPr>
      <w:rFonts w:ascii="宋体" w:hAnsi="宋体"/>
    </w:rPr>
  </w:style>
  <w:style w:type="paragraph" w:customStyle="1" w:styleId="155">
    <w:name w:val="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FF"/>
      <w:kern w:val="0"/>
      <w:sz w:val="24"/>
      <w:szCs w:val="24"/>
    </w:rPr>
  </w:style>
  <w:style w:type="character" w:customStyle="1" w:styleId="157">
    <w:name w:val="icon_db_splc"/>
    <w:basedOn w:val="44"/>
    <w:qFormat/>
    <w:uiPriority w:val="0"/>
  </w:style>
  <w:style w:type="character" w:customStyle="1" w:styleId="158">
    <w:name w:val="批注文字 Char2"/>
    <w:basedOn w:val="44"/>
    <w:semiHidden/>
    <w:qFormat/>
    <w:uiPriority w:val="99"/>
  </w:style>
  <w:style w:type="character" w:customStyle="1" w:styleId="159">
    <w:name w:val="work_dcrw"/>
    <w:qFormat/>
    <w:uiPriority w:val="0"/>
    <w:rPr>
      <w:bdr w:val="single" w:color="DBDBBD" w:sz="6" w:space="0"/>
    </w:rPr>
  </w:style>
  <w:style w:type="character" w:customStyle="1" w:styleId="160">
    <w:name w:val="正文文本 2 Char"/>
    <w:link w:val="35"/>
    <w:qFormat/>
    <w:uiPriority w:val="0"/>
    <w:rPr>
      <w:kern w:val="2"/>
      <w:sz w:val="24"/>
    </w:rPr>
  </w:style>
  <w:style w:type="character" w:customStyle="1" w:styleId="161">
    <w:name w:val="正文首行缩进 Char Char"/>
    <w:link w:val="100"/>
    <w:qFormat/>
    <w:locked/>
    <w:uiPriority w:val="0"/>
    <w:rPr>
      <w:kern w:val="2"/>
      <w:sz w:val="24"/>
      <w:szCs w:val="24"/>
    </w:rPr>
  </w:style>
  <w:style w:type="character" w:customStyle="1" w:styleId="162">
    <w:name w:val="标题 4 Char"/>
    <w:link w:val="7"/>
    <w:qFormat/>
    <w:uiPriority w:val="0"/>
    <w:rPr>
      <w:rFonts w:ascii="Arial" w:hAnsi="Arial" w:eastAsia="黑体"/>
      <w:b/>
      <w:bCs/>
      <w:kern w:val="2"/>
      <w:sz w:val="28"/>
      <w:szCs w:val="28"/>
    </w:rPr>
  </w:style>
  <w:style w:type="character" w:customStyle="1" w:styleId="163">
    <w:name w:val="批注文字 Char"/>
    <w:link w:val="16"/>
    <w:qFormat/>
    <w:uiPriority w:val="0"/>
    <w:rPr>
      <w:rFonts w:eastAsia="宋体"/>
      <w:kern w:val="2"/>
      <w:sz w:val="21"/>
    </w:rPr>
  </w:style>
  <w:style w:type="character" w:customStyle="1" w:styleId="164">
    <w:name w:val="标题 5 Char"/>
    <w:link w:val="8"/>
    <w:qFormat/>
    <w:uiPriority w:val="0"/>
    <w:rPr>
      <w:rFonts w:eastAsia="宋体"/>
      <w:b/>
      <w:bCs/>
      <w:kern w:val="2"/>
      <w:sz w:val="28"/>
      <w:szCs w:val="28"/>
    </w:rPr>
  </w:style>
  <w:style w:type="character" w:customStyle="1" w:styleId="165">
    <w:name w:val="日期 Char2"/>
    <w:qFormat/>
    <w:uiPriority w:val="99"/>
    <w:rPr>
      <w:rFonts w:hint="eastAsia" w:ascii="仿宋_GB2312" w:eastAsia="仿宋_GB2312"/>
      <w:sz w:val="30"/>
    </w:rPr>
  </w:style>
  <w:style w:type="character" w:customStyle="1" w:styleId="166">
    <w:name w:val="icon_db_gys"/>
    <w:basedOn w:val="44"/>
    <w:qFormat/>
    <w:uiPriority w:val="0"/>
  </w:style>
  <w:style w:type="character" w:customStyle="1" w:styleId="167">
    <w:name w:val="标题 Char2"/>
    <w:qFormat/>
    <w:uiPriority w:val="10"/>
    <w:rPr>
      <w:rFonts w:hint="default" w:ascii="Cambria" w:hAnsi="Cambria" w:cs="Times New Roman"/>
      <w:b/>
      <w:bCs/>
      <w:kern w:val="2"/>
      <w:sz w:val="32"/>
      <w:szCs w:val="32"/>
    </w:rPr>
  </w:style>
  <w:style w:type="character" w:customStyle="1" w:styleId="168">
    <w:name w:val="work_zt_xm"/>
    <w:basedOn w:val="44"/>
    <w:qFormat/>
    <w:uiPriority w:val="0"/>
  </w:style>
  <w:style w:type="character" w:customStyle="1" w:styleId="169">
    <w:name w:val="页眉 Char2"/>
    <w:semiHidden/>
    <w:qFormat/>
    <w:uiPriority w:val="99"/>
    <w:rPr>
      <w:kern w:val="2"/>
      <w:sz w:val="18"/>
      <w:szCs w:val="18"/>
    </w:rPr>
  </w:style>
  <w:style w:type="character" w:customStyle="1" w:styleId="170">
    <w:name w:val="正文文本缩进 3 Char"/>
    <w:link w:val="32"/>
    <w:qFormat/>
    <w:uiPriority w:val="0"/>
    <w:rPr>
      <w:rFonts w:ascii="Calibri" w:hAnsi="Calibri" w:eastAsia="宋体"/>
      <w:kern w:val="2"/>
      <w:sz w:val="16"/>
      <w:szCs w:val="16"/>
    </w:rPr>
  </w:style>
  <w:style w:type="character" w:customStyle="1" w:styleId="171">
    <w:name w:val="正文文本缩进 3 Char4"/>
    <w:semiHidden/>
    <w:qFormat/>
    <w:uiPriority w:val="99"/>
    <w:rPr>
      <w:kern w:val="2"/>
      <w:sz w:val="16"/>
      <w:szCs w:val="16"/>
    </w:rPr>
  </w:style>
  <w:style w:type="character" w:customStyle="1" w:styleId="172">
    <w:name w:val="work_zt_ht"/>
    <w:basedOn w:val="44"/>
    <w:qFormat/>
    <w:uiPriority w:val="0"/>
  </w:style>
  <w:style w:type="character" w:customStyle="1" w:styleId="173">
    <w:name w:val="页眉 Char1"/>
    <w:semiHidden/>
    <w:qFormat/>
    <w:uiPriority w:val="99"/>
    <w:rPr>
      <w:sz w:val="18"/>
      <w:szCs w:val="18"/>
    </w:rPr>
  </w:style>
  <w:style w:type="character" w:customStyle="1" w:styleId="174">
    <w:name w:val="zt_tj"/>
    <w:qFormat/>
    <w:uiPriority w:val="0"/>
    <w:rPr>
      <w:color w:val="FFFFFF"/>
      <w:sz w:val="18"/>
      <w:szCs w:val="18"/>
      <w:shd w:val="clear" w:color="auto" w:fill="37B335"/>
    </w:rPr>
  </w:style>
  <w:style w:type="character" w:customStyle="1" w:styleId="175">
    <w:name w:val="正文首行缩进 Char2"/>
    <w:qFormat/>
    <w:uiPriority w:val="99"/>
    <w:rPr>
      <w:rFonts w:hint="eastAsia" w:ascii="仿宋_GB2312" w:eastAsia="仿宋_GB2312"/>
      <w:kern w:val="2"/>
      <w:sz w:val="30"/>
    </w:rPr>
  </w:style>
  <w:style w:type="character" w:customStyle="1" w:styleId="176">
    <w:name w:val="zt_cs"/>
    <w:qFormat/>
    <w:uiPriority w:val="0"/>
    <w:rPr>
      <w:color w:val="FFFFFF"/>
      <w:shd w:val="clear" w:color="auto" w:fill="FF9933"/>
    </w:rPr>
  </w:style>
  <w:style w:type="character" w:customStyle="1" w:styleId="177">
    <w:name w:val="文档结构图 Char2"/>
    <w:semiHidden/>
    <w:qFormat/>
    <w:uiPriority w:val="99"/>
    <w:rPr>
      <w:rFonts w:hint="eastAsia" w:ascii="宋体" w:hAnsi="宋体" w:eastAsia="宋体"/>
      <w:sz w:val="18"/>
      <w:szCs w:val="18"/>
    </w:rPr>
  </w:style>
  <w:style w:type="character" w:customStyle="1" w:styleId="178">
    <w:name w:val="Char Char10"/>
    <w:qFormat/>
    <w:uiPriority w:val="0"/>
    <w:rPr>
      <w:rFonts w:hint="eastAsia" w:ascii="宋体" w:hAnsi="Courier New" w:eastAsia="宋体" w:cs="宋体"/>
      <w:kern w:val="2"/>
      <w:sz w:val="24"/>
      <w:szCs w:val="24"/>
      <w:lang w:val="en-US" w:eastAsia="zh-CN"/>
    </w:rPr>
  </w:style>
  <w:style w:type="character" w:customStyle="1" w:styleId="179">
    <w:name w:val="正文首行缩进 2 Char"/>
    <w:link w:val="41"/>
    <w:qFormat/>
    <w:uiPriority w:val="0"/>
    <w:rPr>
      <w:rFonts w:eastAsia="宋体"/>
      <w:kern w:val="2"/>
      <w:sz w:val="21"/>
      <w:szCs w:val="24"/>
    </w:rPr>
  </w:style>
  <w:style w:type="character" w:customStyle="1" w:styleId="180">
    <w:name w:val="正文文本缩进 2 Char1"/>
    <w:basedOn w:val="44"/>
    <w:semiHidden/>
    <w:qFormat/>
    <w:uiPriority w:val="99"/>
  </w:style>
  <w:style w:type="character" w:customStyle="1" w:styleId="181">
    <w:name w:val="zt_th"/>
    <w:qFormat/>
    <w:uiPriority w:val="0"/>
    <w:rPr>
      <w:color w:val="FFFFFF"/>
      <w:sz w:val="18"/>
      <w:szCs w:val="18"/>
      <w:shd w:val="clear" w:color="auto" w:fill="FF0000"/>
    </w:rPr>
  </w:style>
  <w:style w:type="character" w:customStyle="1" w:styleId="182">
    <w:name w:val="页脚 Char"/>
    <w:link w:val="27"/>
    <w:qFormat/>
    <w:uiPriority w:val="0"/>
    <w:rPr>
      <w:rFonts w:ascii="Calibri" w:hAnsi="Calibri" w:eastAsia="宋体"/>
      <w:kern w:val="2"/>
      <w:sz w:val="18"/>
      <w:szCs w:val="22"/>
    </w:rPr>
  </w:style>
  <w:style w:type="character" w:customStyle="1" w:styleId="183">
    <w:name w:val="批注主题 Char1"/>
    <w:qFormat/>
    <w:uiPriority w:val="0"/>
    <w:rPr>
      <w:rFonts w:hint="eastAsia" w:ascii="仿宋_GB2312" w:eastAsia="仿宋_GB2312"/>
      <w:b/>
      <w:bCs/>
      <w:sz w:val="30"/>
    </w:rPr>
  </w:style>
  <w:style w:type="character" w:customStyle="1" w:styleId="184">
    <w:name w:val="正文文本 3 Char1"/>
    <w:qFormat/>
    <w:uiPriority w:val="0"/>
    <w:rPr>
      <w:rFonts w:hint="eastAsia" w:ascii="仿宋_GB2312" w:eastAsia="仿宋_GB2312"/>
      <w:sz w:val="16"/>
      <w:szCs w:val="16"/>
    </w:rPr>
  </w:style>
  <w:style w:type="character" w:customStyle="1" w:styleId="185">
    <w:name w:val="日期 Char3"/>
    <w:basedOn w:val="44"/>
    <w:semiHidden/>
    <w:qFormat/>
    <w:uiPriority w:val="99"/>
  </w:style>
  <w:style w:type="character" w:customStyle="1" w:styleId="186">
    <w:name w:val="标题 2 Char1"/>
    <w:qFormat/>
    <w:uiPriority w:val="9"/>
    <w:rPr>
      <w:rFonts w:hint="default" w:ascii="Cambria" w:hAnsi="Cambria" w:eastAsia="宋体" w:cs="Times New Roman"/>
      <w:bCs/>
      <w:kern w:val="0"/>
      <w:sz w:val="24"/>
      <w:szCs w:val="24"/>
    </w:rPr>
  </w:style>
  <w:style w:type="character" w:customStyle="1" w:styleId="187">
    <w:name w:val="正文首行缩进 Char3"/>
    <w:basedOn w:val="188"/>
    <w:semiHidden/>
    <w:qFormat/>
    <w:uiPriority w:val="99"/>
  </w:style>
  <w:style w:type="character" w:customStyle="1" w:styleId="188">
    <w:name w:val="正文文本 Char2"/>
    <w:basedOn w:val="44"/>
    <w:semiHidden/>
    <w:qFormat/>
    <w:uiPriority w:val="99"/>
  </w:style>
  <w:style w:type="character" w:customStyle="1" w:styleId="189">
    <w:name w:val="标题 3 Char"/>
    <w:link w:val="6"/>
    <w:qFormat/>
    <w:uiPriority w:val="0"/>
    <w:rPr>
      <w:rFonts w:ascii="黑体" w:hAnsi="Calibri" w:eastAsia="黑体"/>
      <w:kern w:val="2"/>
      <w:sz w:val="28"/>
    </w:rPr>
  </w:style>
  <w:style w:type="character" w:customStyle="1" w:styleId="190">
    <w:name w:val="正文文本缩进 3 Char1"/>
    <w:qFormat/>
    <w:uiPriority w:val="0"/>
    <w:rPr>
      <w:rFonts w:hint="eastAsia" w:ascii="仿宋_GB2312" w:eastAsia="仿宋_GB2312"/>
      <w:sz w:val="16"/>
      <w:szCs w:val="16"/>
    </w:rPr>
  </w:style>
  <w:style w:type="character" w:customStyle="1" w:styleId="191">
    <w:name w:val="正文文本缩进 Char"/>
    <w:link w:val="18"/>
    <w:qFormat/>
    <w:uiPriority w:val="0"/>
    <w:rPr>
      <w:rFonts w:eastAsia="宋体"/>
      <w:kern w:val="2"/>
      <w:sz w:val="21"/>
    </w:rPr>
  </w:style>
  <w:style w:type="character" w:customStyle="1" w:styleId="192">
    <w:name w:val="标题 9 Char"/>
    <w:link w:val="12"/>
    <w:qFormat/>
    <w:uiPriority w:val="0"/>
    <w:rPr>
      <w:rFonts w:ascii="Arial" w:hAnsi="Arial" w:eastAsia="黑体"/>
      <w:sz w:val="21"/>
      <w:szCs w:val="21"/>
    </w:rPr>
  </w:style>
  <w:style w:type="character" w:customStyle="1" w:styleId="193">
    <w:name w:val="font41"/>
    <w:qFormat/>
    <w:uiPriority w:val="0"/>
    <w:rPr>
      <w:rFonts w:hint="eastAsia" w:ascii="宋体" w:hAnsi="宋体" w:eastAsia="宋体" w:cs="宋体"/>
      <w:color w:val="000000"/>
      <w:sz w:val="21"/>
      <w:szCs w:val="21"/>
      <w:u w:val="none"/>
    </w:rPr>
  </w:style>
  <w:style w:type="character" w:customStyle="1" w:styleId="194">
    <w:name w:val="11 Char"/>
    <w:link w:val="93"/>
    <w:qFormat/>
    <w:locked/>
    <w:uiPriority w:val="0"/>
    <w:rPr>
      <w:rFonts w:ascii="Times New Roman" w:hAnsi="宋体"/>
      <w:b/>
      <w:kern w:val="2"/>
      <w:sz w:val="21"/>
      <w:szCs w:val="21"/>
    </w:rPr>
  </w:style>
  <w:style w:type="character" w:customStyle="1" w:styleId="195">
    <w:name w:val="标题 7 Char"/>
    <w:link w:val="10"/>
    <w:qFormat/>
    <w:uiPriority w:val="0"/>
    <w:rPr>
      <w:rFonts w:eastAsia="宋体"/>
      <w:b/>
      <w:bCs/>
      <w:sz w:val="24"/>
    </w:rPr>
  </w:style>
  <w:style w:type="character" w:customStyle="1" w:styleId="196">
    <w:name w:val="style_kwd"/>
    <w:basedOn w:val="44"/>
    <w:qFormat/>
    <w:uiPriority w:val="0"/>
  </w:style>
  <w:style w:type="character" w:customStyle="1" w:styleId="197">
    <w:name w:val="纯文本 Char3"/>
    <w:semiHidden/>
    <w:qFormat/>
    <w:uiPriority w:val="99"/>
    <w:rPr>
      <w:rFonts w:hint="eastAsia" w:ascii="宋体" w:hAnsi="Courier New" w:eastAsia="宋体" w:cs="Courier New"/>
      <w:szCs w:val="21"/>
    </w:rPr>
  </w:style>
  <w:style w:type="character" w:customStyle="1" w:styleId="198">
    <w:name w:val="Char Char13"/>
    <w:qFormat/>
    <w:uiPriority w:val="0"/>
    <w:rPr>
      <w:rFonts w:hint="eastAsia" w:ascii="宋体" w:hAnsi="宋体" w:eastAsia="宋体"/>
      <w:kern w:val="2"/>
      <w:sz w:val="24"/>
      <w:lang w:val="en-US" w:eastAsia="zh-CN" w:bidi="ar-SA"/>
    </w:rPr>
  </w:style>
  <w:style w:type="character" w:customStyle="1" w:styleId="199">
    <w:name w:val="标题 Char1"/>
    <w:qFormat/>
    <w:uiPriority w:val="10"/>
    <w:rPr>
      <w:rFonts w:hint="default" w:ascii="Cambria" w:hAnsi="Cambria" w:eastAsia="宋体" w:cs="Times New Roman"/>
      <w:b/>
      <w:bCs/>
      <w:sz w:val="32"/>
      <w:szCs w:val="32"/>
    </w:rPr>
  </w:style>
  <w:style w:type="character" w:customStyle="1" w:styleId="200">
    <w:name w:val="font21"/>
    <w:qFormat/>
    <w:uiPriority w:val="0"/>
    <w:rPr>
      <w:rFonts w:hint="eastAsia" w:ascii="宋体" w:hAnsi="宋体" w:eastAsia="宋体"/>
      <w:color w:val="000000"/>
      <w:sz w:val="20"/>
      <w:szCs w:val="20"/>
      <w:u w:val="none"/>
    </w:rPr>
  </w:style>
  <w:style w:type="character" w:customStyle="1" w:styleId="201">
    <w:name w:val="正文文本 2 Char1"/>
    <w:qFormat/>
    <w:uiPriority w:val="0"/>
    <w:rPr>
      <w:kern w:val="2"/>
      <w:sz w:val="21"/>
    </w:rPr>
  </w:style>
  <w:style w:type="character" w:customStyle="1" w:styleId="202">
    <w:name w:val="HTML 预设格式 Char"/>
    <w:link w:val="36"/>
    <w:qFormat/>
    <w:uiPriority w:val="0"/>
    <w:rPr>
      <w:rFonts w:ascii="宋体" w:hAnsi="宋体" w:cs="宋体"/>
      <w:sz w:val="24"/>
      <w:szCs w:val="24"/>
    </w:rPr>
  </w:style>
  <w:style w:type="character" w:customStyle="1" w:styleId="203">
    <w:name w:val="work_zt_cgls"/>
    <w:basedOn w:val="44"/>
    <w:qFormat/>
    <w:uiPriority w:val="0"/>
  </w:style>
  <w:style w:type="character" w:customStyle="1" w:styleId="204">
    <w:name w:val="批注主题 Char4"/>
    <w:semiHidden/>
    <w:qFormat/>
    <w:uiPriority w:val="99"/>
    <w:rPr>
      <w:b/>
      <w:bCs/>
      <w:kern w:val="2"/>
      <w:sz w:val="21"/>
    </w:rPr>
  </w:style>
  <w:style w:type="character" w:customStyle="1" w:styleId="205">
    <w:name w:val="纯文本 Char"/>
    <w:link w:val="22"/>
    <w:qFormat/>
    <w:uiPriority w:val="0"/>
    <w:rPr>
      <w:rFonts w:ascii="宋体" w:hAnsi="Calibri"/>
      <w:kern w:val="2"/>
      <w:sz w:val="21"/>
      <w:szCs w:val="22"/>
    </w:rPr>
  </w:style>
  <w:style w:type="character" w:customStyle="1" w:styleId="206">
    <w:name w:val="文档结构图 Char1"/>
    <w:qFormat/>
    <w:uiPriority w:val="0"/>
    <w:rPr>
      <w:rFonts w:hint="eastAsia" w:ascii="宋体" w:hAnsi="宋体" w:eastAsia="宋体"/>
      <w:sz w:val="18"/>
      <w:szCs w:val="18"/>
    </w:rPr>
  </w:style>
  <w:style w:type="character" w:customStyle="1" w:styleId="207">
    <w:name w:val="！正文（四号字） Char Char"/>
    <w:qFormat/>
    <w:uiPriority w:val="0"/>
    <w:rPr>
      <w:rFonts w:hint="default" w:ascii="Times New Roman" w:hAnsi="Times New Roman" w:eastAsia="Times New Roman" w:cs="Times New Roman"/>
      <w:kern w:val="2"/>
      <w:sz w:val="24"/>
      <w:szCs w:val="28"/>
      <w:lang w:val="en-US" w:eastAsia="zh-CN" w:bidi="ar-SA"/>
    </w:rPr>
  </w:style>
  <w:style w:type="character" w:customStyle="1" w:styleId="208">
    <w:name w:val="Char Char12"/>
    <w:qFormat/>
    <w:uiPriority w:val="0"/>
    <w:rPr>
      <w:rFonts w:hint="eastAsia" w:ascii="仿宋_GB2312" w:eastAsia="仿宋_GB2312"/>
      <w:sz w:val="18"/>
    </w:rPr>
  </w:style>
  <w:style w:type="character" w:customStyle="1" w:styleId="209">
    <w:name w:val=" Char Char3"/>
    <w:qFormat/>
    <w:uiPriority w:val="0"/>
    <w:rPr>
      <w:rFonts w:ascii="Arial" w:hAnsi="Arial" w:eastAsia="黑体"/>
      <w:b/>
      <w:bCs/>
      <w:kern w:val="2"/>
      <w:sz w:val="32"/>
      <w:szCs w:val="32"/>
      <w:lang w:val="en-US" w:eastAsia="zh-CN" w:bidi="ar-SA"/>
    </w:rPr>
  </w:style>
  <w:style w:type="character" w:customStyle="1" w:styleId="210">
    <w:name w:val="icon_db_zj"/>
    <w:basedOn w:val="44"/>
    <w:qFormat/>
    <w:uiPriority w:val="0"/>
  </w:style>
  <w:style w:type="character" w:customStyle="1" w:styleId="211">
    <w:name w:val="孙普文字 Char1"/>
    <w:qFormat/>
    <w:uiPriority w:val="0"/>
    <w:rPr>
      <w:rFonts w:hint="eastAsia" w:ascii="宋体" w:hAnsi="Courier New" w:eastAsia="宋体"/>
      <w:kern w:val="2"/>
      <w:sz w:val="21"/>
      <w:lang w:val="en-US" w:eastAsia="zh-CN" w:bidi="ar-SA"/>
    </w:rPr>
  </w:style>
  <w:style w:type="character" w:customStyle="1" w:styleId="212">
    <w:name w:val="纯文本 Char4"/>
    <w:semiHidden/>
    <w:qFormat/>
    <w:uiPriority w:val="99"/>
    <w:rPr>
      <w:rFonts w:hint="eastAsia" w:ascii="宋体" w:hAnsi="Courier New" w:eastAsia="宋体" w:cs="Courier New"/>
      <w:kern w:val="2"/>
      <w:sz w:val="21"/>
      <w:szCs w:val="21"/>
    </w:rPr>
  </w:style>
  <w:style w:type="character" w:customStyle="1" w:styleId="213">
    <w:name w:val="work_zt_splc"/>
    <w:basedOn w:val="44"/>
    <w:qFormat/>
    <w:uiPriority w:val="0"/>
  </w:style>
  <w:style w:type="character" w:customStyle="1" w:styleId="214">
    <w:name w:val="！正文（四号字） Char"/>
    <w:link w:val="110"/>
    <w:qFormat/>
    <w:locked/>
    <w:uiPriority w:val="0"/>
    <w:rPr>
      <w:kern w:val="2"/>
      <w:sz w:val="24"/>
      <w:szCs w:val="28"/>
      <w:lang w:val="en-US" w:eastAsia="zh-CN" w:bidi="ar-SA"/>
    </w:rPr>
  </w:style>
  <w:style w:type="character" w:customStyle="1" w:styleId="215">
    <w:name w:val="正文文本 Char"/>
    <w:qFormat/>
    <w:uiPriority w:val="0"/>
    <w:rPr>
      <w:rFonts w:eastAsia="宋体"/>
      <w:kern w:val="2"/>
      <w:sz w:val="21"/>
      <w:szCs w:val="24"/>
      <w:lang w:val="en-US" w:eastAsia="zh-CN" w:bidi="ar-SA"/>
    </w:rPr>
  </w:style>
  <w:style w:type="character" w:customStyle="1" w:styleId="216">
    <w:name w:val="标题 1 Char"/>
    <w:link w:val="4"/>
    <w:qFormat/>
    <w:uiPriority w:val="0"/>
    <w:rPr>
      <w:rFonts w:eastAsia="宋体"/>
      <w:b/>
      <w:kern w:val="44"/>
      <w:sz w:val="44"/>
    </w:rPr>
  </w:style>
  <w:style w:type="character" w:customStyle="1" w:styleId="217">
    <w:name w:val="font01"/>
    <w:qFormat/>
    <w:uiPriority w:val="0"/>
    <w:rPr>
      <w:rFonts w:ascii="Calibri" w:hAnsi="Calibri" w:cs="Calibri"/>
      <w:color w:val="000000"/>
      <w:sz w:val="21"/>
      <w:szCs w:val="21"/>
      <w:u w:val="none"/>
    </w:rPr>
  </w:style>
  <w:style w:type="character" w:customStyle="1" w:styleId="218">
    <w:name w:val="work_zt_sp"/>
    <w:basedOn w:val="44"/>
    <w:qFormat/>
    <w:uiPriority w:val="0"/>
  </w:style>
  <w:style w:type="character" w:customStyle="1" w:styleId="219">
    <w:name w:val="正文首行缩进 Char"/>
    <w:link w:val="40"/>
    <w:qFormat/>
    <w:uiPriority w:val="0"/>
    <w:rPr>
      <w:rFonts w:eastAsia="宋体"/>
      <w:kern w:val="2"/>
      <w:sz w:val="21"/>
      <w:szCs w:val="24"/>
      <w:lang w:val="en-US" w:eastAsia="zh-CN" w:bidi="ar-SA"/>
    </w:rPr>
  </w:style>
  <w:style w:type="character" w:customStyle="1" w:styleId="220">
    <w:name w:val="标题 2 Char"/>
    <w:link w:val="5"/>
    <w:qFormat/>
    <w:uiPriority w:val="0"/>
    <w:rPr>
      <w:rFonts w:ascii="Arial" w:hAnsi="Arial" w:eastAsia="黑体"/>
      <w:b/>
      <w:kern w:val="2"/>
      <w:sz w:val="32"/>
    </w:rPr>
  </w:style>
  <w:style w:type="character" w:customStyle="1" w:styleId="221">
    <w:name w:val="文档结构图 Char3"/>
    <w:semiHidden/>
    <w:qFormat/>
    <w:uiPriority w:val="99"/>
    <w:rPr>
      <w:rFonts w:hint="eastAsia" w:ascii="宋体" w:hAnsi="宋体" w:eastAsia="宋体"/>
      <w:kern w:val="2"/>
      <w:sz w:val="18"/>
      <w:szCs w:val="18"/>
    </w:rPr>
  </w:style>
  <w:style w:type="character" w:customStyle="1" w:styleId="222">
    <w:name w:val="日期 Char1"/>
    <w:qFormat/>
    <w:uiPriority w:val="0"/>
    <w:rPr>
      <w:rFonts w:hint="default" w:ascii="Times New Roman" w:hAnsi="Times New Roman" w:eastAsia="宋体" w:cs="Times New Roman"/>
      <w:szCs w:val="20"/>
    </w:rPr>
  </w:style>
  <w:style w:type="character" w:customStyle="1" w:styleId="223">
    <w:name w:val="批注主题 Char"/>
    <w:link w:val="39"/>
    <w:qFormat/>
    <w:uiPriority w:val="99"/>
    <w:rPr>
      <w:rFonts w:eastAsia="宋体"/>
      <w:kern w:val="2"/>
      <w:sz w:val="21"/>
    </w:rPr>
  </w:style>
  <w:style w:type="character" w:customStyle="1" w:styleId="224">
    <w:name w:val="批注主题 Char3"/>
    <w:semiHidden/>
    <w:qFormat/>
    <w:uiPriority w:val="99"/>
    <w:rPr>
      <w:b/>
      <w:bCs/>
    </w:rPr>
  </w:style>
  <w:style w:type="character" w:customStyle="1" w:styleId="225">
    <w:name w:val="批注文字 Char3"/>
    <w:semiHidden/>
    <w:qFormat/>
    <w:locked/>
    <w:uiPriority w:val="99"/>
    <w:rPr>
      <w:kern w:val="2"/>
      <w:sz w:val="21"/>
    </w:rPr>
  </w:style>
  <w:style w:type="character" w:customStyle="1" w:styleId="226">
    <w:name w:val="kb_bzt"/>
    <w:qFormat/>
    <w:uiPriority w:val="0"/>
    <w:rPr>
      <w:color w:val="666666"/>
      <w:sz w:val="18"/>
      <w:szCs w:val="18"/>
    </w:rPr>
  </w:style>
  <w:style w:type="character" w:customStyle="1" w:styleId="227">
    <w:name w:val="work_zt_zj"/>
    <w:basedOn w:val="44"/>
    <w:qFormat/>
    <w:uiPriority w:val="0"/>
  </w:style>
  <w:style w:type="character" w:customStyle="1" w:styleId="228">
    <w:name w:val="正文文本 3 Char3"/>
    <w:semiHidden/>
    <w:qFormat/>
    <w:uiPriority w:val="99"/>
    <w:rPr>
      <w:kern w:val="2"/>
      <w:sz w:val="16"/>
      <w:szCs w:val="16"/>
    </w:rPr>
  </w:style>
  <w:style w:type="character" w:customStyle="1" w:styleId="229">
    <w:name w:val="批注文字 Char1"/>
    <w:qFormat/>
    <w:uiPriority w:val="0"/>
    <w:rPr>
      <w:rFonts w:ascii="Times New Roman" w:hAnsi="Times New Roman" w:eastAsia="宋体" w:cs="Times New Roman"/>
      <w:sz w:val="20"/>
      <w:szCs w:val="20"/>
      <w:lang w:bidi="ar-SA"/>
    </w:rPr>
  </w:style>
  <w:style w:type="character" w:customStyle="1" w:styleId="230">
    <w:name w:val="HTML 预设格式 Char2"/>
    <w:semiHidden/>
    <w:qFormat/>
    <w:uiPriority w:val="99"/>
    <w:rPr>
      <w:rFonts w:hint="default" w:ascii="Courier New" w:hAnsi="Courier New" w:cs="Courier New"/>
      <w:sz w:val="20"/>
      <w:szCs w:val="20"/>
    </w:rPr>
  </w:style>
  <w:style w:type="character" w:customStyle="1" w:styleId="231">
    <w:name w:val="editinfortdbg6"/>
    <w:basedOn w:val="44"/>
    <w:qFormat/>
    <w:uiPriority w:val="0"/>
  </w:style>
  <w:style w:type="character" w:customStyle="1" w:styleId="232">
    <w:name w:val="Comment Subject Char"/>
    <w:qFormat/>
    <w:locked/>
    <w:uiPriority w:val="0"/>
    <w:rPr>
      <w:b/>
      <w:bCs/>
      <w:kern w:val="2"/>
      <w:sz w:val="24"/>
      <w:szCs w:val="24"/>
    </w:rPr>
  </w:style>
  <w:style w:type="character" w:customStyle="1" w:styleId="233">
    <w:name w:val="日期 Char"/>
    <w:link w:val="24"/>
    <w:qFormat/>
    <w:uiPriority w:val="0"/>
    <w:rPr>
      <w:rFonts w:eastAsia="宋体"/>
      <w:kern w:val="2"/>
      <w:sz w:val="21"/>
    </w:rPr>
  </w:style>
  <w:style w:type="character" w:customStyle="1" w:styleId="234">
    <w:name w:val="正文文本 3 Char2"/>
    <w:semiHidden/>
    <w:qFormat/>
    <w:uiPriority w:val="99"/>
    <w:rPr>
      <w:sz w:val="16"/>
      <w:szCs w:val="16"/>
    </w:rPr>
  </w:style>
  <w:style w:type="character" w:customStyle="1" w:styleId="235">
    <w:name w:val="正文文本 Char1"/>
    <w:link w:val="2"/>
    <w:qFormat/>
    <w:uiPriority w:val="99"/>
    <w:rPr>
      <w:rFonts w:eastAsia="宋体"/>
      <w:kern w:val="2"/>
      <w:sz w:val="21"/>
    </w:rPr>
  </w:style>
  <w:style w:type="character" w:customStyle="1" w:styleId="236">
    <w:name w:val="正文文本缩进 Char3"/>
    <w:semiHidden/>
    <w:qFormat/>
    <w:locked/>
    <w:uiPriority w:val="99"/>
    <w:rPr>
      <w:kern w:val="2"/>
      <w:sz w:val="21"/>
    </w:rPr>
  </w:style>
  <w:style w:type="character" w:customStyle="1" w:styleId="237">
    <w:name w:val="页脚 Char1"/>
    <w:semiHidden/>
    <w:qFormat/>
    <w:uiPriority w:val="99"/>
    <w:rPr>
      <w:sz w:val="18"/>
      <w:szCs w:val="18"/>
    </w:rPr>
  </w:style>
  <w:style w:type="character" w:customStyle="1" w:styleId="238">
    <w:name w:val="正文首行缩进 2 Char1"/>
    <w:qFormat/>
    <w:uiPriority w:val="0"/>
    <w:rPr>
      <w:rFonts w:hint="eastAsia" w:ascii="宋体" w:hAnsi="宋体" w:eastAsia="仿宋_GB2312"/>
      <w:sz w:val="30"/>
      <w:szCs w:val="28"/>
    </w:rPr>
  </w:style>
  <w:style w:type="character" w:customStyle="1" w:styleId="239">
    <w:name w:val="正文文本 Char3"/>
    <w:semiHidden/>
    <w:qFormat/>
    <w:uiPriority w:val="99"/>
    <w:rPr>
      <w:kern w:val="2"/>
      <w:sz w:val="21"/>
    </w:rPr>
  </w:style>
  <w:style w:type="character" w:customStyle="1" w:styleId="240">
    <w:name w:val="Char Char22"/>
    <w:qFormat/>
    <w:uiPriority w:val="0"/>
    <w:rPr>
      <w:rFonts w:hint="default" w:ascii="Arial" w:hAnsi="Arial" w:eastAsia="黑体" w:cs="Arial"/>
      <w:b/>
      <w:bCs/>
      <w:kern w:val="2"/>
      <w:sz w:val="32"/>
      <w:szCs w:val="32"/>
      <w:lang w:val="en-US" w:eastAsia="zh-CN" w:bidi="ar-SA"/>
    </w:rPr>
  </w:style>
  <w:style w:type="character" w:customStyle="1" w:styleId="241">
    <w:name w:val="批注主题 Char2"/>
    <w:qFormat/>
    <w:uiPriority w:val="99"/>
    <w:rPr>
      <w:rFonts w:hint="eastAsia" w:ascii="仿宋_GB2312" w:eastAsia="仿宋_GB2312"/>
      <w:b/>
      <w:bCs/>
      <w:sz w:val="30"/>
    </w:rPr>
  </w:style>
  <w:style w:type="character" w:customStyle="1" w:styleId="242">
    <w:name w:val="正文文本缩进 Char1"/>
    <w:qFormat/>
    <w:uiPriority w:val="99"/>
  </w:style>
  <w:style w:type="character" w:customStyle="1" w:styleId="243">
    <w:name w:val="正文文本缩进 3 Char2"/>
    <w:qFormat/>
    <w:uiPriority w:val="99"/>
    <w:rPr>
      <w:rFonts w:hint="eastAsia" w:ascii="仿宋_GB2312" w:eastAsia="仿宋_GB2312"/>
      <w:sz w:val="16"/>
      <w:szCs w:val="16"/>
    </w:rPr>
  </w:style>
  <w:style w:type="character" w:customStyle="1" w:styleId="244">
    <w:name w:val="font161"/>
    <w:qFormat/>
    <w:uiPriority w:val="0"/>
    <w:rPr>
      <w:b/>
      <w:bCs/>
      <w:sz w:val="32"/>
      <w:szCs w:val="32"/>
    </w:rPr>
  </w:style>
  <w:style w:type="character" w:customStyle="1" w:styleId="245">
    <w:name w:val="正文首行缩进 Char4"/>
    <w:semiHidden/>
    <w:qFormat/>
    <w:uiPriority w:val="99"/>
    <w:rPr>
      <w:kern w:val="2"/>
      <w:sz w:val="21"/>
    </w:rPr>
  </w:style>
  <w:style w:type="character" w:customStyle="1" w:styleId="246">
    <w:name w:val="正文文本 2 Char3"/>
    <w:semiHidden/>
    <w:qFormat/>
    <w:uiPriority w:val="99"/>
    <w:rPr>
      <w:kern w:val="2"/>
      <w:sz w:val="21"/>
    </w:rPr>
  </w:style>
  <w:style w:type="character" w:customStyle="1" w:styleId="247">
    <w:name w:val="HTML 预设格式 Char1"/>
    <w:qFormat/>
    <w:uiPriority w:val="0"/>
    <w:rPr>
      <w:rFonts w:hint="default" w:ascii="Courier New" w:hAnsi="Courier New" w:cs="Courier New"/>
      <w:kern w:val="2"/>
    </w:rPr>
  </w:style>
  <w:style w:type="character" w:customStyle="1" w:styleId="248">
    <w:name w:val="font11"/>
    <w:qFormat/>
    <w:uiPriority w:val="0"/>
    <w:rPr>
      <w:rFonts w:hint="eastAsia" w:ascii="宋体" w:hAnsi="宋体" w:eastAsia="宋体" w:cs="宋体"/>
      <w:color w:val="FF0000"/>
      <w:sz w:val="21"/>
      <w:szCs w:val="21"/>
      <w:u w:val="none"/>
    </w:rPr>
  </w:style>
  <w:style w:type="character" w:customStyle="1" w:styleId="249">
    <w:name w:val="work_zt_cg"/>
    <w:basedOn w:val="44"/>
    <w:qFormat/>
    <w:uiPriority w:val="0"/>
  </w:style>
  <w:style w:type="character" w:customStyle="1" w:styleId="250">
    <w:name w:val="kb_bzt1"/>
    <w:qFormat/>
    <w:uiPriority w:val="0"/>
    <w:rPr>
      <w:sz w:val="19"/>
      <w:szCs w:val="19"/>
    </w:rPr>
  </w:style>
  <w:style w:type="character" w:customStyle="1" w:styleId="251">
    <w:name w:val="icon_db_ht"/>
    <w:basedOn w:val="44"/>
    <w:qFormat/>
    <w:uiPriority w:val="0"/>
  </w:style>
  <w:style w:type="character" w:customStyle="1" w:styleId="252">
    <w:name w:val="icon_db_cgls"/>
    <w:basedOn w:val="44"/>
    <w:qFormat/>
    <w:uiPriority w:val="0"/>
  </w:style>
  <w:style w:type="character" w:customStyle="1" w:styleId="253">
    <w:name w:val="font31"/>
    <w:qFormat/>
    <w:uiPriority w:val="0"/>
    <w:rPr>
      <w:rFonts w:hint="eastAsia" w:ascii="宋体" w:hAnsi="宋体" w:eastAsia="宋体" w:cs="宋体"/>
      <w:color w:val="FF0000"/>
      <w:sz w:val="21"/>
      <w:szCs w:val="21"/>
      <w:u w:val="none"/>
    </w:rPr>
  </w:style>
  <w:style w:type="character" w:customStyle="1" w:styleId="254">
    <w:name w:val="页眉 Char"/>
    <w:link w:val="28"/>
    <w:qFormat/>
    <w:uiPriority w:val="0"/>
    <w:rPr>
      <w:rFonts w:eastAsia="宋体"/>
      <w:kern w:val="2"/>
      <w:sz w:val="18"/>
    </w:rPr>
  </w:style>
  <w:style w:type="character" w:customStyle="1" w:styleId="255">
    <w:name w:val="work_zt_gys"/>
    <w:basedOn w:val="44"/>
    <w:qFormat/>
    <w:uiPriority w:val="0"/>
  </w:style>
  <w:style w:type="character" w:customStyle="1" w:styleId="256">
    <w:name w:val="icon_pbywc"/>
    <w:basedOn w:val="44"/>
    <w:qFormat/>
    <w:uiPriority w:val="0"/>
  </w:style>
  <w:style w:type="character" w:customStyle="1" w:styleId="257">
    <w:name w:val=" Char Char5"/>
    <w:qFormat/>
    <w:uiPriority w:val="0"/>
    <w:rPr>
      <w:rFonts w:ascii="宋体" w:hAnsi="Courier New" w:eastAsia="宋体"/>
      <w:kern w:val="2"/>
      <w:sz w:val="21"/>
      <w:lang w:val="en-US" w:eastAsia="zh-CN" w:bidi="ar-SA"/>
    </w:rPr>
  </w:style>
  <w:style w:type="character" w:customStyle="1" w:styleId="258">
    <w:name w:val="无间隔 Char"/>
    <w:link w:val="59"/>
    <w:qFormat/>
    <w:locked/>
    <w:uiPriority w:val="1"/>
    <w:rPr>
      <w:kern w:val="2"/>
      <w:sz w:val="24"/>
      <w:lang w:val="en-US" w:eastAsia="zh-CN" w:bidi="ar-SA"/>
    </w:rPr>
  </w:style>
  <w:style w:type="character" w:customStyle="1" w:styleId="259">
    <w:name w:val="标题 8 Char"/>
    <w:link w:val="11"/>
    <w:qFormat/>
    <w:uiPriority w:val="0"/>
    <w:rPr>
      <w:rFonts w:ascii="Arial" w:hAnsi="Arial" w:eastAsia="黑体"/>
      <w:sz w:val="24"/>
    </w:rPr>
  </w:style>
  <w:style w:type="character" w:customStyle="1" w:styleId="260">
    <w:name w:val="h Char1"/>
    <w:qFormat/>
    <w:locked/>
    <w:uiPriority w:val="0"/>
    <w:rPr>
      <w:rFonts w:hint="eastAsia" w:ascii="仿宋_GB2312" w:eastAsia="仿宋_GB2312"/>
      <w:sz w:val="18"/>
    </w:rPr>
  </w:style>
  <w:style w:type="character" w:customStyle="1" w:styleId="261">
    <w:name w:val="批注框文本 Char"/>
    <w:link w:val="26"/>
    <w:qFormat/>
    <w:uiPriority w:val="99"/>
    <w:rPr>
      <w:rFonts w:eastAsia="宋体"/>
      <w:kern w:val="2"/>
      <w:sz w:val="18"/>
    </w:rPr>
  </w:style>
  <w:style w:type="character" w:customStyle="1" w:styleId="262">
    <w:name w:val="HTML 预设格式 Char3"/>
    <w:semiHidden/>
    <w:qFormat/>
    <w:uiPriority w:val="99"/>
    <w:rPr>
      <w:rFonts w:hint="default" w:ascii="Courier New" w:hAnsi="Courier New" w:cs="Courier New"/>
      <w:kern w:val="2"/>
    </w:rPr>
  </w:style>
  <w:style w:type="character" w:customStyle="1" w:styleId="263">
    <w:name w:val="Comment Text Char"/>
    <w:qFormat/>
    <w:uiPriority w:val="0"/>
  </w:style>
  <w:style w:type="character" w:customStyle="1" w:styleId="264">
    <w:name w:val="纯文本 Char2"/>
    <w:qFormat/>
    <w:uiPriority w:val="0"/>
    <w:rPr>
      <w:rFonts w:hint="eastAsia" w:ascii="宋体" w:hAnsi="Courier New" w:eastAsia="宋体"/>
      <w:kern w:val="2"/>
      <w:sz w:val="21"/>
      <w:lang w:val="en-US" w:eastAsia="zh-CN" w:bidi="ar-SA"/>
    </w:rPr>
  </w:style>
  <w:style w:type="character" w:customStyle="1" w:styleId="265">
    <w:name w:val="正文文本缩进 2 Char"/>
    <w:link w:val="25"/>
    <w:qFormat/>
    <w:uiPriority w:val="0"/>
    <w:rPr>
      <w:kern w:val="2"/>
      <w:sz w:val="28"/>
      <w:szCs w:val="22"/>
    </w:rPr>
  </w:style>
  <w:style w:type="character" w:customStyle="1" w:styleId="266">
    <w:name w:val="kb_bmc"/>
    <w:basedOn w:val="44"/>
    <w:qFormat/>
    <w:uiPriority w:val="0"/>
  </w:style>
  <w:style w:type="character" w:customStyle="1" w:styleId="267">
    <w:name w:val="t_rw"/>
    <w:qFormat/>
    <w:uiPriority w:val="0"/>
    <w:rPr>
      <w:b/>
      <w:sz w:val="25"/>
      <w:szCs w:val="25"/>
    </w:rPr>
  </w:style>
  <w:style w:type="character" w:customStyle="1" w:styleId="268">
    <w:name w:val="Footer-Even Char1"/>
    <w:qFormat/>
    <w:locked/>
    <w:uiPriority w:val="0"/>
    <w:rPr>
      <w:rFonts w:hint="eastAsia" w:ascii="仿宋_GB2312" w:eastAsia="仿宋_GB2312"/>
      <w:sz w:val="18"/>
    </w:rPr>
  </w:style>
  <w:style w:type="character" w:customStyle="1" w:styleId="269">
    <w:name w:val="正文文本缩进 2 Char2"/>
    <w:semiHidden/>
    <w:qFormat/>
    <w:uiPriority w:val="99"/>
    <w:rPr>
      <w:kern w:val="2"/>
      <w:sz w:val="21"/>
    </w:rPr>
  </w:style>
  <w:style w:type="character" w:customStyle="1" w:styleId="270">
    <w:name w:val="批注框文本 Char1"/>
    <w:semiHidden/>
    <w:qFormat/>
    <w:uiPriority w:val="99"/>
    <w:rPr>
      <w:kern w:val="2"/>
      <w:sz w:val="18"/>
      <w:szCs w:val="18"/>
    </w:rPr>
  </w:style>
  <w:style w:type="character" w:customStyle="1" w:styleId="271">
    <w:name w:val=" Char Char12"/>
    <w:qFormat/>
    <w:uiPriority w:val="0"/>
    <w:rPr>
      <w:rFonts w:ascii="Arial" w:hAnsi="Arial" w:eastAsia="黑体"/>
      <w:b/>
      <w:bCs/>
      <w:kern w:val="2"/>
      <w:sz w:val="32"/>
      <w:szCs w:val="32"/>
      <w:lang w:val="en-US" w:eastAsia="zh-CN" w:bidi="ar-SA"/>
    </w:rPr>
  </w:style>
  <w:style w:type="character" w:customStyle="1" w:styleId="272">
    <w:name w:val="kb_bmc1"/>
    <w:qFormat/>
    <w:uiPriority w:val="0"/>
    <w:rPr>
      <w:color w:val="666666"/>
      <w:sz w:val="19"/>
      <w:szCs w:val="19"/>
    </w:rPr>
  </w:style>
  <w:style w:type="character" w:customStyle="1" w:styleId="273">
    <w:name w:val="icon_db_cg"/>
    <w:basedOn w:val="44"/>
    <w:qFormat/>
    <w:uiPriority w:val="0"/>
  </w:style>
  <w:style w:type="character" w:customStyle="1" w:styleId="274">
    <w:name w:val="Char Char11"/>
    <w:qFormat/>
    <w:uiPriority w:val="0"/>
    <w:rPr>
      <w:kern w:val="2"/>
      <w:sz w:val="26"/>
    </w:rPr>
  </w:style>
  <w:style w:type="character" w:customStyle="1" w:styleId="275">
    <w:name w:val="正文文本 2 Char2"/>
    <w:basedOn w:val="44"/>
    <w:semiHidden/>
    <w:qFormat/>
    <w:uiPriority w:val="99"/>
  </w:style>
  <w:style w:type="character" w:customStyle="1" w:styleId="276">
    <w:name w:val="正文文本 3 Char"/>
    <w:link w:val="17"/>
    <w:qFormat/>
    <w:uiPriority w:val="0"/>
    <w:rPr>
      <w:rFonts w:ascii="宋体" w:hAnsi="Calibri" w:eastAsia="宋体"/>
      <w:kern w:val="2"/>
      <w:sz w:val="24"/>
    </w:rPr>
  </w:style>
  <w:style w:type="character" w:customStyle="1" w:styleId="277">
    <w:name w:val="标题 Char"/>
    <w:link w:val="3"/>
    <w:qFormat/>
    <w:uiPriority w:val="10"/>
    <w:rPr>
      <w:rFonts w:ascii="Arial" w:hAnsi="Arial" w:eastAsia="宋体"/>
      <w:b/>
      <w:sz w:val="32"/>
    </w:rPr>
  </w:style>
  <w:style w:type="character" w:customStyle="1" w:styleId="278">
    <w:name w:val="纯文本 Char1"/>
    <w:qFormat/>
    <w:locked/>
    <w:uiPriority w:val="0"/>
    <w:rPr>
      <w:rFonts w:ascii="宋体" w:hAnsi="Courier New"/>
      <w:kern w:val="2"/>
      <w:sz w:val="21"/>
    </w:rPr>
  </w:style>
  <w:style w:type="character" w:customStyle="1" w:styleId="279">
    <w:name w:val="正文文本缩进 Char2"/>
    <w:basedOn w:val="44"/>
    <w:semiHidden/>
    <w:qFormat/>
    <w:uiPriority w:val="99"/>
  </w:style>
  <w:style w:type="character" w:customStyle="1" w:styleId="280">
    <w:name w:val="正文首行缩进 2 Char2"/>
    <w:basedOn w:val="279"/>
    <w:semiHidden/>
    <w:qFormat/>
    <w:uiPriority w:val="99"/>
  </w:style>
  <w:style w:type="character" w:customStyle="1" w:styleId="281">
    <w:name w:val="Char Char3"/>
    <w:qFormat/>
    <w:uiPriority w:val="0"/>
    <w:rPr>
      <w:rFonts w:hint="default" w:ascii="Arial" w:hAnsi="Arial" w:eastAsia="黑体" w:cs="Arial"/>
      <w:b/>
      <w:bCs/>
      <w:kern w:val="2"/>
      <w:sz w:val="32"/>
      <w:szCs w:val="32"/>
      <w:lang w:val="en-US" w:eastAsia="zh-CN" w:bidi="ar-SA"/>
    </w:rPr>
  </w:style>
  <w:style w:type="character" w:customStyle="1" w:styleId="282">
    <w:name w:val="正文文本缩进 3 Char3"/>
    <w:semiHidden/>
    <w:qFormat/>
    <w:uiPriority w:val="99"/>
    <w:rPr>
      <w:sz w:val="16"/>
      <w:szCs w:val="16"/>
    </w:rPr>
  </w:style>
  <w:style w:type="character" w:customStyle="1" w:styleId="283">
    <w:name w:val="日期 Char4"/>
    <w:semiHidden/>
    <w:qFormat/>
    <w:uiPriority w:val="99"/>
    <w:rPr>
      <w:kern w:val="2"/>
      <w:sz w:val="21"/>
    </w:rPr>
  </w:style>
  <w:style w:type="character" w:customStyle="1" w:styleId="284">
    <w:name w:val="文档结构图 Char"/>
    <w:link w:val="15"/>
    <w:qFormat/>
    <w:uiPriority w:val="0"/>
    <w:rPr>
      <w:rFonts w:ascii="宋体" w:hAnsi="Calibri" w:eastAsia="宋体" w:cs="宋体"/>
      <w:kern w:val="2"/>
      <w:sz w:val="18"/>
      <w:szCs w:val="18"/>
    </w:rPr>
  </w:style>
  <w:style w:type="character" w:customStyle="1" w:styleId="285">
    <w:name w:val="正文首行缩进 2 Char3"/>
    <w:semiHidden/>
    <w:qFormat/>
    <w:uiPriority w:val="99"/>
    <w:rPr>
      <w:kern w:val="2"/>
      <w:sz w:val="21"/>
    </w:rPr>
  </w:style>
  <w:style w:type="character" w:customStyle="1" w:styleId="286">
    <w:name w:val="标题 6 Char"/>
    <w:link w:val="9"/>
    <w:qFormat/>
    <w:uiPriority w:val="0"/>
    <w:rPr>
      <w:rFonts w:ascii="Arial" w:hAnsi="Arial" w:eastAsia="黑体"/>
      <w:b/>
      <w:bCs/>
      <w:sz w:val="24"/>
    </w:rPr>
  </w:style>
  <w:style w:type="character" w:customStyle="1" w:styleId="287">
    <w:name w:val="页脚 Char2"/>
    <w:semiHidden/>
    <w:qFormat/>
    <w:uiPriority w:val="99"/>
    <w:rPr>
      <w:kern w:val="2"/>
      <w:sz w:val="18"/>
      <w:szCs w:val="18"/>
    </w:rPr>
  </w:style>
  <w:style w:type="character" w:customStyle="1" w:styleId="288">
    <w:name w:val="zt_zc"/>
    <w:qFormat/>
    <w:uiPriority w:val="0"/>
    <w:rPr>
      <w:color w:val="FFFFFF"/>
      <w:shd w:val="clear" w:color="auto" w:fill="4CBF4A"/>
    </w:rPr>
  </w:style>
  <w:style w:type="character" w:customStyle="1" w:styleId="289">
    <w:name w:val="正文首行缩进 Char1"/>
    <w:qFormat/>
    <w:uiPriority w:val="0"/>
    <w:rPr>
      <w:rFonts w:eastAsia="宋体"/>
      <w:kern w:val="2"/>
      <w:sz w:val="21"/>
    </w:rPr>
  </w:style>
  <w:style w:type="character" w:customStyle="1" w:styleId="290">
    <w:name w:val="Char Char5"/>
    <w:qFormat/>
    <w:uiPriority w:val="0"/>
    <w:rPr>
      <w:rFonts w:hint="eastAsia" w:ascii="宋体" w:hAnsi="Courier New" w:eastAsia="宋体"/>
      <w:kern w:val="2"/>
      <w:sz w:val="21"/>
      <w:lang w:val="en-US" w:eastAsia="zh-CN" w:bidi="ar-SA"/>
    </w:rPr>
  </w:style>
  <w:style w:type="table" w:customStyle="1" w:styleId="291">
    <w:name w:val="TableGri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452ada-2e2a-4fa7-8976-5eda16cc2293}"/>
        <w:style w:val=""/>
        <w:category>
          <w:name w:val="常规"/>
          <w:gallery w:val="placeholder"/>
        </w:category>
        <w:types>
          <w:type w:val="bbPlcHdr"/>
        </w:types>
        <w:behaviors>
          <w:behavior w:val="content"/>
        </w:behaviors>
        <w:description w:val=""/>
        <w:guid w:val="{af452ada-2e2a-4fa7-8976-5eda16cc2293}"/>
      </w:docPartPr>
      <w:docPartBody>
        <w:p>
          <w:r>
            <w:rPr>
              <w:color w:val="808080"/>
            </w:rPr>
            <w:t>单击此处输入文字。</w:t>
          </w:r>
        </w:p>
      </w:docPartBody>
    </w:docPart>
    <w:docPart>
      <w:docPartPr>
        <w:name w:val="{248b572f-7e15-48e9-b2df-86ad540521c3}"/>
        <w:style w:val=""/>
        <w:category>
          <w:name w:val="常规"/>
          <w:gallery w:val="placeholder"/>
        </w:category>
        <w:types>
          <w:type w:val="bbPlcHdr"/>
        </w:types>
        <w:behaviors>
          <w:behavior w:val="content"/>
        </w:behaviors>
        <w:description w:val=""/>
        <w:guid w:val="{248b572f-7e15-48e9-b2df-86ad540521c3}"/>
      </w:docPartPr>
      <w:docPartBody>
        <w:p>
          <w:r>
            <w:rPr>
              <w:color w:val="808080"/>
            </w:rPr>
            <w:t>单击此处输入文字。</w:t>
          </w:r>
        </w:p>
      </w:docPartBody>
    </w:docPart>
    <w:docPart>
      <w:docPartPr>
        <w:name w:val="{6f8468de-a7cd-4890-8d4c-ca38c6f7ea7b}"/>
        <w:style w:val=""/>
        <w:category>
          <w:name w:val="常规"/>
          <w:gallery w:val="placeholder"/>
        </w:category>
        <w:types>
          <w:type w:val="bbPlcHdr"/>
        </w:types>
        <w:behaviors>
          <w:behavior w:val="content"/>
        </w:behaviors>
        <w:description w:val=""/>
        <w:guid w:val="{6f8468de-a7cd-4890-8d4c-ca38c6f7ea7b}"/>
      </w:docPartPr>
      <w:docPartBody>
        <w:p>
          <w:r>
            <w:rPr>
              <w:color w:val="808080"/>
            </w:rPr>
            <w:t>单击此处输入文字。</w:t>
          </w:r>
        </w:p>
      </w:docPartBody>
    </w:docPart>
    <w:docPart>
      <w:docPartPr>
        <w:name w:val="{38313ada-e7fc-45ff-8b83-635da07c8132}"/>
        <w:style w:val=""/>
        <w:category>
          <w:name w:val="常规"/>
          <w:gallery w:val="placeholder"/>
        </w:category>
        <w:types>
          <w:type w:val="bbPlcHdr"/>
        </w:types>
        <w:behaviors>
          <w:behavior w:val="content"/>
        </w:behaviors>
        <w:description w:val=""/>
        <w:guid w:val="{38313ada-e7fc-45ff-8b83-635da07c8132}"/>
      </w:docPartPr>
      <w:docPartBody>
        <w:p>
          <w:r>
            <w:rPr>
              <w:color w:val="808080"/>
            </w:rPr>
            <w:t>单击此处输入文字。</w:t>
          </w:r>
        </w:p>
      </w:docPartBody>
    </w:docPart>
    <w:docPart>
      <w:docPartPr>
        <w:name w:val="{8d58870b-617f-4119-933d-0284d8f4d59e}"/>
        <w:style w:val=""/>
        <w:category>
          <w:name w:val="常规"/>
          <w:gallery w:val="placeholder"/>
        </w:category>
        <w:types>
          <w:type w:val="bbPlcHdr"/>
        </w:types>
        <w:behaviors>
          <w:behavior w:val="content"/>
        </w:behaviors>
        <w:description w:val=""/>
        <w:guid w:val="{8d58870b-617f-4119-933d-0284d8f4d59e}"/>
      </w:docPartPr>
      <w:docPartBody>
        <w:p>
          <w:r>
            <w:rPr>
              <w:color w:val="808080"/>
            </w:rPr>
            <w:t>单击此处输入文字。</w:t>
          </w:r>
        </w:p>
      </w:docPartBody>
    </w:docPart>
    <w:docPart>
      <w:docPartPr>
        <w:name w:val="{e894ff84-3940-4f9f-a601-7cd44153abe2}"/>
        <w:style w:val=""/>
        <w:category>
          <w:name w:val="常规"/>
          <w:gallery w:val="placeholder"/>
        </w:category>
        <w:types>
          <w:type w:val="bbPlcHdr"/>
        </w:types>
        <w:behaviors>
          <w:behavior w:val="content"/>
        </w:behaviors>
        <w:description w:val=""/>
        <w:guid w:val="{e894ff84-3940-4f9f-a601-7cd44153abe2}"/>
      </w:docPartPr>
      <w:docPartBody>
        <w:p>
          <w:r>
            <w:rPr>
              <w:color w:val="808080"/>
            </w:rPr>
            <w:t>单击此处输入文字。</w:t>
          </w:r>
        </w:p>
      </w:docPartBody>
    </w:docPart>
    <w:docPart>
      <w:docPartPr>
        <w:name w:val="{beb577b3-4147-4933-8362-4fdcbfc29b10}"/>
        <w:style w:val=""/>
        <w:category>
          <w:name w:val="常规"/>
          <w:gallery w:val="placeholder"/>
        </w:category>
        <w:types>
          <w:type w:val="bbPlcHdr"/>
        </w:types>
        <w:behaviors>
          <w:behavior w:val="content"/>
        </w:behaviors>
        <w:description w:val=""/>
        <w:guid w:val="{beb577b3-4147-4933-8362-4fdcbfc29b10}"/>
      </w:docPartPr>
      <w:docPartBody>
        <w:p>
          <w:r>
            <w:rPr>
              <w:color w:val="808080"/>
            </w:rPr>
            <w:t>单击此处输入文字。</w:t>
          </w:r>
        </w:p>
      </w:docPartBody>
    </w:docPart>
    <w:docPart>
      <w:docPartPr>
        <w:name w:val="{99ecdf11-2d9f-44a7-be03-79864d69fa45}"/>
        <w:style w:val=""/>
        <w:category>
          <w:name w:val="常规"/>
          <w:gallery w:val="placeholder"/>
        </w:category>
        <w:types>
          <w:type w:val="bbPlcHdr"/>
        </w:types>
        <w:behaviors>
          <w:behavior w:val="content"/>
        </w:behaviors>
        <w:description w:val=""/>
        <w:guid w:val="{99ecdf11-2d9f-44a7-be03-79864d69fa45}"/>
      </w:docPartPr>
      <w:docPartBody>
        <w:p>
          <w:r>
            <w:rPr>
              <w:color w:val="808080"/>
            </w:rPr>
            <w:t>单击此处输入文字。</w:t>
          </w:r>
        </w:p>
      </w:docPartBody>
    </w:docPart>
    <w:docPart>
      <w:docPartPr>
        <w:name w:val="{d459e11c-a76e-4950-8ab0-f5d4f4a8772e}"/>
        <w:style w:val=""/>
        <w:category>
          <w:name w:val="常规"/>
          <w:gallery w:val="placeholder"/>
        </w:category>
        <w:types>
          <w:type w:val="bbPlcHdr"/>
        </w:types>
        <w:behaviors>
          <w:behavior w:val="content"/>
        </w:behaviors>
        <w:description w:val=""/>
        <w:guid w:val="{d459e11c-a76e-4950-8ab0-f5d4f4a8772e}"/>
      </w:docPartPr>
      <w:docPartBody>
        <w:p>
          <w:r>
            <w:rPr>
              <w:color w:val="808080"/>
            </w:rPr>
            <w:t>单击此处输入文字。</w:t>
          </w:r>
        </w:p>
      </w:docPartBody>
    </w:docPart>
    <w:docPart>
      <w:docPartPr>
        <w:name w:val="{9c13321e-2644-403b-9868-b6f365c36eee}"/>
        <w:style w:val=""/>
        <w:category>
          <w:name w:val="常规"/>
          <w:gallery w:val="placeholder"/>
        </w:category>
        <w:types>
          <w:type w:val="bbPlcHdr"/>
        </w:types>
        <w:behaviors>
          <w:behavior w:val="content"/>
        </w:behaviors>
        <w:description w:val=""/>
        <w:guid w:val="{9c13321e-2644-403b-9868-b6f365c36eee}"/>
      </w:docPartPr>
      <w:docPartBody>
        <w:p>
          <w:r>
            <w:rPr>
              <w:color w:val="808080"/>
            </w:rPr>
            <w:t>单击此处输入文字。</w:t>
          </w:r>
        </w:p>
      </w:docPartBody>
    </w:docPart>
    <w:docPart>
      <w:docPartPr>
        <w:name w:val="{14cac6ef-6dec-4cfb-8c4e-abb30a85d9fb}"/>
        <w:style w:val=""/>
        <w:category>
          <w:name w:val="常规"/>
          <w:gallery w:val="placeholder"/>
        </w:category>
        <w:types>
          <w:type w:val="bbPlcHdr"/>
        </w:types>
        <w:behaviors>
          <w:behavior w:val="content"/>
        </w:behaviors>
        <w:description w:val=""/>
        <w:guid w:val="{14cac6ef-6dec-4cfb-8c4e-abb30a85d9fb}"/>
      </w:docPartPr>
      <w:docPartBody>
        <w:p>
          <w:r>
            <w:rPr>
              <w:color w:val="808080"/>
            </w:rPr>
            <w:t>单击此处输入文字。</w:t>
          </w:r>
        </w:p>
      </w:docPartBody>
    </w:docPart>
    <w:docPart>
      <w:docPartPr>
        <w:name w:val="{ebb4246d-f9c3-4979-89ee-b77af87e2879}"/>
        <w:style w:val=""/>
        <w:category>
          <w:name w:val="常规"/>
          <w:gallery w:val="placeholder"/>
        </w:category>
        <w:types>
          <w:type w:val="bbPlcHdr"/>
        </w:types>
        <w:behaviors>
          <w:behavior w:val="content"/>
        </w:behaviors>
        <w:description w:val=""/>
        <w:guid w:val="{ebb4246d-f9c3-4979-89ee-b77af87e2879}"/>
      </w:docPartPr>
      <w:docPartBody>
        <w:p>
          <w:r>
            <w:rPr>
              <w:color w:val="808080"/>
            </w:rPr>
            <w:t>单击此处输入文字。</w:t>
          </w:r>
        </w:p>
      </w:docPartBody>
    </w:docPart>
    <w:docPart>
      <w:docPartPr>
        <w:name w:val="{d6881cf6-5308-4bfe-ad03-169682258b57}"/>
        <w:style w:val=""/>
        <w:category>
          <w:name w:val="常规"/>
          <w:gallery w:val="placeholder"/>
        </w:category>
        <w:types>
          <w:type w:val="bbPlcHdr"/>
        </w:types>
        <w:behaviors>
          <w:behavior w:val="content"/>
        </w:behaviors>
        <w:description w:val=""/>
        <w:guid w:val="{d6881cf6-5308-4bfe-ad03-169682258b57}"/>
      </w:docPartPr>
      <w:docPartBody>
        <w:p>
          <w:r>
            <w:rPr>
              <w:color w:val="808080"/>
            </w:rPr>
            <w:t>单击此处输入文字。</w:t>
          </w:r>
        </w:p>
      </w:docPartBody>
    </w:docPart>
    <w:docPart>
      <w:docPartPr>
        <w:name w:val="{3cdf4675-e6fb-42df-b7af-696fef01bb21}"/>
        <w:style w:val=""/>
        <w:category>
          <w:name w:val="常规"/>
          <w:gallery w:val="placeholder"/>
        </w:category>
        <w:types>
          <w:type w:val="bbPlcHdr"/>
        </w:types>
        <w:behaviors>
          <w:behavior w:val="content"/>
        </w:behaviors>
        <w:description w:val=""/>
        <w:guid w:val="{3cdf4675-e6fb-42df-b7af-696fef01bb21}"/>
      </w:docPartPr>
      <w:docPartBody>
        <w:p>
          <w:r>
            <w:rPr>
              <w:color w:val="808080"/>
            </w:rPr>
            <w:t>单击此处输入文字。</w:t>
          </w:r>
        </w:p>
      </w:docPartBody>
    </w:docPart>
    <w:docPart>
      <w:docPartPr>
        <w:name w:val="{315f282d-1972-4217-bc8f-703ed18e9640}"/>
        <w:style w:val=""/>
        <w:category>
          <w:name w:val="常规"/>
          <w:gallery w:val="placeholder"/>
        </w:category>
        <w:types>
          <w:type w:val="bbPlcHdr"/>
        </w:types>
        <w:behaviors>
          <w:behavior w:val="content"/>
        </w:behaviors>
        <w:description w:val=""/>
        <w:guid w:val="{315f282d-1972-4217-bc8f-703ed18e9640}"/>
      </w:docPartPr>
      <w:docPartBody>
        <w:p>
          <w:r>
            <w:rPr>
              <w:color w:val="808080"/>
            </w:rPr>
            <w:t>单击此处输入文字。</w:t>
          </w:r>
        </w:p>
      </w:docPartBody>
    </w:docPart>
    <w:docPart>
      <w:docPartPr>
        <w:name w:val="{dbb9a799-819f-44f1-a639-ac0b85571c4f}"/>
        <w:style w:val=""/>
        <w:category>
          <w:name w:val="常规"/>
          <w:gallery w:val="placeholder"/>
        </w:category>
        <w:types>
          <w:type w:val="bbPlcHdr"/>
        </w:types>
        <w:behaviors>
          <w:behavior w:val="content"/>
        </w:behaviors>
        <w:description w:val=""/>
        <w:guid w:val="{dbb9a799-819f-44f1-a639-ac0b85571c4f}"/>
      </w:docPartPr>
      <w:docPartBody>
        <w:p>
          <w:r>
            <w:rPr>
              <w:color w:val="808080"/>
            </w:rPr>
            <w:t>单击此处输入文字。</w:t>
          </w:r>
        </w:p>
      </w:docPartBody>
    </w:docPart>
    <w:docPart>
      <w:docPartPr>
        <w:name w:val="{30c48746-53da-4016-9503-815616df9d64}"/>
        <w:style w:val=""/>
        <w:category>
          <w:name w:val="常规"/>
          <w:gallery w:val="placeholder"/>
        </w:category>
        <w:types>
          <w:type w:val="bbPlcHdr"/>
        </w:types>
        <w:behaviors>
          <w:behavior w:val="content"/>
        </w:behaviors>
        <w:description w:val=""/>
        <w:guid w:val="{30c48746-53da-4016-9503-815616df9d64}"/>
      </w:docPartPr>
      <w:docPartBody>
        <w:p>
          <w:r>
            <w:rPr>
              <w:color w:val="808080"/>
            </w:rPr>
            <w:t>单击此处输入文字。</w:t>
          </w:r>
        </w:p>
      </w:docPartBody>
    </w:docPart>
    <w:docPart>
      <w:docPartPr>
        <w:name w:val="{65009f5d-7251-43a1-b26e-6cafbe56c07f}"/>
        <w:style w:val=""/>
        <w:category>
          <w:name w:val="常规"/>
          <w:gallery w:val="placeholder"/>
        </w:category>
        <w:types>
          <w:type w:val="bbPlcHdr"/>
        </w:types>
        <w:behaviors>
          <w:behavior w:val="content"/>
        </w:behaviors>
        <w:description w:val=""/>
        <w:guid w:val="{65009f5d-7251-43a1-b26e-6cafbe56c07f}"/>
      </w:docPartPr>
      <w:docPartBody>
        <w:p>
          <w:r>
            <w:rPr>
              <w:color w:val="808080"/>
            </w:rPr>
            <w:t>单击此处输入文字。</w:t>
          </w:r>
        </w:p>
      </w:docPartBody>
    </w:docPart>
    <w:docPart>
      <w:docPartPr>
        <w:name w:val="{53112d98-2ecf-466b-bb3a-841efacd2e31}"/>
        <w:style w:val=""/>
        <w:category>
          <w:name w:val="常规"/>
          <w:gallery w:val="placeholder"/>
        </w:category>
        <w:types>
          <w:type w:val="bbPlcHdr"/>
        </w:types>
        <w:behaviors>
          <w:behavior w:val="content"/>
        </w:behaviors>
        <w:description w:val=""/>
        <w:guid w:val="{53112d98-2ecf-466b-bb3a-841efacd2e31}"/>
      </w:docPartPr>
      <w:docPartBody>
        <w:p>
          <w:r>
            <w:rPr>
              <w:color w:val="808080"/>
            </w:rPr>
            <w:t>单击此处输入日期。</w:t>
          </w:r>
        </w:p>
      </w:docPartBody>
    </w:docPart>
    <w:docPart>
      <w:docPartPr>
        <w:name w:val="{dc911c23-2052-4f34-9d43-19ba0d623d4d}"/>
        <w:style w:val=""/>
        <w:category>
          <w:name w:val="常规"/>
          <w:gallery w:val="placeholder"/>
        </w:category>
        <w:types>
          <w:type w:val="bbPlcHdr"/>
        </w:types>
        <w:behaviors>
          <w:behavior w:val="content"/>
        </w:behaviors>
        <w:description w:val=""/>
        <w:guid w:val="{dc911c23-2052-4f34-9d43-19ba0d623d4d}"/>
      </w:docPartPr>
      <w:docPartBody>
        <w:p>
          <w:r>
            <w:rPr>
              <w:color w:val="808080"/>
            </w:rPr>
            <w:t>单击此处输入日期。</w:t>
          </w:r>
        </w:p>
      </w:docPartBody>
    </w:docPart>
    <w:docPart>
      <w:docPartPr>
        <w:name w:val="{90ded145-faf0-46e5-a62f-ae621dfc440b}"/>
        <w:style w:val=""/>
        <w:category>
          <w:name w:val="常规"/>
          <w:gallery w:val="placeholder"/>
        </w:category>
        <w:types>
          <w:type w:val="bbPlcHdr"/>
        </w:types>
        <w:behaviors>
          <w:behavior w:val="content"/>
        </w:behaviors>
        <w:description w:val=""/>
        <w:guid w:val="{90ded145-faf0-46e5-a62f-ae621dfc440b}"/>
      </w:docPartPr>
      <w:docPartBody>
        <w:p>
          <w:r>
            <w:rPr>
              <w:color w:val="808080"/>
            </w:rPr>
            <w:t>单击此处输入文字。</w:t>
          </w:r>
        </w:p>
      </w:docPartBody>
    </w:docPart>
    <w:docPart>
      <w:docPartPr>
        <w:name w:val="{efe19991-d4ca-40ff-b9ce-a047c36ddfc1}"/>
        <w:style w:val=""/>
        <w:category>
          <w:name w:val="常规"/>
          <w:gallery w:val="placeholder"/>
        </w:category>
        <w:types>
          <w:type w:val="bbPlcHdr"/>
        </w:types>
        <w:behaviors>
          <w:behavior w:val="content"/>
        </w:behaviors>
        <w:description w:val=""/>
        <w:guid w:val="{efe19991-d4ca-40ff-b9ce-a047c36ddfc1}"/>
      </w:docPartPr>
      <w:docPartBody>
        <w:p>
          <w:r>
            <w:rPr>
              <w:color w:val="808080"/>
            </w:rPr>
            <w:t>单击此处输入文字。</w:t>
          </w:r>
        </w:p>
      </w:docPartBody>
    </w:docPart>
    <w:docPart>
      <w:docPartPr>
        <w:name w:val="{6d805666-58b3-4c9a-83a0-916860985ecb}"/>
        <w:style w:val=""/>
        <w:category>
          <w:name w:val="常规"/>
          <w:gallery w:val="placeholder"/>
        </w:category>
        <w:types>
          <w:type w:val="bbPlcHdr"/>
        </w:types>
        <w:behaviors>
          <w:behavior w:val="content"/>
        </w:behaviors>
        <w:description w:val=""/>
        <w:guid w:val="{6d805666-58b3-4c9a-83a0-916860985ecb}"/>
      </w:docPartPr>
      <w:docPartBody>
        <w:p>
          <w:r>
            <w:rPr>
              <w:color w:val="808080"/>
            </w:rPr>
            <w:t>单击此处输入文字。</w:t>
          </w:r>
        </w:p>
      </w:docPartBody>
    </w:docPart>
    <w:docPart>
      <w:docPartPr>
        <w:name w:val="{0e84f306-367a-4fbe-9e28-b328d7e0f7ea}"/>
        <w:style w:val=""/>
        <w:category>
          <w:name w:val="常规"/>
          <w:gallery w:val="placeholder"/>
        </w:category>
        <w:types>
          <w:type w:val="bbPlcHdr"/>
        </w:types>
        <w:behaviors>
          <w:behavior w:val="content"/>
        </w:behaviors>
        <w:description w:val=""/>
        <w:guid w:val="{0e84f306-367a-4fbe-9e28-b328d7e0f7ea}"/>
      </w:docPartPr>
      <w:docPartBody>
        <w:p>
          <w:r>
            <w:rPr>
              <w:color w:val="808080"/>
            </w:rPr>
            <w:t>单击此处输入文字。</w:t>
          </w:r>
        </w:p>
      </w:docPartBody>
    </w:docPart>
    <w:docPart>
      <w:docPartPr>
        <w:name w:val="{3066c63d-26d7-47ea-969b-f45df479caeb}"/>
        <w:style w:val=""/>
        <w:category>
          <w:name w:val="常规"/>
          <w:gallery w:val="placeholder"/>
        </w:category>
        <w:types>
          <w:type w:val="bbPlcHdr"/>
        </w:types>
        <w:behaviors>
          <w:behavior w:val="content"/>
        </w:behaviors>
        <w:description w:val=""/>
        <w:guid w:val="{3066c63d-26d7-47ea-969b-f45df479caeb}"/>
      </w:docPartPr>
      <w:docPartBody>
        <w:p>
          <w:r>
            <w:rPr>
              <w:color w:val="808080"/>
            </w:rPr>
            <w:t>单击此处输入文字。</w:t>
          </w:r>
        </w:p>
      </w:docPartBody>
    </w:docPart>
    <w:docPart>
      <w:docPartPr>
        <w:name w:val="{fa4facf1-cf62-4c2d-a0cb-fc5e91dcb2ab}"/>
        <w:style w:val=""/>
        <w:category>
          <w:name w:val="常规"/>
          <w:gallery w:val="placeholder"/>
        </w:category>
        <w:types>
          <w:type w:val="bbPlcHdr"/>
        </w:types>
        <w:behaviors>
          <w:behavior w:val="content"/>
        </w:behaviors>
        <w:description w:val=""/>
        <w:guid w:val="{fa4facf1-cf62-4c2d-a0cb-fc5e91dcb2ab}"/>
      </w:docPartPr>
      <w:docPartBody>
        <w:p>
          <w:r>
            <w:rPr>
              <w:color w:val="808080"/>
            </w:rPr>
            <w:t>单击此处输入文字。</w:t>
          </w:r>
        </w:p>
      </w:docPartBody>
    </w:docPart>
    <w:docPart>
      <w:docPartPr>
        <w:name w:val="{dc89f23d-2321-48cd-979f-33b600b1d16b}"/>
        <w:style w:val=""/>
        <w:category>
          <w:name w:val="常规"/>
          <w:gallery w:val="placeholder"/>
        </w:category>
        <w:types>
          <w:type w:val="bbPlcHdr"/>
        </w:types>
        <w:behaviors>
          <w:behavior w:val="content"/>
        </w:behaviors>
        <w:description w:val=""/>
        <w:guid w:val="{dc89f23d-2321-48cd-979f-33b600b1d16b}"/>
      </w:docPartPr>
      <w:docPartBody>
        <w:p>
          <w:r>
            <w:rPr>
              <w:color w:val="808080"/>
            </w:rPr>
            <w:t>选择一项。</w:t>
          </w:r>
        </w:p>
      </w:docPartBody>
    </w:docPart>
    <w:docPart>
      <w:docPartPr>
        <w:name w:val="{d918ab83-6971-4972-a035-3e8d3bb5a0a2}"/>
        <w:style w:val=""/>
        <w:category>
          <w:name w:val="常规"/>
          <w:gallery w:val="placeholder"/>
        </w:category>
        <w:types>
          <w:type w:val="bbPlcHdr"/>
        </w:types>
        <w:behaviors>
          <w:behavior w:val="content"/>
        </w:behaviors>
        <w:description w:val=""/>
        <w:guid w:val="{d918ab83-6971-4972-a035-3e8d3bb5a0a2}"/>
      </w:docPartPr>
      <w:docPartBody>
        <w:p>
          <w:r>
            <w:rPr>
              <w:color w:val="808080"/>
            </w:rPr>
            <w:t>单击此处输入文字。</w:t>
          </w:r>
        </w:p>
      </w:docPartBody>
    </w:docPart>
    <w:docPart>
      <w:docPartPr>
        <w:name w:val="{035938ca-1fec-486c-bc0f-c595c5b34943}"/>
        <w:style w:val=""/>
        <w:category>
          <w:name w:val="常规"/>
          <w:gallery w:val="placeholder"/>
        </w:category>
        <w:types>
          <w:type w:val="bbPlcHdr"/>
        </w:types>
        <w:behaviors>
          <w:behavior w:val="content"/>
        </w:behaviors>
        <w:description w:val=""/>
        <w:guid w:val="{035938ca-1fec-486c-bc0f-c595c5b34943}"/>
      </w:docPartPr>
      <w:docPartBody>
        <w:p>
          <w:r>
            <w:rPr>
              <w:color w:val="808080"/>
            </w:rPr>
            <w:t>单击此处输入文字。</w:t>
          </w:r>
        </w:p>
      </w:docPartBody>
    </w:docPart>
    <w:docPart>
      <w:docPartPr>
        <w:name w:val="{f1e7378d-6f73-44ab-95ea-5710ae8abb1a}"/>
        <w:style w:val=""/>
        <w:category>
          <w:name w:val="常规"/>
          <w:gallery w:val="placeholder"/>
        </w:category>
        <w:types>
          <w:type w:val="bbPlcHdr"/>
        </w:types>
        <w:behaviors>
          <w:behavior w:val="content"/>
        </w:behaviors>
        <w:description w:val=""/>
        <w:guid w:val="{f1e7378d-6f73-44ab-95ea-5710ae8abb1a}"/>
      </w:docPartPr>
      <w:docPartBody>
        <w:p>
          <w:r>
            <w:rPr>
              <w:color w:val="808080"/>
            </w:rPr>
            <w:t>单击此处输入文字。</w:t>
          </w:r>
        </w:p>
      </w:docPartBody>
    </w:docPart>
    <w:docPart>
      <w:docPartPr>
        <w:name w:val="{1e423f1b-893a-4f94-80e7-7cac0ddbe03b}"/>
        <w:style w:val=""/>
        <w:category>
          <w:name w:val="常规"/>
          <w:gallery w:val="placeholder"/>
        </w:category>
        <w:types>
          <w:type w:val="bbPlcHdr"/>
        </w:types>
        <w:behaviors>
          <w:behavior w:val="content"/>
        </w:behaviors>
        <w:description w:val=""/>
        <w:guid w:val="{1e423f1b-893a-4f94-80e7-7cac0ddbe03b}"/>
      </w:docPartPr>
      <w:docPartBody>
        <w:p>
          <w:r>
            <w:rPr>
              <w:color w:val="808080"/>
            </w:rPr>
            <w:t>单击此处输入文字。</w:t>
          </w:r>
        </w:p>
      </w:docPartBody>
    </w:docPart>
    <w:docPart>
      <w:docPartPr>
        <w:name w:val="{c7ae8a37-64ae-43f6-b203-d14e71b36e72}"/>
        <w:style w:val=""/>
        <w:category>
          <w:name w:val="常规"/>
          <w:gallery w:val="placeholder"/>
        </w:category>
        <w:types>
          <w:type w:val="bbPlcHdr"/>
        </w:types>
        <w:behaviors>
          <w:behavior w:val="content"/>
        </w:behaviors>
        <w:description w:val=""/>
        <w:guid w:val="{c7ae8a37-64ae-43f6-b203-d14e71b36e72}"/>
      </w:docPartPr>
      <w:docPartBody>
        <w:p>
          <w:r>
            <w:rPr>
              <w:color w:val="808080"/>
            </w:rPr>
            <w:t>单击此处输入文字。</w:t>
          </w:r>
        </w:p>
      </w:docPartBody>
    </w:docPart>
    <w:docPart>
      <w:docPartPr>
        <w:name w:val="{e332e9b4-8f9d-4d3c-8b26-cae0a52c1e42}"/>
        <w:style w:val=""/>
        <w:category>
          <w:name w:val="常规"/>
          <w:gallery w:val="placeholder"/>
        </w:category>
        <w:types>
          <w:type w:val="bbPlcHdr"/>
        </w:types>
        <w:behaviors>
          <w:behavior w:val="content"/>
        </w:behaviors>
        <w:description w:val=""/>
        <w:guid w:val="{e332e9b4-8f9d-4d3c-8b26-cae0a52c1e42}"/>
      </w:docPartPr>
      <w:docPartBody>
        <w:p>
          <w:r>
            <w:rPr>
              <w:color w:val="808080"/>
            </w:rPr>
            <w:t>单击此处输入文字。</w:t>
          </w:r>
        </w:p>
      </w:docPartBody>
    </w:docPart>
    <w:docPart>
      <w:docPartPr>
        <w:name w:val="{4fa90019-bc31-4c0c-872b-bab25e47d8f6}"/>
        <w:style w:val=""/>
        <w:category>
          <w:name w:val="常规"/>
          <w:gallery w:val="placeholder"/>
        </w:category>
        <w:types>
          <w:type w:val="bbPlcHdr"/>
        </w:types>
        <w:behaviors>
          <w:behavior w:val="content"/>
        </w:behaviors>
        <w:description w:val=""/>
        <w:guid w:val="{4fa90019-bc31-4c0c-872b-bab25e47d8f6}"/>
      </w:docPartPr>
      <w:docPartBody>
        <w:p>
          <w:r>
            <w:rPr>
              <w:color w:val="808080"/>
            </w:rPr>
            <w:t>单击此处输入文字。</w:t>
          </w:r>
        </w:p>
      </w:docPartBody>
    </w:docPart>
    <w:docPart>
      <w:docPartPr>
        <w:name w:val="{243d967b-6a05-4004-a58b-6b9111f55bc2}"/>
        <w:style w:val=""/>
        <w:category>
          <w:name w:val="常规"/>
          <w:gallery w:val="placeholder"/>
        </w:category>
        <w:types>
          <w:type w:val="bbPlcHdr"/>
        </w:types>
        <w:behaviors>
          <w:behavior w:val="content"/>
        </w:behaviors>
        <w:description w:val=""/>
        <w:guid w:val="{243d967b-6a05-4004-a58b-6b9111f55bc2}"/>
      </w:docPartPr>
      <w:docPartBody>
        <w:p>
          <w:r>
            <w:rPr>
              <w:color w:val="808080"/>
            </w:rPr>
            <w:t>单击此处输入文字。</w:t>
          </w:r>
        </w:p>
      </w:docPartBody>
    </w:docPart>
    <w:docPart>
      <w:docPartPr>
        <w:name w:val="{aef5c01a-b8d2-43c4-93f5-a32153557b64}"/>
        <w:style w:val=""/>
        <w:category>
          <w:name w:val="常规"/>
          <w:gallery w:val="placeholder"/>
        </w:category>
        <w:types>
          <w:type w:val="bbPlcHdr"/>
        </w:types>
        <w:behaviors>
          <w:behavior w:val="content"/>
        </w:behaviors>
        <w:description w:val=""/>
        <w:guid w:val="{aef5c01a-b8d2-43c4-93f5-a32153557b64}"/>
      </w:docPartPr>
      <w:docPartBody>
        <w:p>
          <w:r>
            <w:rPr>
              <w:color w:val="808080"/>
            </w:rPr>
            <w:t>单击此处输入文字。</w:t>
          </w:r>
        </w:p>
      </w:docPartBody>
    </w:docPart>
    <w:docPart>
      <w:docPartPr>
        <w:name w:val="{a1a3feff-916d-4f72-971b-aaf372f94c42}"/>
        <w:style w:val=""/>
        <w:category>
          <w:name w:val="常规"/>
          <w:gallery w:val="placeholder"/>
        </w:category>
        <w:types>
          <w:type w:val="bbPlcHdr"/>
        </w:types>
        <w:behaviors>
          <w:behavior w:val="content"/>
        </w:behaviors>
        <w:description w:val=""/>
        <w:guid w:val="{a1a3feff-916d-4f72-971b-aaf372f94c42}"/>
      </w:docPartPr>
      <w:docPartBody>
        <w:p>
          <w:r>
            <w:rPr>
              <w:color w:val="808080"/>
            </w:rPr>
            <w:t>单击此处输入文字。</w:t>
          </w:r>
        </w:p>
      </w:docPartBody>
    </w:docPart>
    <w:docPart>
      <w:docPartPr>
        <w:name w:val="{0ecc454c-1bb9-4274-84cf-7fd37ad4ed0e}"/>
        <w:style w:val=""/>
        <w:category>
          <w:name w:val="常规"/>
          <w:gallery w:val="placeholder"/>
        </w:category>
        <w:types>
          <w:type w:val="bbPlcHdr"/>
        </w:types>
        <w:behaviors>
          <w:behavior w:val="content"/>
        </w:behaviors>
        <w:description w:val=""/>
        <w:guid w:val="{0ecc454c-1bb9-4274-84cf-7fd37ad4ed0e}"/>
      </w:docPartPr>
      <w:docPartBody>
        <w:p>
          <w:r>
            <w:rPr>
              <w:color w:val="808080"/>
            </w:rPr>
            <w:t>单击此处输入文字。</w:t>
          </w:r>
        </w:p>
      </w:docPartBody>
    </w:docPart>
    <w:docPart>
      <w:docPartPr>
        <w:name w:val="{ed574759-d154-4972-8659-8b79c637aa8a}"/>
        <w:style w:val=""/>
        <w:category>
          <w:name w:val="常规"/>
          <w:gallery w:val="placeholder"/>
        </w:category>
        <w:types>
          <w:type w:val="bbPlcHdr"/>
        </w:types>
        <w:behaviors>
          <w:behavior w:val="content"/>
        </w:behaviors>
        <w:description w:val=""/>
        <w:guid w:val="{ed574759-d154-4972-8659-8b79c637aa8a}"/>
      </w:docPartPr>
      <w:docPartBody>
        <w:p>
          <w:r>
            <w:rPr>
              <w:color w:val="808080"/>
            </w:rPr>
            <w:t>单击此处输入文字。</w:t>
          </w:r>
        </w:p>
      </w:docPartBody>
    </w:docPart>
    <w:docPart>
      <w:docPartPr>
        <w:name w:val="{d715db62-1401-46fa-ac64-a2baeb8d7562}"/>
        <w:style w:val=""/>
        <w:category>
          <w:name w:val="常规"/>
          <w:gallery w:val="placeholder"/>
        </w:category>
        <w:types>
          <w:type w:val="bbPlcHdr"/>
        </w:types>
        <w:behaviors>
          <w:behavior w:val="content"/>
        </w:behaviors>
        <w:description w:val=""/>
        <w:guid w:val="{d715db62-1401-46fa-ac64-a2baeb8d7562}"/>
      </w:docPartPr>
      <w:docPartBody>
        <w:p>
          <w:r>
            <w:rPr>
              <w:color w:val="808080"/>
            </w:rPr>
            <w:t>单击此处输入文字。</w:t>
          </w:r>
        </w:p>
      </w:docPartBody>
    </w:docPart>
    <w:docPart>
      <w:docPartPr>
        <w:name w:val="{8b6937fa-2893-4e58-a114-f14b35332f48}"/>
        <w:style w:val=""/>
        <w:category>
          <w:name w:val="常规"/>
          <w:gallery w:val="placeholder"/>
        </w:category>
        <w:types>
          <w:type w:val="bbPlcHdr"/>
        </w:types>
        <w:behaviors>
          <w:behavior w:val="content"/>
        </w:behaviors>
        <w:description w:val=""/>
        <w:guid w:val="{8b6937fa-2893-4e58-a114-f14b35332f48}"/>
      </w:docPartPr>
      <w:docPartBody>
        <w:p>
          <w:r>
            <w:rPr>
              <w:color w:val="808080"/>
            </w:rPr>
            <w:t>单击此处输入文字。</w:t>
          </w:r>
        </w:p>
      </w:docPartBody>
    </w:docPart>
    <w:docPart>
      <w:docPartPr>
        <w:name w:val="{318baa3c-2490-4c55-9f33-02efeb7c85db}"/>
        <w:style w:val=""/>
        <w:category>
          <w:name w:val="常规"/>
          <w:gallery w:val="placeholder"/>
        </w:category>
        <w:types>
          <w:type w:val="bbPlcHdr"/>
        </w:types>
        <w:behaviors>
          <w:behavior w:val="content"/>
        </w:behaviors>
        <w:description w:val=""/>
        <w:guid w:val="{318baa3c-2490-4c55-9f33-02efeb7c85db}"/>
      </w:docPartPr>
      <w:docPartBody>
        <w:p>
          <w:r>
            <w:rPr>
              <w:color w:val="808080"/>
            </w:rPr>
            <w:t>单击此处输入文字。</w:t>
          </w:r>
        </w:p>
      </w:docPartBody>
    </w:docPart>
    <w:docPart>
      <w:docPartPr>
        <w:name w:val="{4a4e110c-8372-42c9-b75d-0f6a25ec668e}"/>
        <w:style w:val=""/>
        <w:category>
          <w:name w:val="常规"/>
          <w:gallery w:val="placeholder"/>
        </w:category>
        <w:types>
          <w:type w:val="bbPlcHdr"/>
        </w:types>
        <w:behaviors>
          <w:behavior w:val="content"/>
        </w:behaviors>
        <w:description w:val=""/>
        <w:guid w:val="{4a4e110c-8372-42c9-b75d-0f6a25ec668e}"/>
      </w:docPartPr>
      <w:docPartBody>
        <w:p>
          <w:r>
            <w:rPr>
              <w:color w:val="808080"/>
            </w:rPr>
            <w:t>单击此处输入文字。</w:t>
          </w:r>
        </w:p>
      </w:docPartBody>
    </w:docPart>
    <w:docPart>
      <w:docPartPr>
        <w:name w:val="{ff74c374-0584-42b7-bdbc-b49d5c037a33}"/>
        <w:style w:val=""/>
        <w:category>
          <w:name w:val="常规"/>
          <w:gallery w:val="placeholder"/>
        </w:category>
        <w:types>
          <w:type w:val="bbPlcHdr"/>
        </w:types>
        <w:behaviors>
          <w:behavior w:val="content"/>
        </w:behaviors>
        <w:description w:val=""/>
        <w:guid w:val="{ff74c374-0584-42b7-bdbc-b49d5c037a33}"/>
      </w:docPartPr>
      <w:docPartBody>
        <w:p>
          <w:r>
            <w:rPr>
              <w:color w:val="808080"/>
            </w:rPr>
            <w:t>单击此处输入文字。</w:t>
          </w:r>
        </w:p>
      </w:docPartBody>
    </w:docPart>
    <w:docPart>
      <w:docPartPr>
        <w:name w:val="{0d1821f1-7cae-43d2-90ce-a2c24ca2006b}"/>
        <w:style w:val=""/>
        <w:category>
          <w:name w:val="常规"/>
          <w:gallery w:val="placeholder"/>
        </w:category>
        <w:types>
          <w:type w:val="bbPlcHdr"/>
        </w:types>
        <w:behaviors>
          <w:behavior w:val="content"/>
        </w:behaviors>
        <w:description w:val=""/>
        <w:guid w:val="{0d1821f1-7cae-43d2-90ce-a2c24ca2006b}"/>
      </w:docPartPr>
      <w:docPartBody>
        <w:p>
          <w:r>
            <w:rPr>
              <w:color w:val="808080"/>
            </w:rPr>
            <w:t>单击此处输入文字。</w:t>
          </w:r>
        </w:p>
      </w:docPartBody>
    </w:docPart>
    <w:docPart>
      <w:docPartPr>
        <w:name w:val="{4def45a2-322e-4c6a-8fff-a378648d9b9c}"/>
        <w:style w:val=""/>
        <w:category>
          <w:name w:val="常规"/>
          <w:gallery w:val="placeholder"/>
        </w:category>
        <w:types>
          <w:type w:val="bbPlcHdr"/>
        </w:types>
        <w:behaviors>
          <w:behavior w:val="content"/>
        </w:behaviors>
        <w:description w:val=""/>
        <w:guid w:val="{4def45a2-322e-4c6a-8fff-a378648d9b9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92</Pages>
  <Words>16434</Words>
  <Characters>93680</Characters>
  <Lines>780</Lines>
  <Paragraphs>219</Paragraphs>
  <TotalTime>0</TotalTime>
  <ScaleCrop>false</ScaleCrop>
  <LinksUpToDate>false</LinksUpToDate>
  <CharactersWithSpaces>109895</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2018-04-01T09:08:00Z</dcterms:created>
  <dc:creator>袁静</dc:creator>
  <cp:lastModifiedBy>陈丽霞</cp:lastModifiedBy>
  <cp:lastPrinted>2018-01-17T03:06:00Z</cp:lastPrinted>
  <dcterms:modified xsi:type="dcterms:W3CDTF">2025-07-02T02:25:43Z</dcterms:modified>
  <dc:title>中华人民共和国</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8FD0E83C974444299AC8D7CCBB796464</vt:lpwstr>
  </property>
</Properties>
</file>