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110千伏松园（嘉禾望岗）输变电、太平扩建第三台主变工程监理</w:t>
      </w:r>
    </w:p>
    <w:p>
      <w:pPr>
        <w:pStyle w:val="6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报价汇总表</w:t>
      </w:r>
    </w:p>
    <w:p>
      <w:pPr>
        <w:pStyle w:val="6"/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460"/>
        <w:gridCol w:w="1666"/>
        <w:gridCol w:w="1133"/>
        <w:gridCol w:w="1710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9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110千伏松园（嘉禾望岗）输变电工程（电气分册）监理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987164.06  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110千伏太平扩建第三台主变工程监理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421488.60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default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Times New Roman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合计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1408652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>
      <w:pPr>
        <w:pStyle w:val="6"/>
      </w:pPr>
    </w:p>
    <w:p>
      <w:p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pStyle w:val="6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1、110千伏松园（嘉禾望岗）输变电工程（电气分册）监理</w:t>
      </w:r>
    </w:p>
    <w:p>
      <w:pPr>
        <w:pStyle w:val="6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219"/>
        <w:gridCol w:w="2031"/>
        <w:gridCol w:w="1316"/>
        <w:gridCol w:w="1557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32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2031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77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一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变电工程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476117.46 </w:t>
            </w:r>
          </w:p>
        </w:tc>
        <w:tc>
          <w:tcPr>
            <w:tcW w:w="131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110kV松园（嘉禾望岗）变电站工程（电气分册）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446479.06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对侧220kV梨园站扩建工程（松园对侧）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29638.40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</w:rPr>
              <w:t>二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线路工程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486118.79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110kV梨园至松园电缆线路工程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486118.79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配套通信工程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24927.81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配套通信设备工程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19400.92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配套管道光缆工程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5526.89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2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计</w:t>
            </w:r>
          </w:p>
        </w:tc>
        <w:tc>
          <w:tcPr>
            <w:tcW w:w="20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987164.06 </w:t>
            </w:r>
          </w:p>
        </w:tc>
        <w:tc>
          <w:tcPr>
            <w:tcW w:w="131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>
      <w:pPr>
        <w:pStyle w:val="6"/>
      </w:pPr>
    </w:p>
    <w:p>
      <w:pPr>
        <w:pStyle w:val="6"/>
      </w:pPr>
    </w:p>
    <w:p>
      <w:pPr>
        <w:pStyle w:val="6"/>
      </w:pPr>
    </w:p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2、110千伏太平扩建第三台主变工程监理</w:t>
      </w:r>
      <w:bookmarkStart w:id="0" w:name="_GoBack"/>
      <w:bookmarkEnd w:id="0"/>
    </w:p>
    <w:p>
      <w:pPr>
        <w:pStyle w:val="6"/>
        <w:rPr>
          <w:rFonts w:hint="eastAsia"/>
          <w:lang w:val="en-US" w:eastAsia="zh-C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242"/>
        <w:gridCol w:w="1519"/>
        <w:gridCol w:w="1419"/>
        <w:gridCol w:w="1515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519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1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9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变电工程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334529.05 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110kV太平站扩建第三台主变工程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334529.05 </w:t>
            </w:r>
          </w:p>
        </w:tc>
        <w:tc>
          <w:tcPr>
            <w:tcW w:w="1419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线路工程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86959.55 </w:t>
            </w:r>
          </w:p>
        </w:tc>
        <w:tc>
          <w:tcPr>
            <w:tcW w:w="1419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110kV太平站主接线改造电缆线路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16527.55 </w:t>
            </w:r>
          </w:p>
        </w:tc>
        <w:tc>
          <w:tcPr>
            <w:tcW w:w="1419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110kV汉太线导线增容改造工程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70432.00 </w:t>
            </w:r>
          </w:p>
        </w:tc>
        <w:tc>
          <w:tcPr>
            <w:tcW w:w="1419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663" w:firstLineChars="3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计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421488.60</w:t>
            </w:r>
          </w:p>
        </w:tc>
        <w:tc>
          <w:tcPr>
            <w:tcW w:w="1419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>
      <w:pPr>
        <w:pStyle w:val="6"/>
        <w:rPr>
          <w:rFonts w:hint="default"/>
          <w:lang w:val="en-US"/>
        </w:rPr>
      </w:pPr>
    </w:p>
    <w:p>
      <w:pPr>
        <w:pStyle w:val="6"/>
      </w:pPr>
    </w:p>
    <w:p>
      <w:pPr>
        <w:pStyle w:val="6"/>
      </w:pPr>
    </w:p>
    <w:p>
      <w:pPr>
        <w:pStyle w:val="6"/>
      </w:pPr>
    </w:p>
    <w:p>
      <w:pPr>
        <w:pStyle w:val="6"/>
      </w:pPr>
    </w:p>
    <w:p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>
      <w:pPr>
        <w:pStyle w:val="6"/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（1）按下浮率报价（保留两位小数，如 8.88%），同时填报投标报价（投标报价=最高投标限价*（1-投标下浮率），四舍五入保留两位小数）。当投标报价与投标下浮率计算结果不一致时，以投标下浮率为准，按上述公式修订投标报价，如单项报价与投标下浮率不对应的也需按投标下浮率修正单项报价。</w:t>
      </w:r>
    </w:p>
    <w:p>
      <w:pPr>
        <w:pStyle w:val="6"/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（2）投标下浮率不低于0%为有效报价；当投标下浮率＞10%时应附成本分析报告，充分说明单价和费用的组成、降低成本的合理措施及在其他工程中应用过的经验等，经评审通过后方可视为有效报价。</w:t>
      </w:r>
    </w:p>
    <w:p>
      <w:pPr>
        <w:pStyle w:val="6"/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（3）价格分计算时，投标人评标价按（100-投标人填写的下浮数值）参与计算。如：下浮率为1.88％时，评标价按（100-1.88）参与计算。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503C7"/>
    <w:rsid w:val="082276C9"/>
    <w:rsid w:val="0B051222"/>
    <w:rsid w:val="0B346750"/>
    <w:rsid w:val="0C865DB9"/>
    <w:rsid w:val="10D301C5"/>
    <w:rsid w:val="153031E0"/>
    <w:rsid w:val="25E15FD5"/>
    <w:rsid w:val="2B8302B5"/>
    <w:rsid w:val="30602DC0"/>
    <w:rsid w:val="32DD0E7F"/>
    <w:rsid w:val="380B3AC3"/>
    <w:rsid w:val="39FF48E8"/>
    <w:rsid w:val="45082F54"/>
    <w:rsid w:val="51B74B60"/>
    <w:rsid w:val="55077D40"/>
    <w:rsid w:val="5BC94C7C"/>
    <w:rsid w:val="5EDF3609"/>
    <w:rsid w:val="62643660"/>
    <w:rsid w:val="72AE0EDB"/>
    <w:rsid w:val="7AD74219"/>
    <w:rsid w:val="7BF7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3">
    <w:name w:val="Body Text"/>
    <w:basedOn w:val="1"/>
    <w:next w:val="4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7">
    <w:name w:val="Body Text First Indent 2"/>
    <w:basedOn w:val="5"/>
    <w:unhideWhenUsed/>
    <w:qFormat/>
    <w:uiPriority w:val="0"/>
    <w:pPr>
      <w:ind w:firstLine="420" w:firstLineChars="200"/>
    </w:pPr>
    <w:rPr>
      <w:szCs w:val="24"/>
    </w:rPr>
  </w:style>
  <w:style w:type="character" w:customStyle="1" w:styleId="10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9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2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2024-02-05T03:32:00Z</dcterms:created>
  <dc:creator>Administrator</dc:creator>
  <cp:lastModifiedBy>Administrator</cp:lastModifiedBy>
  <dcterms:modified xsi:type="dcterms:W3CDTF">2025-11-25T08:38:31Z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F36A998086584D579DD5C371105C2E1F</vt:lpwstr>
  </property>
</Properties>
</file>