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numPr>
          <w:ilvl w:val="0"/>
          <w:numId w:val="0"/>
        </w:numPr>
        <w:kinsoku/>
        <w:wordWrap/>
        <w:overflowPunct/>
        <w:topLinePunct w:val="0"/>
        <w:autoSpaceDE/>
        <w:autoSpaceDN/>
        <w:bidi w:val="0"/>
        <w:adjustRightInd/>
        <w:snapToGrid/>
        <w:spacing w:line="360" w:lineRule="auto"/>
        <w:ind w:left="-42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44"/>
          <w:szCs w:val="44"/>
          <w:highlight w:val="none"/>
        </w:rPr>
      </w:pPr>
    </w:p>
    <w:p>
      <w:pPr>
        <w:pageBreakBefore w:val="0"/>
        <w:kinsoku/>
        <w:wordWrap/>
        <w:overflowPunct/>
        <w:topLinePunct w:val="0"/>
        <w:autoSpaceDE/>
        <w:autoSpaceDN/>
        <w:bidi w:val="0"/>
        <w:adjustRightInd/>
        <w:snapToGrid/>
        <w:spacing w:line="360" w:lineRule="auto"/>
        <w:ind w:left="0" w:leftChars="0"/>
        <w:jc w:val="center"/>
        <w:rPr>
          <w:rFonts w:hint="eastAsia" w:ascii="黑体" w:hAnsi="黑体" w:eastAsia="黑体"/>
          <w:sz w:val="44"/>
          <w:szCs w:val="44"/>
          <w:highlight w:val="none"/>
        </w:rPr>
      </w:pPr>
      <w:r>
        <w:rPr>
          <w:rFonts w:hint="eastAsia" w:ascii="黑体" w:hAnsi="黑体" w:eastAsia="黑体"/>
          <w:sz w:val="44"/>
          <w:szCs w:val="44"/>
          <w:highlight w:val="none"/>
        </w:rPr>
        <w:t>广西新电力投资集团有限责任公司</w:t>
      </w:r>
    </w:p>
    <w:p>
      <w:pPr>
        <w:pageBreakBefore w:val="0"/>
        <w:kinsoku/>
        <w:wordWrap/>
        <w:overflowPunct/>
        <w:topLinePunct w:val="0"/>
        <w:autoSpaceDE/>
        <w:autoSpaceDN/>
        <w:bidi w:val="0"/>
        <w:adjustRightInd/>
        <w:snapToGrid/>
        <w:spacing w:line="360" w:lineRule="auto"/>
        <w:ind w:left="0" w:leftChars="0"/>
        <w:jc w:val="center"/>
        <w:rPr>
          <w:rFonts w:hint="eastAsia" w:ascii="黑体" w:hAnsi="黑体" w:eastAsia="黑体"/>
          <w:sz w:val="44"/>
          <w:szCs w:val="44"/>
          <w:highlight w:val="none"/>
        </w:rPr>
      </w:pPr>
      <w:r>
        <w:rPr>
          <w:rFonts w:hint="eastAsia" w:ascii="黑体" w:hAnsi="黑体" w:eastAsia="黑体"/>
          <w:sz w:val="44"/>
          <w:szCs w:val="44"/>
          <w:highlight w:val="none"/>
        </w:rPr>
        <w:t>2025年电网管理平台（计财域）资金模块数据治理及进项数电票采集服务等配套项目</w:t>
      </w:r>
    </w:p>
    <w:p>
      <w:pPr>
        <w:pageBreakBefore w:val="0"/>
        <w:kinsoku/>
        <w:wordWrap/>
        <w:overflowPunct/>
        <w:topLinePunct w:val="0"/>
        <w:autoSpaceDE/>
        <w:autoSpaceDN/>
        <w:bidi w:val="0"/>
        <w:adjustRightInd/>
        <w:snapToGrid/>
        <w:spacing w:line="360" w:lineRule="auto"/>
        <w:ind w:left="0" w:leftChars="0"/>
        <w:jc w:val="center"/>
        <w:rPr>
          <w:rFonts w:ascii="黑体" w:hAnsi="黑体" w:eastAsia="黑体"/>
          <w:sz w:val="44"/>
          <w:szCs w:val="44"/>
          <w:highlight w:val="none"/>
        </w:rPr>
      </w:pPr>
      <w:r>
        <w:rPr>
          <w:rFonts w:hint="eastAsia" w:ascii="黑体" w:hAnsi="黑体" w:eastAsia="黑体"/>
          <w:sz w:val="44"/>
          <w:szCs w:val="44"/>
          <w:highlight w:val="none"/>
        </w:rPr>
        <w:t>技术规范书</w:t>
      </w: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ind w:left="0" w:leftChars="0"/>
        <w:rPr>
          <w:sz w:val="21"/>
          <w:szCs w:val="21"/>
          <w:highlight w:val="none"/>
        </w:rPr>
      </w:pPr>
    </w:p>
    <w:p>
      <w:pPr>
        <w:pageBreakBefore w:val="0"/>
        <w:kinsoku/>
        <w:wordWrap/>
        <w:overflowPunct/>
        <w:topLinePunct w:val="0"/>
        <w:autoSpaceDE/>
        <w:autoSpaceDN/>
        <w:bidi w:val="0"/>
        <w:adjustRightInd/>
        <w:snapToGrid/>
        <w:spacing w:line="360" w:lineRule="auto"/>
        <w:jc w:val="center"/>
        <w:rPr>
          <w:sz w:val="32"/>
          <w:szCs w:val="32"/>
          <w:highlight w:val="none"/>
        </w:rPr>
      </w:pPr>
      <w:r>
        <w:rPr>
          <w:rFonts w:hint="eastAsia"/>
          <w:sz w:val="32"/>
          <w:szCs w:val="32"/>
          <w:highlight w:val="none"/>
        </w:rPr>
        <w:t>广西新电力投资集团有限责任公司</w:t>
      </w:r>
    </w:p>
    <w:p>
      <w:pPr>
        <w:spacing w:line="360" w:lineRule="auto"/>
        <w:ind w:firstLine="0" w:firstLineChars="0"/>
        <w:jc w:val="center"/>
        <w:rPr>
          <w:rFonts w:ascii="宋体"/>
          <w:sz w:val="32"/>
          <w:szCs w:val="32"/>
          <w:highlight w:val="none"/>
        </w:rPr>
      </w:pPr>
      <w:r>
        <w:rPr>
          <w:rFonts w:hint="eastAsia" w:ascii="宋体"/>
          <w:sz w:val="32"/>
          <w:szCs w:val="32"/>
          <w:highlight w:val="none"/>
        </w:rPr>
        <w:t>二〇二五年</w:t>
      </w:r>
      <w:r>
        <w:rPr>
          <w:rFonts w:hint="eastAsia" w:ascii="宋体"/>
          <w:sz w:val="32"/>
          <w:szCs w:val="32"/>
          <w:highlight w:val="none"/>
          <w:lang w:val="en-US" w:eastAsia="zh-CN"/>
        </w:rPr>
        <w:t>十</w:t>
      </w:r>
      <w:r>
        <w:rPr>
          <w:rFonts w:hint="eastAsia" w:ascii="宋体"/>
          <w:sz w:val="32"/>
          <w:szCs w:val="32"/>
          <w:highlight w:val="none"/>
        </w:rPr>
        <w:t>月</w:t>
      </w:r>
    </w:p>
    <w:p>
      <w:pPr>
        <w:pageBreakBefore w:val="0"/>
        <w:kinsoku/>
        <w:wordWrap/>
        <w:overflowPunct/>
        <w:topLinePunct w:val="0"/>
        <w:autoSpaceDE/>
        <w:autoSpaceDN/>
        <w:bidi w:val="0"/>
        <w:adjustRightInd/>
        <w:snapToGrid/>
        <w:spacing w:line="360" w:lineRule="auto"/>
        <w:ind w:left="0" w:leftChars="0"/>
        <w:jc w:val="center"/>
        <w:rPr>
          <w:sz w:val="21"/>
          <w:szCs w:val="21"/>
          <w:highlight w:val="none"/>
        </w:rPr>
      </w:pPr>
      <w:r>
        <w:rPr>
          <w:sz w:val="21"/>
          <w:szCs w:val="21"/>
          <w:highlight w:val="none"/>
        </w:rPr>
        <w:br w:type="page"/>
      </w:r>
      <w:r>
        <w:rPr>
          <w:rFonts w:hint="eastAsia"/>
          <w:sz w:val="21"/>
          <w:szCs w:val="21"/>
          <w:highlight w:val="none"/>
        </w:rPr>
        <w:t>目  录</w:t>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sz w:val="21"/>
          <w:szCs w:val="21"/>
          <w:highlight w:val="none"/>
        </w:rPr>
        <w:fldChar w:fldCharType="begin"/>
      </w:r>
      <w:r>
        <w:rPr>
          <w:rFonts w:hint="eastAsia"/>
          <w:sz w:val="21"/>
          <w:szCs w:val="21"/>
          <w:highlight w:val="none"/>
        </w:rPr>
        <w:instrText xml:space="preserve">TOC \o "1-1" \h \z \u</w:instrText>
      </w:r>
      <w:r>
        <w:rPr>
          <w:sz w:val="21"/>
          <w:szCs w:val="21"/>
          <w:highlight w:val="none"/>
        </w:rPr>
        <w:fldChar w:fldCharType="separate"/>
      </w:r>
      <w:r>
        <w:rPr>
          <w:highlight w:val="none"/>
        </w:rPr>
        <w:fldChar w:fldCharType="begin"/>
      </w:r>
      <w:r>
        <w:rPr>
          <w:highlight w:val="none"/>
        </w:rPr>
        <w:instrText xml:space="preserve"> HYPERLINK \l "_Toc145626073" </w:instrText>
      </w:r>
      <w:r>
        <w:rPr>
          <w:highlight w:val="none"/>
        </w:rPr>
        <w:fldChar w:fldCharType="separate"/>
      </w:r>
      <w:r>
        <w:rPr>
          <w:rStyle w:val="25"/>
          <w:rFonts w:hAnsi="宋体" w:cs="宋体"/>
          <w:highlight w:val="none"/>
        </w:rPr>
        <w:t>1. 总则</w:t>
      </w:r>
      <w:r>
        <w:rPr>
          <w:highlight w:val="none"/>
        </w:rPr>
        <w:tab/>
      </w:r>
      <w:r>
        <w:rPr>
          <w:highlight w:val="none"/>
        </w:rPr>
        <w:fldChar w:fldCharType="begin"/>
      </w:r>
      <w:r>
        <w:rPr>
          <w:highlight w:val="none"/>
        </w:rPr>
        <w:instrText xml:space="preserve"> PAGEREF _Toc145626073 \h </w:instrText>
      </w:r>
      <w:r>
        <w:rPr>
          <w:highlight w:val="none"/>
        </w:rPr>
        <w:fldChar w:fldCharType="separate"/>
      </w:r>
      <w:r>
        <w:rPr>
          <w:highlight w:val="none"/>
        </w:rPr>
        <w:t>1</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"_Toc145626074" </w:instrText>
      </w:r>
      <w:r>
        <w:rPr>
          <w:highlight w:val="none"/>
        </w:rPr>
        <w:fldChar w:fldCharType="separate"/>
      </w:r>
      <w:r>
        <w:rPr>
          <w:rStyle w:val="25"/>
          <w:rFonts w:hAnsi="宋体" w:cs="宋体"/>
          <w:highlight w:val="none"/>
        </w:rPr>
        <w:t>2. 应遵循的主要标准</w:t>
      </w:r>
      <w:r>
        <w:rPr>
          <w:highlight w:val="none"/>
        </w:rPr>
        <w:tab/>
      </w:r>
      <w:r>
        <w:rPr>
          <w:highlight w:val="none"/>
        </w:rPr>
        <w:fldChar w:fldCharType="begin"/>
      </w:r>
      <w:r>
        <w:rPr>
          <w:highlight w:val="none"/>
        </w:rPr>
        <w:instrText xml:space="preserve"> PAGEREF _Toc145626074 \h </w:instrText>
      </w:r>
      <w:r>
        <w:rPr>
          <w:highlight w:val="none"/>
        </w:rPr>
        <w:fldChar w:fldCharType="separate"/>
      </w:r>
      <w:r>
        <w:rPr>
          <w:highlight w:val="none"/>
        </w:rPr>
        <w:t>2</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"_Toc145626075" </w:instrText>
      </w:r>
      <w:r>
        <w:rPr>
          <w:highlight w:val="none"/>
        </w:rPr>
        <w:fldChar w:fldCharType="separate"/>
      </w:r>
      <w:r>
        <w:rPr>
          <w:rStyle w:val="25"/>
          <w:rFonts w:hAnsi="宋体" w:cs="宋体"/>
          <w:highlight w:val="none"/>
        </w:rPr>
        <w:t>3. 项目概述</w:t>
      </w:r>
      <w:r>
        <w:rPr>
          <w:highlight w:val="none"/>
        </w:rPr>
        <w:tab/>
      </w:r>
      <w:r>
        <w:rPr>
          <w:highlight w:val="none"/>
        </w:rPr>
        <w:fldChar w:fldCharType="begin"/>
      </w:r>
      <w:r>
        <w:rPr>
          <w:highlight w:val="none"/>
        </w:rPr>
        <w:instrText xml:space="preserve"> PAGEREF _Toc145626075 \h </w:instrText>
      </w:r>
      <w:r>
        <w:rPr>
          <w:highlight w:val="none"/>
        </w:rPr>
        <w:fldChar w:fldCharType="separate"/>
      </w:r>
      <w:r>
        <w:rPr>
          <w:highlight w:val="none"/>
        </w:rPr>
        <w:t>3</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"_Toc145626076" </w:instrText>
      </w:r>
      <w:r>
        <w:rPr>
          <w:highlight w:val="none"/>
        </w:rPr>
        <w:fldChar w:fldCharType="separate"/>
      </w:r>
      <w:r>
        <w:rPr>
          <w:rStyle w:val="25"/>
          <w:rFonts w:hAnsi="宋体" w:cs="宋体"/>
          <w:highlight w:val="none"/>
        </w:rPr>
        <w:t>4. 范围和内容</w:t>
      </w:r>
      <w:r>
        <w:rPr>
          <w:highlight w:val="none"/>
        </w:rPr>
        <w:tab/>
      </w:r>
      <w:r>
        <w:rPr>
          <w:highlight w:val="none"/>
        </w:rPr>
        <w:fldChar w:fldCharType="begin"/>
      </w:r>
      <w:r>
        <w:rPr>
          <w:highlight w:val="none"/>
        </w:rPr>
        <w:instrText xml:space="preserve"> PAGEREF _Toc145626076 \h </w:instrText>
      </w:r>
      <w:r>
        <w:rPr>
          <w:highlight w:val="none"/>
        </w:rPr>
        <w:fldChar w:fldCharType="separate"/>
      </w:r>
      <w:r>
        <w:rPr>
          <w:highlight w:val="none"/>
        </w:rPr>
        <w:t>3</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"_Toc145626077" </w:instrText>
      </w:r>
      <w:r>
        <w:rPr>
          <w:highlight w:val="none"/>
        </w:rPr>
        <w:fldChar w:fldCharType="separate"/>
      </w:r>
      <w:r>
        <w:rPr>
          <w:rStyle w:val="25"/>
          <w:rFonts w:hAnsi="宋体" w:cs="宋体"/>
          <w:highlight w:val="none"/>
        </w:rPr>
        <w:t>5. 总体要求</w:t>
      </w:r>
      <w:r>
        <w:rPr>
          <w:highlight w:val="none"/>
        </w:rPr>
        <w:tab/>
      </w:r>
      <w:r>
        <w:rPr>
          <w:highlight w:val="none"/>
        </w:rPr>
        <w:fldChar w:fldCharType="begin"/>
      </w:r>
      <w:r>
        <w:rPr>
          <w:highlight w:val="none"/>
        </w:rPr>
        <w:instrText xml:space="preserve"> PAGEREF _Toc145626077 \h </w:instrText>
      </w:r>
      <w:r>
        <w:rPr>
          <w:highlight w:val="none"/>
        </w:rPr>
        <w:fldChar w:fldCharType="separate"/>
      </w:r>
      <w:r>
        <w:rPr>
          <w:highlight w:val="none"/>
        </w:rPr>
        <w:t>7</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"_Toc145626078" </w:instrText>
      </w:r>
      <w:r>
        <w:rPr>
          <w:highlight w:val="none"/>
        </w:rPr>
        <w:fldChar w:fldCharType="separate"/>
      </w:r>
      <w:r>
        <w:rPr>
          <w:rStyle w:val="25"/>
          <w:rFonts w:hAnsi="宋体" w:cs="宋体"/>
          <w:highlight w:val="none"/>
        </w:rPr>
        <w:t>6. 主要技术要求</w:t>
      </w:r>
      <w:r>
        <w:rPr>
          <w:highlight w:val="none"/>
        </w:rPr>
        <w:tab/>
      </w:r>
      <w:r>
        <w:rPr>
          <w:highlight w:val="none"/>
        </w:rPr>
        <w:fldChar w:fldCharType="begin"/>
      </w:r>
      <w:r>
        <w:rPr>
          <w:highlight w:val="none"/>
        </w:rPr>
        <w:instrText xml:space="preserve"> PAGEREF _Toc145626078 \h </w:instrText>
      </w:r>
      <w:r>
        <w:rPr>
          <w:highlight w:val="none"/>
        </w:rPr>
        <w:fldChar w:fldCharType="separate"/>
      </w:r>
      <w:r>
        <w:rPr>
          <w:highlight w:val="none"/>
        </w:rPr>
        <w:t>7</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"_Toc145626079" </w:instrText>
      </w:r>
      <w:r>
        <w:rPr>
          <w:highlight w:val="none"/>
        </w:rPr>
        <w:fldChar w:fldCharType="separate"/>
      </w:r>
      <w:r>
        <w:rPr>
          <w:rStyle w:val="25"/>
          <w:rFonts w:hAnsi="宋体" w:cs="宋体"/>
          <w:highlight w:val="none"/>
        </w:rPr>
        <w:t>7. 其他要求</w:t>
      </w:r>
      <w:r>
        <w:rPr>
          <w:highlight w:val="none"/>
        </w:rPr>
        <w:tab/>
      </w:r>
      <w:r>
        <w:rPr>
          <w:highlight w:val="none"/>
        </w:rPr>
        <w:fldChar w:fldCharType="begin"/>
      </w:r>
      <w:r>
        <w:rPr>
          <w:highlight w:val="none"/>
        </w:rPr>
        <w:instrText xml:space="preserve"> PAGEREF _Toc145626079 \h </w:instrText>
      </w:r>
      <w:r>
        <w:rPr>
          <w:highlight w:val="none"/>
        </w:rPr>
        <w:fldChar w:fldCharType="separate"/>
      </w:r>
      <w:r>
        <w:rPr>
          <w:highlight w:val="none"/>
        </w:rPr>
        <w:t>14</w:t>
      </w:r>
      <w:r>
        <w:rPr>
          <w:highlight w:val="none"/>
        </w:rPr>
        <w:fldChar w:fldCharType="end"/>
      </w:r>
      <w:r>
        <w:rPr>
          <w:highlight w:val="none"/>
        </w:rPr>
        <w:fldChar w:fldCharType="end"/>
      </w:r>
    </w:p>
    <w:p>
      <w:pPr>
        <w:pStyle w:val="19"/>
        <w:pageBreakBefore w:val="0"/>
        <w:kinsoku/>
        <w:wordWrap/>
        <w:overflowPunct/>
        <w:topLinePunct w:val="0"/>
        <w:autoSpaceDE/>
        <w:autoSpaceDN/>
        <w:bidi w:val="0"/>
        <w:adjustRightInd/>
        <w:snapToGrid/>
        <w:spacing w:line="360" w:lineRule="auto"/>
        <w:ind w:left="0" w:leftChars="0"/>
        <w:rPr>
          <w:rFonts w:asciiTheme="minorHAnsi" w:hAnsiTheme="minorHAnsi" w:eastAsiaTheme="minorEastAsia" w:cstheme="minorBidi"/>
          <w:sz w:val="21"/>
          <w:szCs w:val="22"/>
          <w:highlight w:val="none"/>
          <w14:ligatures w14:val="standardContextual"/>
        </w:rPr>
      </w:pPr>
      <w:r>
        <w:rPr>
          <w:highlight w:val="none"/>
        </w:rPr>
        <w:fldChar w:fldCharType="begin"/>
      </w:r>
      <w:r>
        <w:rPr>
          <w:highlight w:val="none"/>
        </w:rPr>
        <w:instrText xml:space="preserve"> HYPERLINK \l "_Toc145626080" </w:instrText>
      </w:r>
      <w:r>
        <w:rPr>
          <w:highlight w:val="none"/>
        </w:rPr>
        <w:fldChar w:fldCharType="separate"/>
      </w:r>
      <w:r>
        <w:rPr>
          <w:rStyle w:val="25"/>
          <w:rFonts w:hAnsi="宋体" w:cs="宋体"/>
          <w:highlight w:val="none"/>
        </w:rPr>
        <w:t>8. 附件</w:t>
      </w:r>
      <w:r>
        <w:rPr>
          <w:highlight w:val="none"/>
        </w:rPr>
        <w:tab/>
      </w:r>
      <w:r>
        <w:rPr>
          <w:highlight w:val="none"/>
        </w:rPr>
        <w:fldChar w:fldCharType="begin"/>
      </w:r>
      <w:r>
        <w:rPr>
          <w:highlight w:val="none"/>
        </w:rPr>
        <w:instrText xml:space="preserve"> PAGEREF _Toc145626080 \h </w:instrText>
      </w:r>
      <w:r>
        <w:rPr>
          <w:highlight w:val="none"/>
        </w:rPr>
        <w:fldChar w:fldCharType="separate"/>
      </w:r>
      <w:r>
        <w:rPr>
          <w:highlight w:val="none"/>
        </w:rPr>
        <w:t>15</w:t>
      </w:r>
      <w:r>
        <w:rPr>
          <w:highlight w:val="none"/>
        </w:rPr>
        <w:fldChar w:fldCharType="end"/>
      </w:r>
      <w:r>
        <w:rPr>
          <w:highlight w:val="none"/>
        </w:rPr>
        <w:fldChar w:fldCharType="end"/>
      </w:r>
    </w:p>
    <w:p>
      <w:pPr>
        <w:pageBreakBefore w:val="0"/>
        <w:kinsoku/>
        <w:wordWrap/>
        <w:overflowPunct/>
        <w:topLinePunct w:val="0"/>
        <w:autoSpaceDE/>
        <w:autoSpaceDN/>
        <w:bidi w:val="0"/>
        <w:adjustRightInd/>
        <w:snapToGrid/>
        <w:spacing w:line="360" w:lineRule="auto"/>
        <w:ind w:left="0" w:leftChars="0"/>
        <w:rPr>
          <w:sz w:val="21"/>
          <w:szCs w:val="21"/>
          <w:highlight w:val="none"/>
        </w:rPr>
      </w:pPr>
      <w:r>
        <w:rPr>
          <w:szCs w:val="21"/>
          <w:highlight w:val="none"/>
        </w:rPr>
        <w:fldChar w:fldCharType="end"/>
      </w:r>
    </w:p>
    <w:p>
      <w:pPr>
        <w:pageBreakBefore w:val="0"/>
        <w:kinsoku/>
        <w:wordWrap/>
        <w:overflowPunct/>
        <w:topLinePunct w:val="0"/>
        <w:autoSpaceDE/>
        <w:autoSpaceDN/>
        <w:bidi w:val="0"/>
        <w:adjustRightInd/>
        <w:snapToGrid/>
        <w:spacing w:line="360" w:lineRule="auto"/>
        <w:ind w:left="0" w:leftChars="0"/>
        <w:rPr>
          <w:sz w:val="21"/>
          <w:szCs w:val="21"/>
          <w:highlight w:val="none"/>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bookmarkStart w:id="0" w:name="_Toc15888"/>
      <w:bookmarkStart w:id="1" w:name="_Toc145626073"/>
      <w:r>
        <w:rPr>
          <w:rFonts w:hint="eastAsia" w:hAnsi="宋体" w:cs="宋体"/>
          <w:szCs w:val="24"/>
          <w:highlight w:val="none"/>
        </w:rPr>
        <w:t>总则</w:t>
      </w:r>
      <w:bookmarkEnd w:id="0"/>
      <w:bookmarkEnd w:id="1"/>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一般要求</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投标方必须认真阅读本技术条款内容，以免造成投标失败。</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如果投标方认为本技术条款所描述技术要求等存在不合理性或不明白的，可在响应原要求后陈述相关建议。</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投标方也可提出满足本技术规范书要求，且技术先进、成熟、价格合理的其他建议，供招标方选择。</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投标方应提供满足本技术规范书要求的完整的服务、工作产品，满足国家及用户提出的有关质量标准要求。所有工作产品必须具有在中国境内的合法使用权。</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本技术规范书所使用的标准如与投标方所执行的标准不一致，按较高标准执行。</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如果因为无法提供的原因而提供其他产品、服务，投标方应明确说明并提出质量保证承诺。</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如涉及开发工作，投标方应保证为今后招标方开发的或招标方委托第三方开发的其他工作产品提供可靠的性能和兼容性。</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投标方应对本次投标所有文件保密，不得向其他单位公布或泄漏招标项目的有关信息。</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在不超出本技术规范书要求的情况下，投标方应对招标方提出的所有细化要求予以满足。</w:t>
      </w:r>
    </w:p>
    <w:p>
      <w:pPr>
        <w:pStyle w:val="28"/>
        <w:numPr>
          <w:ilvl w:val="2"/>
          <w:numId w:val="1"/>
        </w:num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投标方建议书的详细要求见招标书的商务部分。投标方必须按照招标书要求提供相应文件。</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b w:val="0"/>
          <w:bCs w:val="0"/>
          <w:highlight w:val="none"/>
        </w:rPr>
      </w:pPr>
      <w:r>
        <w:rPr>
          <w:rFonts w:hint="eastAsia" w:asciiTheme="majorEastAsia" w:hAnsiTheme="majorEastAsia" w:eastAsiaTheme="majorEastAsia" w:cstheme="majorEastAsia"/>
          <w:highlight w:val="none"/>
        </w:rPr>
        <w:t>所有文件、图纸、通信的均使用中文。所有计算、说明、图纸文件、手册等使用国际单位制</w:t>
      </w:r>
      <w:r>
        <w:rPr>
          <w:rFonts w:hint="eastAsia" w:hAnsi="宋体" w:cs="宋体"/>
          <w:b w:val="0"/>
          <w:bCs w:val="0"/>
          <w:highlight w:val="none"/>
        </w:rPr>
        <w:t>。</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投标方职责</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负责本规范书内所需服务、工作产品的方案设计，并根据招标方需求细化。</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负责服务、工作产品现场验收。</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签订合同后为招标方提供项目管理服务。</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负责提供项目内软件的光盘备份。</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列出需招标方提供的数据、资料详细清单。</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负责提供服务、工作产品的所有文件资料和技术资料。</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负责最终提供的全部技术资料的准确性。</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保证提供的所有服务、工作产品的质量及技术指标完全满足本规范书要求。</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负责配合招标方有关人员在投标方地点的联络会等事宜，投标方自理投标方项目组人员的往返交通、住宿等费用等。</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与招标方签订保密协议，遵守招标方的相关保密制度。</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ighlight w:val="none"/>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招标方职责</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负责提供与本项目有关的技术资料、参数及图纸。</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确认投标方提供的服务、工作产品的文件资料和技术。</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参加相关联络会。</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负责向投标方解释技术规范书中的要求。</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配合投标方完成项目工作，并组织验收。</w:t>
      </w:r>
    </w:p>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bookmarkStart w:id="2" w:name="_Toc145626074"/>
      <w:bookmarkStart w:id="3" w:name="_Toc351129172"/>
      <w:bookmarkStart w:id="4" w:name="_Toc30294"/>
      <w:r>
        <w:rPr>
          <w:rFonts w:hint="eastAsia" w:hAnsi="宋体" w:cs="宋体"/>
          <w:szCs w:val="24"/>
          <w:highlight w:val="none"/>
        </w:rPr>
        <w:t>应遵循的主要标准</w:t>
      </w:r>
      <w:bookmarkEnd w:id="2"/>
      <w:bookmarkEnd w:id="3"/>
      <w:bookmarkEnd w:id="4"/>
    </w:p>
    <w:p>
      <w:pPr>
        <w:spacing w:line="360" w:lineRule="auto"/>
        <w:ind w:firstLine="480" w:firstLineChars="20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方在项目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投标方有自己的标准或规范经招标方同意方可采用，但原则上均不能低于上述标准的有关规定，特别是这些规定或规程中互相矛盾的地方，应先征得招标方同意，再开展工作</w:t>
      </w:r>
      <w:r>
        <w:rPr>
          <w:rFonts w:hint="eastAsia" w:hAnsi="宋体" w:cs="宋体"/>
          <w:highlight w:val="none"/>
        </w:rPr>
        <w:t>。本项目的工作应遵循以下标准和文件要求：</w:t>
      </w:r>
    </w:p>
    <w:tbl>
      <w:tblPr>
        <w:tblStyle w:val="23"/>
        <w:tblW w:w="8336" w:type="dxa"/>
        <w:tblInd w:w="0" w:type="dxa"/>
        <w:tblLayout w:type="fixed"/>
        <w:tblCellMar>
          <w:top w:w="0" w:type="dxa"/>
          <w:left w:w="0" w:type="dxa"/>
          <w:bottom w:w="0" w:type="dxa"/>
          <w:right w:w="0" w:type="dxa"/>
        </w:tblCellMar>
      </w:tblPr>
      <w:tblGrid>
        <w:gridCol w:w="2603"/>
        <w:gridCol w:w="5733"/>
      </w:tblGrid>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center"/>
              <w:textAlignment w:val="center"/>
              <w:rPr>
                <w:rFonts w:hint="eastAsia" w:asciiTheme="majorEastAsia" w:hAnsiTheme="majorEastAsia" w:eastAsiaTheme="majorEastAsia" w:cstheme="majorEastAsia"/>
                <w:b/>
                <w:highlight w:val="none"/>
              </w:rPr>
            </w:pPr>
            <w:r>
              <w:rPr>
                <w:rFonts w:hint="eastAsia" w:asciiTheme="majorEastAsia" w:hAnsiTheme="majorEastAsia" w:eastAsiaTheme="majorEastAsia" w:cstheme="majorEastAsia"/>
                <w:b/>
                <w:kern w:val="0"/>
                <w:highlight w:val="none"/>
                <w:lang w:bidi="ar"/>
              </w:rPr>
              <w:t>标准号或文号</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center"/>
              <w:textAlignment w:val="center"/>
              <w:rPr>
                <w:rFonts w:hint="eastAsia" w:asciiTheme="majorEastAsia" w:hAnsiTheme="majorEastAsia" w:eastAsiaTheme="majorEastAsia" w:cstheme="majorEastAsia"/>
                <w:b/>
                <w:highlight w:val="none"/>
              </w:rPr>
            </w:pPr>
            <w:r>
              <w:rPr>
                <w:rFonts w:hint="eastAsia" w:asciiTheme="majorEastAsia" w:hAnsiTheme="majorEastAsia" w:eastAsiaTheme="majorEastAsia" w:cstheme="majorEastAsia"/>
                <w:b/>
                <w:kern w:val="0"/>
                <w:highlight w:val="none"/>
                <w:lang w:bidi="ar"/>
              </w:rPr>
              <w:t>标准名称</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tcPr>
          <w:p>
            <w:pPr>
              <w:widowControl/>
              <w:spacing w:line="360" w:lineRule="auto"/>
              <w:textAlignment w:val="top"/>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Q/CSG2153078-2020</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中国南方电网有限责任公司信息化项目管理细则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tcPr>
          <w:p>
            <w:pPr>
              <w:widowControl/>
              <w:spacing w:line="360" w:lineRule="auto"/>
              <w:textAlignment w:val="top"/>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Q/CSG2153080-2020</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中国南方电网有限责任公司信息化项目建设管理细则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color w:val="000000"/>
                <w:kern w:val="0"/>
                <w:sz w:val="22"/>
                <w:szCs w:val="22"/>
                <w:highlight w:val="none"/>
                <w:lang w:bidi="ar"/>
              </w:rPr>
            </w:pPr>
            <w:r>
              <w:rPr>
                <w:rFonts w:hint="eastAsia" w:asciiTheme="majorEastAsia" w:hAnsiTheme="majorEastAsia" w:eastAsiaTheme="majorEastAsia" w:cstheme="majorEastAsia"/>
                <w:color w:val="000000"/>
                <w:kern w:val="0"/>
                <w:sz w:val="22"/>
                <w:szCs w:val="22"/>
                <w:highlight w:val="none"/>
                <w:lang w:bidi="ar"/>
              </w:rPr>
              <w:t>Q/CSG2222002-2025</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color w:val="000000"/>
                <w:kern w:val="0"/>
                <w:sz w:val="22"/>
                <w:szCs w:val="22"/>
                <w:highlight w:val="none"/>
                <w:lang w:bidi="ar"/>
              </w:rPr>
            </w:pPr>
            <w:r>
              <w:rPr>
                <w:rFonts w:hint="eastAsia" w:asciiTheme="majorEastAsia" w:hAnsiTheme="majorEastAsia" w:eastAsiaTheme="majorEastAsia" w:cstheme="majorEastAsia"/>
                <w:color w:val="000000"/>
                <w:kern w:val="0"/>
                <w:sz w:val="22"/>
                <w:szCs w:val="22"/>
                <w:highlight w:val="none"/>
                <w:lang w:bidi="ar"/>
              </w:rPr>
              <w:t>中国南方电网有限责任公司网络安全管理办法</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Q/CSG218018-2014</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中国南方电网有限责任公司数据质量管理细则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Q/CSG218005-2018</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中国南方电网有限责任公司数据资产管理办法</w:t>
            </w:r>
          </w:p>
        </w:tc>
      </w:tr>
      <w:tr>
        <w:tblPrEx>
          <w:tblCellMar>
            <w:top w:w="0" w:type="dxa"/>
            <w:left w:w="0" w:type="dxa"/>
            <w:bottom w:w="0" w:type="dxa"/>
            <w:right w:w="0" w:type="dxa"/>
          </w:tblCellMar>
        </w:tblPrEx>
        <w:trPr>
          <w:trHeight w:val="356"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中国南方电网有限责任公司数据共享开放管理细则</w:t>
            </w:r>
          </w:p>
        </w:tc>
      </w:tr>
      <w:tr>
        <w:tblPrEx>
          <w:tblCellMar>
            <w:top w:w="0" w:type="dxa"/>
            <w:left w:w="0" w:type="dxa"/>
            <w:bottom w:w="0" w:type="dxa"/>
            <w:right w:w="0" w:type="dxa"/>
          </w:tblCellMar>
        </w:tblPrEx>
        <w:trPr>
          <w:trHeight w:val="90"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中国南方电网有限责任公司主数据管理细则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中国南方电网有限责任公司元数据管理指导意见（试行）</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中国南方电网有限责任公司元数据与数据资产目录管理细则</w:t>
            </w:r>
          </w:p>
        </w:tc>
      </w:tr>
      <w:tr>
        <w:tblPrEx>
          <w:tblCellMar>
            <w:top w:w="0" w:type="dxa"/>
            <w:left w:w="0" w:type="dxa"/>
            <w:bottom w:w="0" w:type="dxa"/>
            <w:right w:w="0" w:type="dxa"/>
          </w:tblCellMar>
        </w:tblPrEx>
        <w:trPr>
          <w:trHeight w:val="184"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中国南方电网有限责任公司数据认责管理细则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中国南方电网有限责任公司数据模型管理细则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中国南方电网有限责任公司数据采集与运维管理细则</w:t>
            </w:r>
          </w:p>
        </w:tc>
      </w:tr>
      <w:tr>
        <w:tblPrEx>
          <w:tblCellMar>
            <w:top w:w="0" w:type="dxa"/>
            <w:left w:w="0" w:type="dxa"/>
            <w:bottom w:w="0" w:type="dxa"/>
            <w:right w:w="0" w:type="dxa"/>
          </w:tblCellMar>
        </w:tblPrEx>
        <w:trPr>
          <w:trHeight w:val="350"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Q/CSG-GXPG2IT003-2019</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广西电网有限责任公司数据安全管理细则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Q/CSG-GXPG2IT004-2019</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广西电网有限责任公司数据共享开放实施细则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Q/CSG-GXPG2IT006-2019</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广西电网有限责任公司数据应用管理细则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Q/CSG-GXPG2IT005-2019</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jc w:val="left"/>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广西电网有限责任公司数据运行维护管理细则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Q/CSG-GXPG218007-2014</w:t>
            </w: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广西电网有限责任公司IT服务管理细则</w:t>
            </w:r>
          </w:p>
        </w:tc>
      </w:tr>
      <w:tr>
        <w:tblPrEx>
          <w:tblCellMar>
            <w:top w:w="0" w:type="dxa"/>
            <w:left w:w="0" w:type="dxa"/>
            <w:bottom w:w="0" w:type="dxa"/>
            <w:right w:w="0" w:type="dxa"/>
          </w:tblCellMar>
        </w:tblPrEx>
        <w:trPr>
          <w:trHeight w:val="312" w:hRule="atLeast"/>
        </w:trPr>
        <w:tc>
          <w:tcPr>
            <w:tcW w:w="26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spacing w:line="360" w:lineRule="auto"/>
              <w:rPr>
                <w:rFonts w:hint="eastAsia" w:asciiTheme="majorEastAsia" w:hAnsiTheme="majorEastAsia" w:eastAsiaTheme="majorEastAsia" w:cstheme="majorEastAsia"/>
                <w:highlight w:val="none"/>
              </w:rPr>
            </w:pPr>
          </w:p>
        </w:tc>
        <w:tc>
          <w:tcPr>
            <w:tcW w:w="573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spacing w:line="360" w:lineRule="auto"/>
              <w:textAlignment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2"/>
                <w:szCs w:val="22"/>
                <w:highlight w:val="none"/>
                <w:lang w:bidi="ar"/>
              </w:rPr>
              <w:t>信息中心信息作业安全管理工作指引</w:t>
            </w:r>
          </w:p>
        </w:tc>
      </w:tr>
    </w:tbl>
    <w:p>
      <w:pPr>
        <w:pStyle w:val="3"/>
        <w:pageBreakBefore w:val="0"/>
        <w:kinsoku/>
        <w:wordWrap/>
        <w:overflowPunct/>
        <w:topLinePunct w:val="0"/>
        <w:autoSpaceDE/>
        <w:autoSpaceDN/>
        <w:bidi w:val="0"/>
        <w:adjustRightInd/>
        <w:snapToGrid/>
        <w:spacing w:line="360" w:lineRule="auto"/>
        <w:ind w:left="0" w:leftChars="0"/>
        <w:rPr>
          <w:rFonts w:hAnsi="宋体" w:cs="宋体"/>
          <w:highlight w:val="none"/>
        </w:rPr>
      </w:pPr>
      <w:bookmarkStart w:id="5" w:name="_Toc855"/>
      <w:bookmarkStart w:id="6" w:name="_Toc145626075"/>
      <w:r>
        <w:rPr>
          <w:rFonts w:hint="eastAsia" w:hAnsi="宋体" w:cs="宋体"/>
          <w:szCs w:val="24"/>
          <w:highlight w:val="none"/>
        </w:rPr>
        <w:t>项目概述</w:t>
      </w:r>
      <w:bookmarkEnd w:id="5"/>
      <w:bookmarkEnd w:id="6"/>
    </w:p>
    <w:p>
      <w:pPr>
        <w:pageBreakBefore w:val="0"/>
        <w:kinsoku/>
        <w:wordWrap/>
        <w:overflowPunct/>
        <w:topLinePunct w:val="0"/>
        <w:autoSpaceDE/>
        <w:autoSpaceDN/>
        <w:bidi w:val="0"/>
        <w:adjustRightInd/>
        <w:snapToGrid/>
        <w:spacing w:line="360" w:lineRule="auto"/>
        <w:ind w:left="0" w:leftChars="0" w:firstLine="482"/>
        <w:rPr>
          <w:highlight w:val="none"/>
        </w:rPr>
      </w:pPr>
      <w:r>
        <w:rPr>
          <w:rFonts w:hint="eastAsia" w:asciiTheme="minorEastAsia" w:hAnsiTheme="minorEastAsia" w:eastAsiaTheme="minorEastAsia"/>
          <w:highlight w:val="none"/>
        </w:rPr>
        <w:t>开展广西新电力投资集团有限责任公司2025年电网管理平台(计财域)资金模块数据治理及进项数电票采集服务等配套工作，满足司库应用要求，包括资金管理、往来管理等数据清理及数据校验工作；开展进项数电发票XML格式采集通道租赁服务工作</w:t>
      </w:r>
      <w:r>
        <w:rPr>
          <w:rFonts w:hint="eastAsia" w:hAnsi="宋体" w:cs="宋体"/>
          <w:highlight w:val="none"/>
        </w:rPr>
        <w:t>。</w:t>
      </w:r>
    </w:p>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bookmarkStart w:id="7" w:name="_Toc16781"/>
      <w:bookmarkStart w:id="8" w:name="_Toc145626076"/>
      <w:r>
        <w:rPr>
          <w:rFonts w:hint="eastAsia" w:hAnsi="宋体" w:cs="宋体"/>
          <w:szCs w:val="24"/>
          <w:highlight w:val="none"/>
        </w:rPr>
        <w:t>范围和内容</w:t>
      </w:r>
      <w:bookmarkEnd w:id="7"/>
      <w:bookmarkEnd w:id="8"/>
    </w:p>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本次采购的范围及内容如下，投标方应按此内容进行分项报价：</w:t>
      </w:r>
    </w:p>
    <w:tbl>
      <w:tblPr>
        <w:tblStyle w:val="23"/>
        <w:tblW w:w="7880" w:type="dxa"/>
        <w:tblInd w:w="0" w:type="dxa"/>
        <w:tblLayout w:type="autofit"/>
        <w:tblCellMar>
          <w:top w:w="0" w:type="dxa"/>
          <w:left w:w="108" w:type="dxa"/>
          <w:bottom w:w="0" w:type="dxa"/>
          <w:right w:w="108" w:type="dxa"/>
        </w:tblCellMar>
      </w:tblPr>
      <w:tblGrid>
        <w:gridCol w:w="880"/>
        <w:gridCol w:w="4960"/>
        <w:gridCol w:w="1020"/>
        <w:gridCol w:w="1020"/>
      </w:tblGrid>
      <w:tr>
        <w:tblPrEx>
          <w:tblCellMar>
            <w:top w:w="0" w:type="dxa"/>
            <w:left w:w="108" w:type="dxa"/>
            <w:bottom w:w="0" w:type="dxa"/>
            <w:right w:w="108" w:type="dxa"/>
          </w:tblCellMar>
        </w:tblPrEx>
        <w:trPr>
          <w:trHeight w:val="278" w:hRule="atLeast"/>
        </w:trPr>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rPr>
              <w:t>序号</w:t>
            </w:r>
          </w:p>
        </w:tc>
        <w:tc>
          <w:tcPr>
            <w:tcW w:w="496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rPr>
              <w:t>内容</w:t>
            </w:r>
          </w:p>
        </w:tc>
        <w:tc>
          <w:tcPr>
            <w:tcW w:w="102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rPr>
              <w:t>数量</w:t>
            </w:r>
          </w:p>
        </w:tc>
        <w:tc>
          <w:tcPr>
            <w:tcW w:w="102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rPr>
              <w:t>单位</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4960" w:type="dxa"/>
            <w:tcBorders>
              <w:top w:val="nil"/>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rPr>
              <w:t>项目启动</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2</w:t>
            </w:r>
          </w:p>
        </w:tc>
        <w:tc>
          <w:tcPr>
            <w:tcW w:w="4960" w:type="dxa"/>
            <w:tcBorders>
              <w:top w:val="nil"/>
              <w:left w:val="nil"/>
              <w:bottom w:val="single" w:color="auto" w:sz="4" w:space="0"/>
              <w:right w:val="nil"/>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司库管理数据治理</w:t>
            </w:r>
          </w:p>
        </w:tc>
        <w:tc>
          <w:tcPr>
            <w:tcW w:w="1020" w:type="dxa"/>
            <w:tcBorders>
              <w:top w:val="nil"/>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2.1</w:t>
            </w:r>
          </w:p>
        </w:tc>
        <w:tc>
          <w:tcPr>
            <w:tcW w:w="4960" w:type="dxa"/>
            <w:tcBorders>
              <w:top w:val="nil"/>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应收应付数据治理</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2</w:t>
            </w:r>
          </w:p>
        </w:tc>
        <w:tc>
          <w:tcPr>
            <w:tcW w:w="4960" w:type="dxa"/>
            <w:tcBorders>
              <w:top w:val="nil"/>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应收应付司库报送数据专项治理</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3</w:t>
            </w:r>
          </w:p>
        </w:tc>
        <w:tc>
          <w:tcPr>
            <w:tcW w:w="4960" w:type="dxa"/>
            <w:tcBorders>
              <w:top w:val="nil"/>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银行账户数据治理</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4</w:t>
            </w:r>
          </w:p>
        </w:tc>
        <w:tc>
          <w:tcPr>
            <w:tcW w:w="4960" w:type="dxa"/>
            <w:tcBorders>
              <w:top w:val="nil"/>
              <w:left w:val="nil"/>
              <w:bottom w:val="single" w:color="auto" w:sz="4" w:space="0"/>
              <w:right w:val="nil"/>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资金结算数据清理</w:t>
            </w:r>
          </w:p>
        </w:tc>
        <w:tc>
          <w:tcPr>
            <w:tcW w:w="1020" w:type="dxa"/>
            <w:tcBorders>
              <w:top w:val="nil"/>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5</w:t>
            </w:r>
          </w:p>
        </w:tc>
        <w:tc>
          <w:tcPr>
            <w:tcW w:w="4960" w:type="dxa"/>
            <w:tcBorders>
              <w:top w:val="nil"/>
              <w:left w:val="nil"/>
              <w:bottom w:val="single" w:color="auto" w:sz="4" w:space="0"/>
              <w:right w:val="nil"/>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债务融资数据清理</w:t>
            </w:r>
          </w:p>
        </w:tc>
        <w:tc>
          <w:tcPr>
            <w:tcW w:w="1020" w:type="dxa"/>
            <w:tcBorders>
              <w:top w:val="nil"/>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6</w:t>
            </w:r>
          </w:p>
        </w:tc>
        <w:tc>
          <w:tcPr>
            <w:tcW w:w="4960" w:type="dxa"/>
            <w:tcBorders>
              <w:top w:val="nil"/>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票据数据清理</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nil"/>
              <w:left w:val="nil"/>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eastAsia="zh-CN"/>
              </w:rPr>
            </w:pPr>
            <w:r>
              <w:rPr>
                <w:rFonts w:hint="eastAsia" w:hAnsi="宋体" w:cs="宋体"/>
                <w:kern w:val="0"/>
                <w:sz w:val="18"/>
                <w:szCs w:val="18"/>
                <w:highlight w:val="none"/>
              </w:rPr>
              <w:t>2.</w:t>
            </w:r>
            <w:r>
              <w:rPr>
                <w:rFonts w:hint="eastAsia" w:hAnsi="宋体" w:cs="宋体"/>
                <w:kern w:val="0"/>
                <w:sz w:val="18"/>
                <w:szCs w:val="18"/>
                <w:highlight w:val="none"/>
                <w:lang w:val="en-US" w:eastAsia="zh-CN"/>
              </w:rPr>
              <w:t>7</w:t>
            </w:r>
          </w:p>
        </w:tc>
        <w:tc>
          <w:tcPr>
            <w:tcW w:w="496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Ansi="宋体" w:cs="宋体"/>
                <w:kern w:val="0"/>
                <w:sz w:val="18"/>
                <w:szCs w:val="18"/>
                <w:highlight w:val="none"/>
              </w:rPr>
            </w:pPr>
            <w:r>
              <w:rPr>
                <w:rFonts w:hint="eastAsia" w:hAnsi="宋体" w:cs="宋体"/>
                <w:kern w:val="0"/>
                <w:sz w:val="18"/>
                <w:szCs w:val="18"/>
                <w:highlight w:val="none"/>
                <w:lang w:val="en-US" w:eastAsia="zh-CN"/>
              </w:rPr>
              <w:t>开展</w:t>
            </w:r>
            <w:r>
              <w:rPr>
                <w:rFonts w:hint="eastAsia" w:hAnsi="宋体" w:cs="宋体"/>
                <w:kern w:val="0"/>
                <w:sz w:val="18"/>
                <w:szCs w:val="18"/>
                <w:highlight w:val="none"/>
              </w:rPr>
              <w:t>资金计划清理</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Ansi="宋体" w:cs="宋体"/>
                <w:kern w:val="0"/>
                <w:sz w:val="18"/>
                <w:szCs w:val="18"/>
                <w:highlight w:val="none"/>
              </w:rPr>
            </w:pPr>
            <w:r>
              <w:rPr>
                <w:rFonts w:hint="eastAsia" w:hAnsi="宋体" w:cs="宋体"/>
                <w:kern w:val="0"/>
                <w:sz w:val="18"/>
                <w:szCs w:val="18"/>
                <w:highlight w:val="none"/>
              </w:rPr>
              <w:t>项</w:t>
            </w:r>
          </w:p>
        </w:tc>
      </w:tr>
      <w:tr>
        <w:tblPrEx>
          <w:tblCellMar>
            <w:top w:w="0" w:type="dxa"/>
            <w:left w:w="108" w:type="dxa"/>
            <w:bottom w:w="0" w:type="dxa"/>
            <w:right w:w="108" w:type="dxa"/>
          </w:tblCellMar>
        </w:tblPrEx>
        <w:trPr>
          <w:trHeight w:val="278" w:hRule="atLeast"/>
        </w:trPr>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val="en-US" w:eastAsia="zh-CN"/>
              </w:rPr>
            </w:pPr>
            <w:bookmarkStart w:id="9" w:name="_Toc145626077"/>
            <w:bookmarkStart w:id="10" w:name="_Toc811"/>
            <w:r>
              <w:rPr>
                <w:rFonts w:hint="eastAsia" w:hAnsi="宋体" w:cs="宋体"/>
                <w:kern w:val="0"/>
                <w:sz w:val="18"/>
                <w:szCs w:val="18"/>
                <w:highlight w:val="none"/>
                <w:lang w:val="en-US" w:eastAsia="zh-CN"/>
              </w:rPr>
              <w:t>3</w:t>
            </w:r>
          </w:p>
        </w:tc>
        <w:tc>
          <w:tcPr>
            <w:tcW w:w="496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snapToGrid/>
              <w:spacing w:line="360" w:lineRule="auto"/>
              <w:ind w:left="0" w:leftChars="0"/>
              <w:jc w:val="left"/>
              <w:rPr>
                <w:rFonts w:hint="eastAsia" w:hAnsi="宋体" w:cs="宋体"/>
                <w:kern w:val="0"/>
                <w:sz w:val="18"/>
                <w:szCs w:val="18"/>
                <w:highlight w:val="none"/>
                <w:lang w:val="en-US" w:eastAsia="zh-CN"/>
              </w:rPr>
            </w:pPr>
            <w:r>
              <w:rPr>
                <w:rFonts w:hint="eastAsia" w:hAnsi="宋体" w:cs="宋体"/>
                <w:kern w:val="0"/>
                <w:sz w:val="18"/>
                <w:szCs w:val="18"/>
                <w:highlight w:val="none"/>
                <w:lang w:val="en-US" w:eastAsia="zh-CN"/>
              </w:rPr>
              <w:t>进项数电发票XML格式采集通道租赁服务</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val="en-US" w:eastAsia="zh-CN"/>
              </w:rPr>
            </w:pPr>
            <w:r>
              <w:rPr>
                <w:rFonts w:hint="eastAsia" w:hAnsi="宋体" w:cs="宋体"/>
                <w:kern w:val="0"/>
                <w:sz w:val="18"/>
                <w:szCs w:val="18"/>
                <w:highlight w:val="none"/>
                <w:lang w:val="en-US" w:eastAsia="zh-CN"/>
              </w:rPr>
              <w:t>1</w:t>
            </w:r>
          </w:p>
        </w:tc>
        <w:tc>
          <w:tcPr>
            <w:tcW w:w="1020" w:type="dxa"/>
            <w:tcBorders>
              <w:top w:val="single" w:color="auto" w:sz="4" w:space="0"/>
              <w:left w:val="single" w:color="auto" w:sz="4" w:space="0"/>
              <w:bottom w:val="single" w:color="auto" w:sz="4" w:space="0"/>
              <w:right w:val="single" w:color="auto" w:sz="4" w:space="0"/>
            </w:tcBorders>
            <w:shd w:val="clear" w:color="auto" w:fill="auto"/>
            <w:noWrap/>
            <w:vAlign w:val="center"/>
          </w:tcPr>
          <w:p>
            <w:pPr>
              <w:pageBreakBefore w:val="0"/>
              <w:widowControl/>
              <w:kinsoku/>
              <w:wordWrap/>
              <w:overflowPunct/>
              <w:topLinePunct w:val="0"/>
              <w:autoSpaceDE/>
              <w:autoSpaceDN/>
              <w:bidi w:val="0"/>
              <w:adjustRightInd/>
              <w:snapToGrid/>
              <w:spacing w:line="360" w:lineRule="auto"/>
              <w:ind w:left="0" w:leftChars="0"/>
              <w:jc w:val="center"/>
              <w:rPr>
                <w:rFonts w:hint="eastAsia" w:hAnsi="宋体" w:eastAsia="宋体" w:cs="宋体"/>
                <w:kern w:val="0"/>
                <w:sz w:val="18"/>
                <w:szCs w:val="18"/>
                <w:highlight w:val="none"/>
                <w:lang w:val="en-US" w:eastAsia="zh-CN"/>
              </w:rPr>
            </w:pPr>
            <w:r>
              <w:rPr>
                <w:rFonts w:hint="eastAsia" w:hAnsi="宋体" w:cs="宋体"/>
                <w:kern w:val="0"/>
                <w:sz w:val="18"/>
                <w:szCs w:val="18"/>
                <w:highlight w:val="none"/>
                <w:lang w:val="en-US" w:eastAsia="zh-CN"/>
              </w:rPr>
              <w:t>项</w:t>
            </w:r>
          </w:p>
        </w:tc>
      </w:tr>
    </w:tbl>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总体要求</w:t>
      </w:r>
      <w:bookmarkEnd w:id="9"/>
      <w:bookmarkEnd w:id="10"/>
    </w:p>
    <w:p>
      <w:pPr>
        <w:pStyle w:val="4"/>
        <w:pageBreakBefore w:val="0"/>
        <w:kinsoku/>
        <w:wordWrap/>
        <w:overflowPunct/>
        <w:topLinePunct w:val="0"/>
        <w:autoSpaceDE/>
        <w:autoSpaceDN/>
        <w:bidi w:val="0"/>
        <w:adjustRightInd/>
        <w:snapToGrid/>
        <w:spacing w:line="360" w:lineRule="auto"/>
        <w:ind w:left="0" w:leftChars="0"/>
        <w:rPr>
          <w:highlight w:val="none"/>
        </w:rPr>
      </w:pPr>
      <w:bookmarkStart w:id="11" w:name="_Toc1471"/>
      <w:r>
        <w:rPr>
          <w:rFonts w:hint="eastAsia"/>
          <w:b w:val="0"/>
          <w:bCs w:val="0"/>
          <w:highlight w:val="none"/>
        </w:rPr>
        <w:t>投标方必须响应并承诺下列要求。</w:t>
      </w:r>
    </w:p>
    <w:p>
      <w:pPr>
        <w:pStyle w:val="4"/>
        <w:pageBreakBefore w:val="0"/>
        <w:kinsoku/>
        <w:wordWrap/>
        <w:overflowPunct/>
        <w:topLinePunct w:val="0"/>
        <w:autoSpaceDE/>
        <w:autoSpaceDN/>
        <w:bidi w:val="0"/>
        <w:adjustRightInd/>
        <w:snapToGrid/>
        <w:spacing w:line="360" w:lineRule="auto"/>
        <w:ind w:left="0" w:leftChars="0"/>
        <w:rPr>
          <w:highlight w:val="none"/>
        </w:rPr>
      </w:pPr>
      <w:r>
        <w:rPr>
          <w:rFonts w:hint="eastAsia"/>
          <w:b w:val="0"/>
          <w:bCs w:val="0"/>
          <w:highlight w:val="none"/>
        </w:rPr>
        <w:t>本规范书指标要求中，凡标有下划线或加“★”的地方均被视为重要的技术指标要求或性能要求。投标方要特别加以注意，必须完全满足这些要求。</w:t>
      </w:r>
    </w:p>
    <w:p>
      <w:pPr>
        <w:pStyle w:val="4"/>
        <w:pageBreakBefore w:val="0"/>
        <w:kinsoku/>
        <w:wordWrap/>
        <w:overflowPunct/>
        <w:topLinePunct w:val="0"/>
        <w:autoSpaceDE/>
        <w:autoSpaceDN/>
        <w:bidi w:val="0"/>
        <w:adjustRightInd/>
        <w:snapToGrid/>
        <w:spacing w:line="360" w:lineRule="auto"/>
        <w:ind w:left="0" w:leftChars="0"/>
        <w:rPr>
          <w:highlight w:val="none"/>
        </w:rPr>
      </w:pPr>
      <w:r>
        <w:rPr>
          <w:rFonts w:hint="eastAsia"/>
          <w:b w:val="0"/>
          <w:bCs w:val="0"/>
          <w:highlight w:val="none"/>
        </w:rPr>
        <w:t>投标方应列出各个单项工作的报价，还应对各个单项工作的不同阶段工作进行划分，并在列出各阶段工作的详细报价。</w:t>
      </w:r>
    </w:p>
    <w:p>
      <w:pPr>
        <w:pStyle w:val="4"/>
        <w:pageBreakBefore w:val="0"/>
        <w:kinsoku/>
        <w:wordWrap/>
        <w:overflowPunct/>
        <w:topLinePunct w:val="0"/>
        <w:autoSpaceDE/>
        <w:autoSpaceDN/>
        <w:bidi w:val="0"/>
        <w:adjustRightInd/>
        <w:snapToGrid/>
        <w:spacing w:line="360" w:lineRule="auto"/>
        <w:ind w:left="0" w:leftChars="0"/>
        <w:rPr>
          <w:highlight w:val="none"/>
        </w:rPr>
      </w:pPr>
      <w:r>
        <w:rPr>
          <w:rFonts w:hint="eastAsia"/>
          <w:b w:val="0"/>
          <w:bCs w:val="0"/>
          <w:highlight w:val="none"/>
        </w:rPr>
        <w:t>投标方必须提供完整的建议书或实施方案，至少包含以下内容：</w:t>
      </w:r>
    </w:p>
    <w:p>
      <w:pPr>
        <w:pStyle w:val="5"/>
        <w:pageBreakBefore w:val="0"/>
        <w:numPr>
          <w:ilvl w:val="2"/>
          <w:numId w:val="1"/>
        </w:numPr>
        <w:kinsoku/>
        <w:wordWrap/>
        <w:overflowPunct/>
        <w:topLinePunct w:val="0"/>
        <w:autoSpaceDE/>
        <w:autoSpaceDN/>
        <w:bidi w:val="0"/>
        <w:adjustRightInd/>
        <w:snapToGrid/>
        <w:spacing w:line="360" w:lineRule="auto"/>
        <w:ind w:left="0" w:leftChars="0"/>
        <w:rPr>
          <w:b w:val="0"/>
          <w:bCs/>
          <w:highlight w:val="none"/>
        </w:rPr>
      </w:pPr>
      <w:r>
        <w:rPr>
          <w:rFonts w:hint="eastAsia"/>
          <w:b w:val="0"/>
          <w:bCs/>
          <w:highlight w:val="none"/>
        </w:rPr>
        <w:t>必须阐述本项目总体的建设思路，并提出本项目的建设目标。</w:t>
      </w:r>
    </w:p>
    <w:p>
      <w:pPr>
        <w:pStyle w:val="5"/>
        <w:pageBreakBefore w:val="0"/>
        <w:numPr>
          <w:ilvl w:val="2"/>
          <w:numId w:val="1"/>
        </w:numPr>
        <w:kinsoku/>
        <w:wordWrap/>
        <w:overflowPunct/>
        <w:topLinePunct w:val="0"/>
        <w:autoSpaceDE/>
        <w:autoSpaceDN/>
        <w:bidi w:val="0"/>
        <w:adjustRightInd/>
        <w:snapToGrid/>
        <w:spacing w:line="360" w:lineRule="auto"/>
        <w:ind w:left="0" w:leftChars="0"/>
        <w:rPr>
          <w:b w:val="0"/>
          <w:bCs/>
          <w:highlight w:val="none"/>
        </w:rPr>
      </w:pPr>
      <w:r>
        <w:rPr>
          <w:rFonts w:hint="eastAsia"/>
          <w:b w:val="0"/>
          <w:bCs/>
          <w:highlight w:val="none"/>
        </w:rPr>
        <w:t>提供本项目的需求建议，对企业整体的需求做出实质性的评估。</w:t>
      </w:r>
    </w:p>
    <w:p>
      <w:pPr>
        <w:pStyle w:val="5"/>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b w:val="0"/>
          <w:bCs/>
          <w:highlight w:val="none"/>
        </w:rPr>
        <w:t>确定本项目的技术手段，提供每项技术的选型依据。</w:t>
      </w:r>
    </w:p>
    <w:p>
      <w:pPr>
        <w:pStyle w:val="3"/>
        <w:pageBreakBefore w:val="0"/>
        <w:tabs>
          <w:tab w:val="left" w:pos="3193"/>
        </w:tabs>
        <w:kinsoku/>
        <w:wordWrap/>
        <w:overflowPunct/>
        <w:topLinePunct w:val="0"/>
        <w:autoSpaceDE/>
        <w:autoSpaceDN/>
        <w:bidi w:val="0"/>
        <w:adjustRightInd/>
        <w:snapToGrid/>
        <w:spacing w:line="360" w:lineRule="auto"/>
        <w:ind w:left="0" w:leftChars="0"/>
        <w:rPr>
          <w:highlight w:val="none"/>
        </w:rPr>
      </w:pPr>
      <w:bookmarkStart w:id="12" w:name="_Toc145626078"/>
      <w:r>
        <w:rPr>
          <w:rFonts w:hint="eastAsia" w:hAnsi="宋体" w:cs="宋体"/>
          <w:szCs w:val="24"/>
          <w:highlight w:val="none"/>
        </w:rPr>
        <w:t>主要技术要求</w:t>
      </w:r>
      <w:bookmarkEnd w:id="11"/>
      <w:bookmarkEnd w:id="12"/>
      <w:bookmarkStart w:id="13" w:name="_Toc299720409"/>
      <w:bookmarkStart w:id="14" w:name="_Toc300816580"/>
    </w:p>
    <w:p>
      <w:pPr>
        <w:pStyle w:val="4"/>
        <w:pageBreakBefore w:val="0"/>
        <w:kinsoku/>
        <w:wordWrap/>
        <w:overflowPunct/>
        <w:topLinePunct w:val="0"/>
        <w:autoSpaceDE/>
        <w:autoSpaceDN/>
        <w:bidi w:val="0"/>
        <w:adjustRightInd/>
        <w:snapToGrid/>
        <w:spacing w:line="360" w:lineRule="auto"/>
        <w:ind w:left="0" w:leftChars="0"/>
        <w:rPr>
          <w:rFonts w:asciiTheme="majorEastAsia" w:hAnsiTheme="majorEastAsia" w:eastAsiaTheme="majorEastAsia" w:cstheme="majorEastAsia"/>
          <w:highlight w:val="none"/>
        </w:rPr>
      </w:pPr>
      <w:bookmarkStart w:id="15" w:name="_Toc17698"/>
      <w:r>
        <w:rPr>
          <w:rFonts w:hint="eastAsia" w:asciiTheme="majorEastAsia" w:hAnsiTheme="majorEastAsia" w:eastAsiaTheme="majorEastAsia" w:cstheme="majorEastAsia"/>
          <w:highlight w:val="none"/>
        </w:rPr>
        <w:t>项目启动</w:t>
      </w:r>
      <w:bookmarkEnd w:id="15"/>
      <w:r>
        <w:rPr>
          <w:rFonts w:hint="eastAsia" w:asciiTheme="majorEastAsia" w:hAnsiTheme="majorEastAsia" w:eastAsiaTheme="majorEastAsia" w:cstheme="majorEastAsia"/>
          <w:highlight w:val="none"/>
        </w:rPr>
        <w:tab/>
      </w:r>
    </w:p>
    <w:p>
      <w:pPr>
        <w:spacing w:line="360" w:lineRule="auto"/>
        <w:ind w:firstLine="480"/>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编制专项工作的方案包括</w:t>
      </w:r>
      <w:r>
        <w:rPr>
          <w:rFonts w:hint="eastAsia" w:asciiTheme="minorEastAsia" w:hAnsiTheme="minorEastAsia" w:eastAsiaTheme="minorEastAsia"/>
          <w:highlight w:val="none"/>
          <w:lang w:eastAsia="zh-CN"/>
        </w:rPr>
        <w:t>：</w:t>
      </w:r>
    </w:p>
    <w:p>
      <w:pPr>
        <w:spacing w:line="360" w:lineRule="auto"/>
        <w:ind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1、编制实施方案，分解WBS，明确工作包责任人，明确工作包责任人、实施计划、资源条件（软硬件资源、人力资源）等内容；</w:t>
      </w:r>
    </w:p>
    <w:p>
      <w:pPr>
        <w:spacing w:line="360" w:lineRule="auto"/>
        <w:ind w:firstLine="480"/>
        <w:rPr>
          <w:rFonts w:asciiTheme="minorEastAsia" w:hAnsiTheme="minorEastAsia" w:eastAsiaTheme="minorEastAsia"/>
          <w:highlight w:val="none"/>
        </w:rPr>
      </w:pPr>
      <w:r>
        <w:rPr>
          <w:rFonts w:hint="eastAsia" w:asciiTheme="minorEastAsia" w:hAnsiTheme="minorEastAsia" w:eastAsiaTheme="minorEastAsia"/>
          <w:highlight w:val="none"/>
        </w:rPr>
        <w:t>2、完善实施方案</w:t>
      </w:r>
      <w:r>
        <w:rPr>
          <w:rFonts w:hint="eastAsia" w:asciiTheme="minorEastAsia" w:hAnsiTheme="minorEastAsia" w:eastAsiaTheme="minorEastAsia"/>
          <w:highlight w:val="none"/>
        </w:rPr>
        <w:t>。</w:t>
      </w:r>
    </w:p>
    <w:p>
      <w:pPr>
        <w:pStyle w:val="4"/>
        <w:pageBreakBefore w:val="0"/>
        <w:kinsoku/>
        <w:wordWrap/>
        <w:overflowPunct/>
        <w:topLinePunct w:val="0"/>
        <w:autoSpaceDE/>
        <w:autoSpaceDN/>
        <w:bidi w:val="0"/>
        <w:adjustRightInd/>
        <w:snapToGrid/>
        <w:spacing w:line="360" w:lineRule="auto"/>
        <w:ind w:left="0" w:leftChars="0"/>
        <w:rPr>
          <w:rFonts w:asciiTheme="majorEastAsia" w:hAnsiTheme="majorEastAsia" w:eastAsiaTheme="majorEastAsia" w:cstheme="majorEastAsia"/>
          <w:highlight w:val="none"/>
        </w:rPr>
      </w:pPr>
      <w:bookmarkStart w:id="16" w:name="_Toc27238"/>
      <w:r>
        <w:rPr>
          <w:rFonts w:hint="eastAsia"/>
          <w:highlight w:val="none"/>
        </w:rPr>
        <w:t>司库管理数据清理</w:t>
      </w:r>
      <w:bookmarkEnd w:id="16"/>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6.2.1开展应收应付数据治理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6.2.1.1开展合同、项目、往来单位主数据清理</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1.1</w:t>
      </w:r>
      <w:r>
        <w:rPr>
          <w:rFonts w:hint="eastAsia"/>
          <w:sz w:val="24"/>
          <w:szCs w:val="24"/>
          <w:highlight w:val="none"/>
        </w:rPr>
        <w:t>开展项目主数据治理</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根据南网司库数据治理要求开展计财域当前在用项目主数据的期初数据治理工作，完成重复项目、项目关键信息缺失治理。涉及43家单位</w:t>
      </w:r>
      <w:r>
        <w:rPr>
          <w:rFonts w:hint="eastAsia" w:asciiTheme="minorEastAsia" w:hAnsiTheme="minorEastAsia" w:eastAsiaTheme="minorEastAsia"/>
          <w:highlight w:val="none"/>
        </w:rPr>
        <w:t>。</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sz w:val="24"/>
          <w:szCs w:val="24"/>
          <w:highlight w:val="none"/>
        </w:rPr>
      </w:pPr>
      <w:r>
        <w:rPr>
          <w:rFonts w:hint="eastAsia"/>
          <w:sz w:val="24"/>
          <w:szCs w:val="24"/>
          <w:highlight w:val="none"/>
        </w:rPr>
        <w:t>6.2.1.</w:t>
      </w:r>
      <w:r>
        <w:rPr>
          <w:rFonts w:hint="eastAsia"/>
          <w:sz w:val="24"/>
          <w:szCs w:val="24"/>
          <w:highlight w:val="none"/>
          <w:lang w:val="en-US" w:eastAsia="zh-CN"/>
        </w:rPr>
        <w:t>1.2</w:t>
      </w:r>
      <w:r>
        <w:rPr>
          <w:rFonts w:hint="eastAsia"/>
          <w:sz w:val="24"/>
          <w:szCs w:val="24"/>
          <w:highlight w:val="none"/>
        </w:rPr>
        <w:t>开展合同主数据治理</w:t>
      </w:r>
      <w:r>
        <w:rPr>
          <w:rFonts w:hint="eastAsia"/>
          <w:sz w:val="24"/>
          <w:szCs w:val="24"/>
          <w:highlight w:val="none"/>
        </w:rPr>
        <w:tab/>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根据南网司库数据治理要求开展计财域当前在执行合同主数据的期初数据治理工作，完成重复合同、合同关键信息缺失治理。涉及43家单位</w:t>
      </w:r>
      <w:r>
        <w:rPr>
          <w:rFonts w:hint="eastAsia" w:asciiTheme="minorEastAsia" w:hAnsiTheme="minorEastAsia" w:eastAsiaTheme="minorEastAsia"/>
          <w:highlight w:val="none"/>
        </w:rPr>
        <w:t>。</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sz w:val="24"/>
          <w:szCs w:val="24"/>
          <w:highlight w:val="none"/>
        </w:rPr>
      </w:pPr>
      <w:r>
        <w:rPr>
          <w:rFonts w:hint="eastAsia"/>
          <w:sz w:val="24"/>
          <w:szCs w:val="24"/>
          <w:highlight w:val="none"/>
        </w:rPr>
        <w:t>6.2.1.</w:t>
      </w:r>
      <w:r>
        <w:rPr>
          <w:rFonts w:hint="eastAsia"/>
          <w:sz w:val="24"/>
          <w:szCs w:val="24"/>
          <w:highlight w:val="none"/>
          <w:lang w:val="en-US" w:eastAsia="zh-CN"/>
        </w:rPr>
        <w:t>1.3</w:t>
      </w:r>
      <w:r>
        <w:rPr>
          <w:rFonts w:hint="eastAsia"/>
          <w:sz w:val="24"/>
          <w:szCs w:val="24"/>
          <w:highlight w:val="none"/>
        </w:rPr>
        <w:t>开展非供应商往来单位（含虚拟单位）主数据治理</w:t>
      </w:r>
      <w:r>
        <w:rPr>
          <w:rFonts w:hint="eastAsia"/>
          <w:sz w:val="24"/>
          <w:szCs w:val="24"/>
          <w:highlight w:val="none"/>
        </w:rPr>
        <w:tab/>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根据南网司库数据治理要求开展计财域当前在用非供应商往来单位主数据的期初数据治理工作，完成重复往来单位（含虚拟单位）治理。涉及43家单位。。</w:t>
      </w:r>
    </w:p>
    <w:p>
      <w:pPr>
        <w:pStyle w:val="6"/>
        <w:pageBreakBefore w:val="0"/>
        <w:kinsoku/>
        <w:wordWrap/>
        <w:overflowPunct/>
        <w:topLinePunct w:val="0"/>
        <w:autoSpaceDE/>
        <w:autoSpaceDN/>
        <w:bidi w:val="0"/>
        <w:adjustRightInd/>
        <w:snapToGrid/>
        <w:spacing w:before="0" w:after="0" w:line="360" w:lineRule="auto"/>
        <w:ind w:left="0" w:leftChars="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6.2.1.</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开展往来台账数据清理</w:t>
      </w:r>
      <w:r>
        <w:rPr>
          <w:rFonts w:hint="eastAsia" w:asciiTheme="minorEastAsia" w:hAnsiTheme="minorEastAsia" w:eastAsiaTheme="minorEastAsia"/>
          <w:sz w:val="24"/>
          <w:szCs w:val="24"/>
          <w:highlight w:val="none"/>
        </w:rPr>
        <w:tab/>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2.1</w:t>
      </w:r>
      <w:r>
        <w:rPr>
          <w:rFonts w:hint="eastAsia"/>
          <w:sz w:val="24"/>
          <w:szCs w:val="24"/>
          <w:highlight w:val="none"/>
        </w:rPr>
        <w:t>开展以往来台账为维度的数据清理</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往来台账信息以所有往来科目的凭证分录为最小颗粒度，合同信息、供应商信息、账龄信息、业财对账信息等信息治理。43家单位，每单位每月3次（包含月初、月中、月末），支持6个月。</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2.2</w:t>
      </w:r>
      <w:r>
        <w:rPr>
          <w:rFonts w:hint="eastAsia"/>
          <w:sz w:val="24"/>
          <w:szCs w:val="24"/>
          <w:highlight w:val="none"/>
        </w:rPr>
        <w:t>开展预计收付款时间字段数据治理</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对往来台账【预计收付款时间】字段为空、异常等数据进行统计、整理，协助整改完成。43家单位，每单位每月3次（包含月初、月中、月末），支持6个月。</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2.3</w:t>
      </w:r>
      <w:r>
        <w:rPr>
          <w:rFonts w:hint="eastAsia"/>
          <w:sz w:val="24"/>
          <w:szCs w:val="24"/>
          <w:highlight w:val="none"/>
        </w:rPr>
        <w:t>开展往来台账未清数据统计</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对往来台账未清数据按月度统计，收集未清数据原因分析，协助完成未清数据治理。43家单位，每单位每月3次（包含月初、月中、月末），支持6个月。</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2.4</w:t>
      </w:r>
      <w:r>
        <w:rPr>
          <w:rFonts w:hint="eastAsia"/>
          <w:sz w:val="24"/>
          <w:szCs w:val="24"/>
          <w:highlight w:val="none"/>
        </w:rPr>
        <w:t>开展往来台账已清数据统计</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对往来台账提前已清数据进行统计分析，协助治理整改。43家单位，每单位每月3次（包含月初、月中、月末），支持6个月。</w:t>
      </w:r>
    </w:p>
    <w:p>
      <w:pPr>
        <w:pStyle w:val="7"/>
        <w:keepNext/>
        <w:keepLines/>
        <w:pageBreakBefore w:val="0"/>
        <w:widowControl w:val="0"/>
        <w:kinsoku/>
        <w:wordWrap/>
        <w:overflowPunct/>
        <w:topLinePunct w:val="0"/>
        <w:autoSpaceDE/>
        <w:autoSpaceDN/>
        <w:bidi w:val="0"/>
        <w:adjustRightInd/>
        <w:snapToGrid/>
        <w:spacing w:before="0" w:after="0" w:line="360" w:lineRule="auto"/>
        <w:textAlignment w:val="auto"/>
        <w:rPr>
          <w:sz w:val="24"/>
          <w:szCs w:val="24"/>
          <w:highlight w:val="none"/>
        </w:rPr>
      </w:pPr>
      <w:r>
        <w:rPr>
          <w:rFonts w:hint="eastAsia"/>
          <w:sz w:val="24"/>
          <w:szCs w:val="24"/>
          <w:highlight w:val="none"/>
        </w:rPr>
        <w:t>6.2.1.</w:t>
      </w:r>
      <w:r>
        <w:rPr>
          <w:rFonts w:hint="eastAsia"/>
          <w:sz w:val="24"/>
          <w:szCs w:val="24"/>
          <w:highlight w:val="none"/>
          <w:lang w:val="en-US" w:eastAsia="zh-CN"/>
        </w:rPr>
        <w:t>2.5</w:t>
      </w:r>
      <w:r>
        <w:rPr>
          <w:rFonts w:hint="eastAsia"/>
          <w:sz w:val="24"/>
          <w:szCs w:val="24"/>
          <w:highlight w:val="none"/>
        </w:rPr>
        <w:t>开展往来台账逾期数据治理</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对往来台账逾期数据，含预计收付款逾期、是否逾期字段等逾期数据按单位、科目债权类、债务类进行统计及分析，与线下上报逾期数据进行比对，协助各单位完成逾期数据必填字段治理及整改。43家单位，每单位每月3次（包含月初、月中、月末），支持6个月。</w:t>
      </w:r>
    </w:p>
    <w:p>
      <w:pPr>
        <w:pStyle w:val="6"/>
        <w:pageBreakBefore w:val="0"/>
        <w:kinsoku/>
        <w:wordWrap/>
        <w:overflowPunct/>
        <w:topLinePunct w:val="0"/>
        <w:autoSpaceDE/>
        <w:autoSpaceDN/>
        <w:bidi w:val="0"/>
        <w:adjustRightInd/>
        <w:snapToGrid/>
        <w:spacing w:line="360" w:lineRule="auto"/>
        <w:ind w:left="0" w:leftChars="0"/>
        <w:rPr>
          <w:rFonts w:hint="eastAsia"/>
          <w:highlight w:val="none"/>
        </w:rPr>
      </w:pPr>
      <w:r>
        <w:rPr>
          <w:rFonts w:hint="eastAsia"/>
          <w:highlight w:val="none"/>
        </w:rPr>
        <w:t>6.2.</w:t>
      </w:r>
      <w:r>
        <w:rPr>
          <w:rFonts w:hint="eastAsia"/>
          <w:highlight w:val="none"/>
          <w:lang w:val="en-US" w:eastAsia="zh-CN"/>
        </w:rPr>
        <w:t>1.3</w:t>
      </w:r>
      <w:r>
        <w:rPr>
          <w:rFonts w:hint="eastAsia"/>
          <w:highlight w:val="none"/>
        </w:rPr>
        <w:t>开展合同、项目、往来单位主数据校验</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3.1</w:t>
      </w:r>
      <w:r>
        <w:rPr>
          <w:rFonts w:hint="eastAsia" w:asciiTheme="minorEastAsia" w:hAnsiTheme="minorEastAsia" w:eastAsiaTheme="minorEastAsia"/>
          <w:sz w:val="24"/>
          <w:szCs w:val="24"/>
          <w:highlight w:val="none"/>
        </w:rPr>
        <w:t>开展项目主数据校验</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43家单位包括检验计财域当前在用项目主数据关键信息是否准确，无重复项目。</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3.2</w:t>
      </w:r>
      <w:r>
        <w:rPr>
          <w:rFonts w:hint="eastAsia" w:asciiTheme="minorEastAsia" w:hAnsiTheme="minorEastAsia" w:eastAsiaTheme="minorEastAsia"/>
          <w:sz w:val="24"/>
          <w:szCs w:val="24"/>
          <w:highlight w:val="none"/>
        </w:rPr>
        <w:t>开展合同主数据校验</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43家单位包括检验计财域当前在执行合同主数据关键信息是否准确，无重复项目。</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3.3</w:t>
      </w:r>
      <w:r>
        <w:rPr>
          <w:rFonts w:hint="eastAsia" w:asciiTheme="minorEastAsia" w:hAnsiTheme="minorEastAsia" w:eastAsiaTheme="minorEastAsia"/>
          <w:sz w:val="24"/>
          <w:szCs w:val="24"/>
          <w:highlight w:val="none"/>
        </w:rPr>
        <w:t>开展非供应商往来单位（含虚拟单位）主数据校验</w:t>
      </w:r>
    </w:p>
    <w:p>
      <w:pPr>
        <w:pageBreakBefore w:val="0"/>
        <w:kinsoku/>
        <w:wordWrap/>
        <w:overflowPunct/>
        <w:topLinePunct w:val="0"/>
        <w:autoSpaceDE/>
        <w:autoSpaceDN/>
        <w:bidi w:val="0"/>
        <w:adjustRightInd/>
        <w:snapToGrid/>
        <w:spacing w:line="360" w:lineRule="auto"/>
        <w:ind w:left="0" w:leftChars="0" w:firstLine="480"/>
        <w:rPr>
          <w:rFonts w:asciiTheme="minorEastAsia" w:hAnsiTheme="minorEastAsia" w:eastAsiaTheme="minorEastAsia"/>
          <w:highlight w:val="none"/>
        </w:rPr>
      </w:pPr>
      <w:r>
        <w:rPr>
          <w:rFonts w:hint="eastAsia" w:asciiTheme="minorEastAsia" w:hAnsiTheme="minorEastAsia" w:eastAsiaTheme="minorEastAsia"/>
          <w:highlight w:val="none"/>
        </w:rPr>
        <w:t>43家单位包括检验计财域当前在用非供应商往来单位主数据，无重复项目。</w:t>
      </w:r>
    </w:p>
    <w:p>
      <w:pPr>
        <w:pStyle w:val="6"/>
        <w:pageBreakBefore w:val="0"/>
        <w:kinsoku/>
        <w:wordWrap/>
        <w:overflowPunct/>
        <w:topLinePunct w:val="0"/>
        <w:autoSpaceDE/>
        <w:autoSpaceDN/>
        <w:bidi w:val="0"/>
        <w:adjustRightInd/>
        <w:snapToGrid/>
        <w:spacing w:line="360" w:lineRule="auto"/>
        <w:ind w:left="0" w:leftChars="0"/>
        <w:rPr>
          <w:rFonts w:hint="eastAsia"/>
          <w:highlight w:val="none"/>
        </w:rPr>
      </w:pPr>
      <w:r>
        <w:rPr>
          <w:rFonts w:hint="eastAsia"/>
          <w:highlight w:val="none"/>
        </w:rPr>
        <w:t>6.2.</w:t>
      </w:r>
      <w:r>
        <w:rPr>
          <w:rFonts w:hint="eastAsia"/>
          <w:highlight w:val="none"/>
          <w:lang w:val="en-US" w:eastAsia="zh-CN"/>
        </w:rPr>
        <w:t>1.4</w:t>
      </w:r>
      <w:r>
        <w:rPr>
          <w:rFonts w:hint="eastAsia"/>
          <w:highlight w:val="none"/>
        </w:rPr>
        <w:t>开展往来台账数据校验</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4.1</w:t>
      </w:r>
      <w:r>
        <w:rPr>
          <w:rFonts w:hint="eastAsia" w:asciiTheme="minorEastAsia" w:hAnsiTheme="minorEastAsia" w:eastAsiaTheme="minorEastAsia"/>
          <w:sz w:val="24"/>
          <w:szCs w:val="24"/>
          <w:highlight w:val="none"/>
        </w:rPr>
        <w:t>开展往来台账数据校验</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43家单位往来台账信息以所有往来科目的凭证分录为最小颗粒度，合同信息、供应商信息、账龄信息、业财对账信息等信息完整校验。43家单位，每单位每月3次（包含月初、月中、月末），支持6个月。</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4.2</w:t>
      </w:r>
      <w:r>
        <w:rPr>
          <w:rFonts w:hint="eastAsia" w:asciiTheme="minorEastAsia" w:hAnsiTheme="minorEastAsia" w:eastAsiaTheme="minorEastAsia"/>
          <w:sz w:val="24"/>
          <w:szCs w:val="24"/>
          <w:highlight w:val="none"/>
        </w:rPr>
        <w:t>开展计划清理完成时间字段数据校验</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43家单位往来台账【预计收付款时间】往来数据挂账凭证分录【计划清理完成时间】必填校验。43家单位，每月3次（包含月初、月中、月末），支持6个月。</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4.3</w:t>
      </w:r>
      <w:r>
        <w:rPr>
          <w:rFonts w:hint="eastAsia" w:asciiTheme="minorEastAsia" w:hAnsiTheme="minorEastAsia" w:eastAsiaTheme="minorEastAsia"/>
          <w:sz w:val="24"/>
          <w:szCs w:val="24"/>
          <w:highlight w:val="none"/>
        </w:rPr>
        <w:t>开展预计收付款时间字段数据校验</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43家单位往来台账【预计收付款时间】字段为空、异常等数据整改后进行校核验证。43家单位，每单位每月3次（包含月初、月中、月末），支持6个月。</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4.4</w:t>
      </w:r>
      <w:r>
        <w:rPr>
          <w:rFonts w:hint="eastAsia" w:asciiTheme="minorEastAsia" w:hAnsiTheme="minorEastAsia" w:eastAsiaTheme="minorEastAsia"/>
          <w:sz w:val="24"/>
          <w:szCs w:val="24"/>
          <w:highlight w:val="none"/>
        </w:rPr>
        <w:t>开展往来台账未清数据校核</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43家单位往来台账未清数据治理后进行校核，43家单位，每单位每月3次（包含月初、月中、月末），支持6个月。</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4.5</w:t>
      </w:r>
      <w:r>
        <w:rPr>
          <w:rFonts w:hint="eastAsia" w:asciiTheme="minorEastAsia" w:hAnsiTheme="minorEastAsia" w:eastAsiaTheme="minorEastAsia"/>
          <w:sz w:val="24"/>
          <w:szCs w:val="24"/>
          <w:highlight w:val="none"/>
        </w:rPr>
        <w:t>开展往来台账已清数据校核</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43家单位往来台账提前已清数据进行治理后校核，43家单位，每单位每月3次（包含月初、月中、月末），支持6个月。</w:t>
      </w:r>
    </w:p>
    <w:p>
      <w:pPr>
        <w:pStyle w:val="7"/>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4.6</w:t>
      </w:r>
      <w:r>
        <w:rPr>
          <w:rFonts w:hint="eastAsia" w:asciiTheme="minorEastAsia" w:hAnsiTheme="minorEastAsia" w:eastAsiaTheme="minorEastAsia"/>
          <w:sz w:val="24"/>
          <w:szCs w:val="24"/>
          <w:highlight w:val="none"/>
        </w:rPr>
        <w:t>开展往来台账逾期数据校核</w:t>
      </w:r>
    </w:p>
    <w:p>
      <w:pPr>
        <w:pageBreakBefore w:val="0"/>
        <w:kinsoku/>
        <w:wordWrap/>
        <w:overflowPunct/>
        <w:topLinePunct w:val="0"/>
        <w:autoSpaceDE/>
        <w:autoSpaceDN/>
        <w:bidi w:val="0"/>
        <w:adjustRightInd/>
        <w:snapToGrid/>
        <w:spacing w:line="360" w:lineRule="auto"/>
        <w:ind w:left="0" w:leftChars="0" w:firstLine="480"/>
        <w:rPr>
          <w:rFonts w:hint="eastAsia" w:asciiTheme="minorEastAsia" w:hAnsiTheme="minorEastAsia" w:eastAsiaTheme="minorEastAsia"/>
          <w:highlight w:val="none"/>
        </w:rPr>
      </w:pPr>
      <w:r>
        <w:rPr>
          <w:rFonts w:hint="eastAsia" w:asciiTheme="minorEastAsia" w:hAnsiTheme="minorEastAsia" w:eastAsiaTheme="minorEastAsia"/>
          <w:highlight w:val="none"/>
        </w:rPr>
        <w:t>43家单位往来台账逾期数据，含预计收付款逾期、是否逾期字段等逾期数据按单位、科目债权类、债务类进行校核，43家单位，每单位每月3次（包含月初、月中、月末），支持6个月。</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2</w:t>
      </w:r>
      <w:r>
        <w:rPr>
          <w:rFonts w:hint="eastAsia"/>
          <w:highlight w:val="none"/>
        </w:rPr>
        <w:t>开展应收应付司库报送数据专项治理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.1开展应收账款数据字段治理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43家单位应收账款数据字段必须满足司库报送填写规则，包括所属集团编码、所属集团名称、本方单位编码、本方单位名称、客商名称、客商统一社会信用代码、是否为内部企业、客商属性、会计科目名称、应收金额（原币）、应收金额（本币）、币种、汇率、应收余额（原币）、应收余额（本币）、入账日期、到期日期、款项用途、数据日期等字段。</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开展应付账款数据字段治理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43家单位应付账款数据字段必须满足司库报送填写规则，包括所属集团编码、所属集团名称、本方单位编码、本方单位名称、客商名称、客商统一社会信用代码、是否为内部企业、客商属性、会计科目名称、应付金额（原币）、应付金额（本币）、币种、汇率、应付余额（原币）、应付余额（本币）、入账日期、到期日期、款项用途、数据日期等字段。</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3</w:t>
      </w:r>
      <w:r>
        <w:rPr>
          <w:rFonts w:hint="eastAsia"/>
          <w:highlight w:val="none"/>
        </w:rPr>
        <w:t>开展银行账户数据治理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.1开展未纳入监控的银行账户处理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根据司库要求，持续检查广西电网各单位未纳入监控的银行账户，开展未监控账户梳理，并提交各单位进行交易流水及余额的导入。43家单位。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开展银行账户在线监控异常数据处理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kern w:val="2"/>
          <w:sz w:val="24"/>
          <w:szCs w:val="24"/>
          <w:highlight w:val="none"/>
          <w:lang w:val="en-US" w:eastAsia="zh-CN" w:bidi="ar-SA"/>
        </w:rPr>
        <w:t>根据司库要求，持续处理监控账户数据异常问题。43家单位。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开展银行账户授权状态清理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kern w:val="2"/>
          <w:sz w:val="24"/>
          <w:szCs w:val="24"/>
          <w:highlight w:val="none"/>
          <w:lang w:val="en-US" w:eastAsia="zh-CN" w:bidi="ar-SA"/>
        </w:rPr>
        <w:t>持续检查银行账户的授权状态，配合完成银行账户授权状态信息整改。43家单位。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开展银行账户缺漏数据清理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kern w:val="2"/>
          <w:sz w:val="24"/>
          <w:szCs w:val="24"/>
          <w:highlight w:val="none"/>
          <w:lang w:val="en-US" w:eastAsia="zh-CN" w:bidi="ar-SA"/>
        </w:rPr>
        <w:t>根据司库要求，持续整理全省银行账户列字段，对全省银行账户校验有问题的账户进入单位库进行调整，包含国家地区为空、未授权但填写了授权日期、账户编码出现两个横杠、账户编码不规范、开户行地址不完善、资金管理类型、上级集团账户、账户用途等字段进行维护和调整，确保字段不为空。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开展银行账户采集方式数据清理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kern w:val="2"/>
          <w:sz w:val="24"/>
          <w:szCs w:val="24"/>
          <w:highlight w:val="none"/>
          <w:lang w:val="en-US" w:eastAsia="zh-CN" w:bidi="ar-SA"/>
        </w:rPr>
        <w:t>二级单位确认账户采集方式，填报广西电网银行账户采集类型（一级采集，本地采集，财务公司采集，不采集）上报网公司。43家单位。</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4</w:t>
      </w:r>
      <w:r>
        <w:rPr>
          <w:rFonts w:hint="eastAsia"/>
          <w:highlight w:val="none"/>
        </w:rPr>
        <w:t>开展资金结算数据清理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.1开展职工信息数据清理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根据司库要求，为确保资金结算数据完整性和规范性，开展职工档案信息维护，完善职工个人的报销银行卡账号、开户行名称、银行金融机构、汇入省市、开户行联行号等信息。43家单位。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开展资金结算数据核对与治理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kern w:val="2"/>
          <w:sz w:val="24"/>
          <w:szCs w:val="24"/>
          <w:highlight w:val="none"/>
          <w:lang w:val="en-US" w:eastAsia="zh-CN" w:bidi="ar-SA"/>
        </w:rPr>
        <w:t>根据司库要求，持续开展电网管理平台（计财域）与运营监控平台的资金结算数据核对及审查，协助各单位开展电网管理平台（计财域）数据整改，43家单位。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开展支付结算指令数据清理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电子支付长期未支付指令数据清理，编写清理操作手册，持续查询长期未支付指令数量，了解指标考核内容，指导客户做数据清理工作。43家单位。</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5</w:t>
      </w:r>
      <w:r>
        <w:rPr>
          <w:rFonts w:hint="eastAsia"/>
          <w:highlight w:val="none"/>
        </w:rPr>
        <w:t>开展债务融资数据清理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.1开展融资租赁数据治理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融资租赁历史数据清理及补录。编写数据补录操作手册，开展系统培训工作，指导各单位开展历史数据补录，修复系统异常问题。涉及1家单位。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开展融资借款合同清理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b w:val="0"/>
          <w:bCs w:val="0"/>
          <w:kern w:val="2"/>
          <w:sz w:val="24"/>
          <w:szCs w:val="24"/>
          <w:highlight w:val="none"/>
          <w:lang w:val="en-US" w:eastAsia="zh-CN" w:bidi="ar-SA"/>
        </w:rPr>
        <w:t>对融资借款合同数据开展清理工作，合同类型包括：长期借款合同、短期借款合同、应付债券合同、委托贷款与担保贷款合同4类，清理范围包括流程环节调整适配电子支付，合同利率调整、合同到款金额调整，按网公司要求补充完整合同字段内容，清理到期合同。共17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开展融资数据核对与治理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根据国资委最新考核标准，持续开展电网管理平台（计财域）与运营监控平台的数据核对及审查，协助各单位开展电网管理平台（计财域）数据整改。涉及新电力本部1家单位。共涉及17家单位。</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6</w:t>
      </w:r>
      <w:r>
        <w:rPr>
          <w:rFonts w:hint="eastAsia"/>
          <w:highlight w:val="none"/>
        </w:rPr>
        <w:t>开展票据数据清理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.1开展应付票据历史数据清理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清理系统内冗余应付票据信息，即已承兑的应付票据，核对计财域票据与金融2.0系统票据信息是否一致，停用冗余数据，完善确实字段信息。涉及共8家单位。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开展应收票据历史数据清理</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b w:val="0"/>
          <w:bCs w:val="0"/>
          <w:kern w:val="2"/>
          <w:sz w:val="24"/>
          <w:szCs w:val="24"/>
          <w:highlight w:val="none"/>
          <w:lang w:val="en-US" w:eastAsia="zh-CN" w:bidi="ar-SA"/>
        </w:rPr>
        <w:t>清理系统内冗余应收票票据信息，包括已贴现、背书的应收票据，核对计财域票据与金融2.0系统票据信息是否一致，停用冗余数据，完善确实字段信息。涉及共10家单位。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开展票据业财数据清理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核对电网管理平台（计财域）票据账务数据与金融业务系统票据台账数据，根据《2023年票据管理数据治理清单》的“数据治理自查标准”，主要通过排查电网管理平台（计财域）应收票据科目、应付票据科目借贷方数据与金融业务系统收票明细、开票明细数据是否一致，定位需要治理的业务数据，完成数据核查。涉及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6</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开展票据数据监测及治理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根据国资委最新考核标准，持续开展电网管理平台（计财域）与运营监控平台的数据核对及审查，协助各单位开展电网管理平台（计财域）数据整改。涉及43家单位。</w:t>
      </w:r>
    </w:p>
    <w:p>
      <w:pPr>
        <w:pStyle w:val="5"/>
        <w:pageBreakBefore w:val="0"/>
        <w:kinsoku/>
        <w:wordWrap/>
        <w:overflowPunct/>
        <w:topLinePunct w:val="0"/>
        <w:autoSpaceDE/>
        <w:autoSpaceDN/>
        <w:bidi w:val="0"/>
        <w:adjustRightInd/>
        <w:snapToGrid/>
        <w:spacing w:line="360" w:lineRule="auto"/>
        <w:ind w:left="0" w:leftChars="0"/>
        <w:rPr>
          <w:highlight w:val="none"/>
        </w:rPr>
      </w:pPr>
      <w:r>
        <w:rPr>
          <w:rFonts w:hint="eastAsia"/>
          <w:highlight w:val="none"/>
        </w:rPr>
        <w:t>6.2.</w:t>
      </w:r>
      <w:r>
        <w:rPr>
          <w:rFonts w:hint="eastAsia"/>
          <w:highlight w:val="none"/>
          <w:lang w:val="en-US" w:eastAsia="zh-CN"/>
        </w:rPr>
        <w:t>7</w:t>
      </w:r>
      <w:r>
        <w:rPr>
          <w:rFonts w:hint="eastAsia"/>
          <w:highlight w:val="none"/>
        </w:rPr>
        <w:t>开展资金计划清理</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.1开展资金计划责任中心清理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清理广西新电力集团范围内的资金计划责任中心，按照基础组织完成系统级责任中心优化清理、任务级责任中心清理。43家单位。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2</w:t>
      </w:r>
      <w:r>
        <w:rPr>
          <w:rFonts w:hint="eastAsia" w:asciiTheme="minorEastAsia" w:hAnsiTheme="minorEastAsia" w:eastAsiaTheme="minorEastAsia"/>
          <w:sz w:val="24"/>
          <w:szCs w:val="24"/>
          <w:highlight w:val="none"/>
        </w:rPr>
        <w:t>开展资金计划编制业务及数据验证支持</w:t>
      </w:r>
    </w:p>
    <w:p>
      <w:pPr>
        <w:pStyle w:val="13"/>
        <w:pageBreakBefore w:val="0"/>
        <w:kinsoku/>
        <w:wordWrap/>
        <w:overflowPunct/>
        <w:topLinePunct w:val="0"/>
        <w:autoSpaceDE/>
        <w:autoSpaceDN/>
        <w:bidi w:val="0"/>
        <w:adjustRightInd/>
        <w:snapToGrid/>
        <w:spacing w:after="0" w:line="360" w:lineRule="auto"/>
        <w:ind w:left="0" w:leftChars="0" w:firstLine="480" w:firstLineChars="200"/>
        <w:rPr>
          <w:highlight w:val="none"/>
        </w:rPr>
      </w:pPr>
      <w:r>
        <w:rPr>
          <w:rFonts w:hint="eastAsia" w:cs="Times New Roman" w:asciiTheme="minorEastAsia" w:hAnsiTheme="minorEastAsia" w:eastAsiaTheme="minorEastAsia"/>
          <w:b w:val="0"/>
          <w:bCs w:val="0"/>
          <w:kern w:val="2"/>
          <w:sz w:val="24"/>
          <w:szCs w:val="24"/>
          <w:highlight w:val="none"/>
          <w:lang w:val="en-US" w:eastAsia="zh-CN" w:bidi="ar-SA"/>
        </w:rPr>
        <w:t>根据司库数据治理及验收要求，持续调整编报关系、编制流程等。遍报关系按报表设置，表范围包括：南方电网筹资性收支计划月度申报表、南方电网经营性收支计划月度申报表、南方电网投资性收支计划月度申报表、南方电网月度资金收支计划表（汇总）、月度资金计划资金余额编制表、2024经营性例外调整、2024资本性例外调整、2024筹资性例外调整、月度资金计划调整表内部调剂（经营流出）、月度资金计划调整表内部调剂（投资流出）、月度资金计划调整表内部调剂（筹资流出）、月度资金计划调整表内部调剂（经营流入）、月度资金计划调整表内部调剂（投资流入）、月度资金计划调整表内部调剂（筹资流入）、月度资金计划例外调整申请（经营、筹资性收支）、月度资金计划例外调整申请（投资性收支）、月度资金计划明细表（经营性收支）、月度资金计划明细表（投资性收支）、月度资金计划明细表（筹资性收支）、月度资金计划明细表（汇总）、2024年经营性收入调整、月度资金计划省级网级内外部调整单、2024例外资金计划调整申请单(向上级申请调整)、2024例外资金计划调整申请单(抵销表)等24个表业务、数据验证及支持工作。</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3</w:t>
      </w:r>
      <w:r>
        <w:rPr>
          <w:rFonts w:hint="eastAsia" w:asciiTheme="minorEastAsia" w:hAnsiTheme="minorEastAsia" w:eastAsiaTheme="minorEastAsia"/>
          <w:sz w:val="24"/>
          <w:szCs w:val="24"/>
          <w:highlight w:val="none"/>
        </w:rPr>
        <w:t>开展资金计划预估单业务验证支持</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司库数据治理及验收要求，配合资金计划需求池功能，开展资金计划通用预估单、购电费支出计划预估单（网间购售电）、S2-税费支出计划预估单、售电收入预估单（综合单价模式）、售电收入预估单（分类单价预测）、工程支付计划预估单等业务及数据验证支持，涉及6个单据。</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4</w:t>
      </w:r>
      <w:r>
        <w:rPr>
          <w:rFonts w:hint="eastAsia" w:asciiTheme="minorEastAsia" w:hAnsiTheme="minorEastAsia" w:eastAsiaTheme="minorEastAsia"/>
          <w:sz w:val="24"/>
          <w:szCs w:val="24"/>
          <w:highlight w:val="none"/>
        </w:rPr>
        <w:t>开展资金计划执行数清理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协助清理各单位资金计划执行数据，确保各单位资金计划执行数据与当月现金流量数据保持一致。43家单位。</w:t>
      </w:r>
    </w:p>
    <w:p>
      <w:pPr>
        <w:pStyle w:val="6"/>
        <w:pageBreakBefore w:val="0"/>
        <w:kinsoku/>
        <w:wordWrap/>
        <w:overflowPunct/>
        <w:topLinePunct w:val="0"/>
        <w:autoSpaceDE/>
        <w:autoSpaceDN/>
        <w:bidi w:val="0"/>
        <w:adjustRightInd/>
        <w:snapToGrid/>
        <w:spacing w:before="0" w:after="0" w:line="360" w:lineRule="auto"/>
        <w:ind w:left="0" w:leftChars="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6.2.</w:t>
      </w:r>
      <w:r>
        <w:rPr>
          <w:rFonts w:hint="eastAsia" w:asciiTheme="minorEastAsia" w:hAnsiTheme="minorEastAsia" w:eastAsiaTheme="minorEastAsia"/>
          <w:sz w:val="24"/>
          <w:szCs w:val="24"/>
          <w:highlight w:val="none"/>
          <w:lang w:val="en-US" w:eastAsia="zh-CN"/>
        </w:rPr>
        <w:t>7</w:t>
      </w:r>
      <w:r>
        <w:rPr>
          <w:rFonts w:hint="eastAsia"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lang w:val="en-US" w:eastAsia="zh-CN"/>
        </w:rPr>
        <w:t>5</w:t>
      </w:r>
      <w:r>
        <w:rPr>
          <w:rFonts w:hint="eastAsia" w:asciiTheme="minorEastAsia" w:hAnsiTheme="minorEastAsia" w:eastAsiaTheme="minorEastAsia"/>
          <w:sz w:val="24"/>
          <w:szCs w:val="24"/>
          <w:highlight w:val="none"/>
        </w:rPr>
        <w:t>开展资金计划监测数据治理</w:t>
      </w:r>
    </w:p>
    <w:p>
      <w:pPr>
        <w:pStyle w:val="13"/>
        <w:pageBreakBefore w:val="0"/>
        <w:kinsoku/>
        <w:wordWrap/>
        <w:overflowPunct/>
        <w:topLinePunct w:val="0"/>
        <w:autoSpaceDE/>
        <w:autoSpaceDN/>
        <w:bidi w:val="0"/>
        <w:adjustRightInd/>
        <w:snapToGrid/>
        <w:spacing w:after="0" w:line="360" w:lineRule="auto"/>
        <w:ind w:left="0" w:leftChars="0" w:firstLine="480"/>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根据司库要求，持续开展电网管理平台（计财域）与运营监控平台的数据核对及审查，包含资金计划数据、资金计划执行数据。协助指导各单位开展电网管理平台（计财域）数据整改。43家单位。</w:t>
      </w:r>
    </w:p>
    <w:p>
      <w:pPr>
        <w:pStyle w:val="4"/>
        <w:pageBreakBefore w:val="0"/>
        <w:kinsoku/>
        <w:wordWrap/>
        <w:overflowPunct/>
        <w:topLinePunct w:val="0"/>
        <w:autoSpaceDE/>
        <w:autoSpaceDN/>
        <w:bidi w:val="0"/>
        <w:adjustRightInd/>
        <w:snapToGrid/>
        <w:spacing w:line="360" w:lineRule="auto"/>
        <w:ind w:left="0" w:leftChars="0"/>
        <w:rPr>
          <w:highlight w:val="none"/>
        </w:rPr>
      </w:pPr>
      <w:bookmarkStart w:id="17" w:name="_Toc20715"/>
      <w:r>
        <w:rPr>
          <w:rFonts w:hint="eastAsia"/>
          <w:highlight w:val="none"/>
        </w:rPr>
        <w:t>进项数电发票XML格式采集通道租赁服务</w:t>
      </w:r>
      <w:bookmarkEnd w:id="17"/>
      <w:r>
        <w:rPr>
          <w:rFonts w:hint="eastAsia"/>
          <w:highlight w:val="none"/>
        </w:rPr>
        <w:tab/>
      </w:r>
    </w:p>
    <w:p>
      <w:pPr>
        <w:spacing w:line="360" w:lineRule="auto"/>
        <w:ind w:firstLine="480"/>
        <w:rPr>
          <w:rFonts w:hint="eastAsia" w:ascii="宋体" w:hAnsi="宋体"/>
          <w:highlight w:val="none"/>
        </w:rPr>
      </w:pPr>
      <w:r>
        <w:rPr>
          <w:rFonts w:hint="eastAsia" w:ascii="宋体" w:hAnsi="宋体"/>
          <w:highlight w:val="none"/>
        </w:rPr>
        <w:t>随着电网管理平台正式运行和数电发票中心的建设，广西新电力集团需进一步加强税务发票管理，深化税务管理应用，统一管理要求，亟需按年按税号通过租用第三方税局发票综合管理平台直联通道的进项数电发票XML查验数据服务、进项数电发票XML采集数据、数字证书管理服务等，实现电网管理平台税务发票的在线采集、在线查验等功能，实现财务风险规避和为基层减负，通道租赁服务内容，具体要求如下：</w:t>
      </w:r>
    </w:p>
    <w:p>
      <w:pPr>
        <w:spacing w:line="360" w:lineRule="auto"/>
        <w:ind w:firstLine="480"/>
        <w:rPr>
          <w:rFonts w:hint="eastAsia" w:ascii="宋体" w:hAnsi="宋体"/>
          <w:highlight w:val="none"/>
        </w:rPr>
      </w:pP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进项数电发票XML查验数据通道租赁服务：提供进项数电发票XML格式的发票类型、发票票种、发票号码、开票日期、纳税人类型、销售方信息、购买方信息、价税合计等信息完整性、真实性与合法性检查，确保xml板式文件接收信息的安全与完整。</w:t>
      </w:r>
    </w:p>
    <w:p>
      <w:pPr>
        <w:spacing w:line="360" w:lineRule="auto"/>
        <w:ind w:firstLine="480"/>
        <w:rPr>
          <w:rFonts w:hint="eastAsia" w:ascii="宋体" w:hAnsi="宋体"/>
          <w:highlight w:val="none"/>
        </w:rPr>
      </w:pPr>
      <w:r>
        <w:rPr>
          <w:rFonts w:hint="eastAsia" w:ascii="宋体" w:hAnsi="宋体"/>
          <w:highlight w:val="none"/>
          <w:lang w:eastAsia="zh-CN"/>
        </w:rPr>
        <w:t>（</w:t>
      </w:r>
      <w:r>
        <w:rPr>
          <w:rFonts w:hint="eastAsia" w:ascii="宋体" w:hAnsi="宋体"/>
          <w:highlight w:val="none"/>
          <w:lang w:val="en-US" w:eastAsia="zh-CN"/>
        </w:rPr>
        <w:t>2</w:t>
      </w:r>
      <w:r>
        <w:rPr>
          <w:rFonts w:hint="eastAsia" w:ascii="宋体" w:hAnsi="宋体"/>
          <w:highlight w:val="none"/>
          <w:lang w:eastAsia="zh-CN"/>
        </w:rPr>
        <w:t>）</w:t>
      </w:r>
      <w:r>
        <w:rPr>
          <w:rFonts w:hint="eastAsia" w:ascii="宋体" w:hAnsi="宋体"/>
          <w:highlight w:val="none"/>
        </w:rPr>
        <w:t>进项数电发票XML采集数据通道租赁服务：提供按照统一社会信用代码/纳税人识别号的进项电子发票（增值税专用发票）、电子发票（增值税普通发票）等XML板式文件数据的采集服务，进行批量采集、单张采集、真伪查验、国税状态同步更新服务（正常、作废、红冲）等进项数电发票XML在线采集的数据服务。</w:t>
      </w:r>
    </w:p>
    <w:p>
      <w:pPr>
        <w:spacing w:line="360" w:lineRule="auto"/>
        <w:ind w:firstLine="480"/>
        <w:rPr>
          <w:highlight w:val="none"/>
        </w:rPr>
      </w:pPr>
      <w:r>
        <w:rPr>
          <w:rFonts w:hint="eastAsia" w:ascii="宋体" w:hAnsi="宋体"/>
          <w:highlight w:val="none"/>
          <w:lang w:eastAsia="zh-CN"/>
        </w:rPr>
        <w:t>（</w:t>
      </w:r>
      <w:r>
        <w:rPr>
          <w:rFonts w:hint="eastAsia" w:ascii="宋体" w:hAnsi="宋体"/>
          <w:highlight w:val="none"/>
          <w:lang w:val="en-US" w:eastAsia="zh-CN"/>
        </w:rPr>
        <w:t>3</w:t>
      </w:r>
      <w:r>
        <w:rPr>
          <w:rFonts w:hint="eastAsia" w:ascii="宋体" w:hAnsi="宋体"/>
          <w:highlight w:val="none"/>
          <w:lang w:eastAsia="zh-CN"/>
        </w:rPr>
        <w:t>）</w:t>
      </w:r>
      <w:r>
        <w:rPr>
          <w:rFonts w:hint="eastAsia" w:ascii="宋体" w:hAnsi="宋体"/>
          <w:highlight w:val="none"/>
        </w:rPr>
        <w:t>数字证书管理服务：代为客户办理签名服务器纳税人数字证书(数字证书由税务机关颁发，是识别纳税人身份的一种凭证)申请、注销、保管服务。</w:t>
      </w:r>
    </w:p>
    <w:bookmarkEnd w:id="13"/>
    <w:bookmarkEnd w:id="14"/>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bookmarkStart w:id="18" w:name="_Toc351129175"/>
      <w:bookmarkStart w:id="19" w:name="_Toc13102"/>
      <w:bookmarkStart w:id="20" w:name="_Toc145626079"/>
      <w:r>
        <w:rPr>
          <w:rFonts w:hint="eastAsia" w:hAnsi="宋体" w:cs="宋体"/>
          <w:szCs w:val="24"/>
          <w:highlight w:val="none"/>
        </w:rPr>
        <w:t>其他要求</w:t>
      </w:r>
      <w:bookmarkEnd w:id="18"/>
      <w:bookmarkEnd w:id="19"/>
      <w:bookmarkEnd w:id="20"/>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 xml:space="preserve">项目进度 </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asciiTheme="majorEastAsia" w:hAnsiTheme="majorEastAsia" w:eastAsiaTheme="majorEastAsia" w:cstheme="majorEastAsia"/>
          <w:highlight w:val="none"/>
        </w:rPr>
        <w:t>本技术规范书范围和内容要求自合同约定之日起</w:t>
      </w:r>
      <w:r>
        <w:rPr>
          <w:rFonts w:hint="eastAsia" w:asciiTheme="majorEastAsia" w:hAnsiTheme="majorEastAsia" w:eastAsiaTheme="majorEastAsia" w:cstheme="majorEastAsia"/>
          <w:highlight w:val="none"/>
          <w:lang w:val="en-US" w:eastAsia="zh-CN"/>
        </w:rPr>
        <w:t>12</w:t>
      </w:r>
      <w:r>
        <w:rPr>
          <w:rFonts w:hint="eastAsia" w:asciiTheme="majorEastAsia" w:hAnsiTheme="majorEastAsia" w:eastAsiaTheme="majorEastAsia" w:cstheme="majorEastAsia"/>
          <w:highlight w:val="none"/>
        </w:rPr>
        <w:t>个月内完成</w:t>
      </w:r>
      <w:r>
        <w:rPr>
          <w:rFonts w:hint="eastAsia" w:hAnsi="宋体" w:cs="宋体"/>
          <w:highlight w:val="none"/>
        </w:rPr>
        <w:t>。</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asciiTheme="majorEastAsia" w:hAnsiTheme="majorEastAsia" w:eastAsiaTheme="majorEastAsia" w:cstheme="majorEastAsia"/>
          <w:highlight w:val="none"/>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r>
        <w:rPr>
          <w:rFonts w:hint="eastAsia" w:hAnsi="宋体" w:cs="宋体"/>
          <w:highlight w:val="none"/>
        </w:rPr>
        <w:t>。</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项目联络</w:t>
      </w:r>
    </w:p>
    <w:p>
      <w:pPr>
        <w:pStyle w:val="5"/>
        <w:pageBreakBefore w:val="0"/>
        <w:numPr>
          <w:ilvl w:val="2"/>
          <w:numId w:val="1"/>
        </w:numPr>
        <w:kinsoku/>
        <w:wordWrap/>
        <w:overflowPunct/>
        <w:topLinePunct w:val="0"/>
        <w:autoSpaceDE/>
        <w:autoSpaceDN/>
        <w:bidi w:val="0"/>
        <w:adjustRightInd/>
        <w:snapToGrid/>
        <w:spacing w:line="360" w:lineRule="auto"/>
        <w:ind w:left="0" w:leftChars="0"/>
        <w:rPr>
          <w:b w:val="0"/>
          <w:bCs/>
          <w:highlight w:val="none"/>
        </w:rPr>
      </w:pPr>
      <w:r>
        <w:rPr>
          <w:rFonts w:hint="eastAsia"/>
          <w:b w:val="0"/>
          <w:bCs/>
          <w:highlight w:val="none"/>
        </w:rPr>
        <w:t>为审查和确认工作进展，便于合同按期执行，在项目实施过程中投标方根据招标方要求召开联络会，协调解决项目实施中的工作。</w:t>
      </w:r>
    </w:p>
    <w:p>
      <w:pPr>
        <w:pStyle w:val="5"/>
        <w:pageBreakBefore w:val="0"/>
        <w:numPr>
          <w:ilvl w:val="2"/>
          <w:numId w:val="1"/>
        </w:numPr>
        <w:kinsoku/>
        <w:wordWrap/>
        <w:overflowPunct/>
        <w:topLinePunct w:val="0"/>
        <w:autoSpaceDE/>
        <w:autoSpaceDN/>
        <w:bidi w:val="0"/>
        <w:adjustRightInd/>
        <w:snapToGrid/>
        <w:spacing w:line="360" w:lineRule="auto"/>
        <w:ind w:left="0" w:leftChars="0"/>
        <w:rPr>
          <w:b w:val="0"/>
          <w:bCs/>
          <w:highlight w:val="none"/>
        </w:rPr>
      </w:pPr>
      <w:r>
        <w:rPr>
          <w:rFonts w:hint="eastAsia"/>
          <w:b w:val="0"/>
          <w:bCs/>
          <w:highlight w:val="none"/>
        </w:rPr>
        <w:t>联络会内容由招标方确定，包括但不限于如下内容：</w:t>
      </w:r>
    </w:p>
    <w:p>
      <w:pPr>
        <w:pageBreakBefore w:val="0"/>
        <w:widowControl w:val="0"/>
        <w:kinsoku/>
        <w:wordWrap/>
        <w:overflowPunct/>
        <w:topLinePunct w:val="0"/>
        <w:autoSpaceDE/>
        <w:autoSpaceDN/>
        <w:bidi w:val="0"/>
        <w:adjustRightInd/>
        <w:snapToGrid/>
        <w:spacing w:beforeAutospacing="0" w:afterAutospacing="0"/>
        <w:textAlignment w:val="auto"/>
        <w:rPr>
          <w:color w:val="auto"/>
          <w:highlight w:val="none"/>
        </w:rPr>
      </w:pPr>
      <w:r>
        <w:rPr>
          <w:rFonts w:hint="eastAsia"/>
          <w:color w:val="auto"/>
          <w:highlight w:val="none"/>
        </w:rPr>
        <w:t>（1）确认服务是否满足规范书要求。</w:t>
      </w:r>
    </w:p>
    <w:p>
      <w:pPr>
        <w:pageBreakBefore w:val="0"/>
        <w:widowControl w:val="0"/>
        <w:kinsoku/>
        <w:wordWrap/>
        <w:overflowPunct/>
        <w:topLinePunct w:val="0"/>
        <w:autoSpaceDE/>
        <w:autoSpaceDN/>
        <w:bidi w:val="0"/>
        <w:adjustRightInd/>
        <w:snapToGrid/>
        <w:spacing w:beforeAutospacing="0" w:afterAutospacing="0"/>
        <w:textAlignment w:val="auto"/>
        <w:rPr>
          <w:color w:val="auto"/>
          <w:highlight w:val="none"/>
        </w:rPr>
      </w:pPr>
      <w:r>
        <w:rPr>
          <w:rFonts w:hint="eastAsia"/>
          <w:color w:val="auto"/>
          <w:highlight w:val="none"/>
        </w:rPr>
        <w:t>（2）确认服务的实施方案。</w:t>
      </w:r>
    </w:p>
    <w:p>
      <w:pPr>
        <w:pageBreakBefore w:val="0"/>
        <w:widowControl w:val="0"/>
        <w:kinsoku/>
        <w:wordWrap/>
        <w:overflowPunct/>
        <w:topLinePunct w:val="0"/>
        <w:autoSpaceDE/>
        <w:autoSpaceDN/>
        <w:bidi w:val="0"/>
        <w:adjustRightInd/>
        <w:snapToGrid/>
        <w:spacing w:beforeAutospacing="0" w:afterAutospacing="0"/>
        <w:textAlignment w:val="auto"/>
        <w:rPr>
          <w:color w:val="auto"/>
          <w:highlight w:val="none"/>
        </w:rPr>
      </w:pPr>
      <w:r>
        <w:rPr>
          <w:rFonts w:hint="eastAsia"/>
          <w:color w:val="auto"/>
          <w:highlight w:val="none"/>
        </w:rPr>
        <w:t>（3）检查、确认投标方提供的技术文件和图纸。</w:t>
      </w:r>
    </w:p>
    <w:p>
      <w:pPr>
        <w:pageBreakBefore w:val="0"/>
        <w:widowControl w:val="0"/>
        <w:kinsoku/>
        <w:wordWrap/>
        <w:overflowPunct/>
        <w:topLinePunct w:val="0"/>
        <w:autoSpaceDE/>
        <w:autoSpaceDN/>
        <w:bidi w:val="0"/>
        <w:adjustRightInd/>
        <w:snapToGrid/>
        <w:spacing w:beforeAutospacing="0" w:afterAutospacing="0"/>
        <w:textAlignment w:val="auto"/>
        <w:rPr>
          <w:rFonts w:hint="eastAsia" w:eastAsiaTheme="minorEastAsia"/>
          <w:color w:val="auto"/>
          <w:highlight w:val="none"/>
          <w:lang w:val="en-US" w:eastAsia="zh-CN"/>
        </w:rPr>
      </w:pP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asciiTheme="minorEastAsia" w:hAnsiTheme="minorEastAsia" w:eastAsiaTheme="minorEastAsia"/>
          <w:color w:val="auto"/>
          <w:highlight w:val="none"/>
        </w:rPr>
        <w:t>根据招标方实际需求</w:t>
      </w:r>
      <w:r>
        <w:rPr>
          <w:rFonts w:asciiTheme="minorEastAsia" w:hAnsiTheme="minorEastAsia" w:eastAsiaTheme="minorEastAsia"/>
          <w:color w:val="auto"/>
          <w:highlight w:val="none"/>
        </w:rPr>
        <w:t>确定培训计划（包括课程安排、教材、进度）</w:t>
      </w:r>
      <w:r>
        <w:rPr>
          <w:rFonts w:hint="eastAsia" w:asciiTheme="minorEastAsia" w:hAnsiTheme="minorEastAsia" w:eastAsiaTheme="minorEastAsia"/>
          <w:color w:val="auto"/>
          <w:highlight w:val="none"/>
          <w:lang w:eastAsia="zh-CN"/>
        </w:rPr>
        <w:t>。</w:t>
      </w:r>
    </w:p>
    <w:p>
      <w:pPr>
        <w:pageBreakBefore w:val="0"/>
        <w:widowControl w:val="0"/>
        <w:kinsoku/>
        <w:wordWrap/>
        <w:overflowPunct/>
        <w:topLinePunct w:val="0"/>
        <w:autoSpaceDE/>
        <w:autoSpaceDN/>
        <w:bidi w:val="0"/>
        <w:adjustRightInd/>
        <w:snapToGrid/>
        <w:spacing w:beforeAutospacing="0" w:afterAutospacing="0"/>
        <w:textAlignment w:val="auto"/>
        <w:rPr>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）其他有关事项。</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实施人员素质和人数要求</w:t>
      </w:r>
    </w:p>
    <w:p>
      <w:pPr>
        <w:pStyle w:val="5"/>
        <w:rPr>
          <w:rFonts w:hAnsi="宋体"/>
          <w:b w:val="0"/>
          <w:bCs/>
          <w:highlight w:val="none"/>
        </w:rPr>
      </w:pPr>
      <w:r>
        <w:rPr>
          <w:rFonts w:hint="eastAsia" w:hAnsi="宋体"/>
          <w:b w:val="0"/>
          <w:bCs/>
          <w:highlight w:val="none"/>
        </w:rPr>
        <w:t>7</w:t>
      </w:r>
      <w:r>
        <w:rPr>
          <w:rFonts w:hAnsi="宋体"/>
          <w:b w:val="0"/>
          <w:bCs/>
          <w:highlight w:val="none"/>
        </w:rPr>
        <w:t>.3.1</w:t>
      </w:r>
      <w:r>
        <w:rPr>
          <w:rFonts w:hint="eastAsia" w:asciiTheme="majorEastAsia" w:hAnsiTheme="majorEastAsia" w:eastAsiaTheme="majorEastAsia" w:cstheme="majorEastAsia"/>
          <w:b/>
          <w:highlight w:val="none"/>
        </w:rPr>
        <w:t>服务团队</w:t>
      </w:r>
    </w:p>
    <w:p>
      <w:pPr>
        <w:pStyle w:val="5"/>
        <w:pageBreakBefore w:val="0"/>
        <w:kinsoku/>
        <w:wordWrap/>
        <w:overflowPunct/>
        <w:topLinePunct w:val="0"/>
        <w:autoSpaceDE/>
        <w:autoSpaceDN/>
        <w:bidi w:val="0"/>
        <w:adjustRightInd/>
        <w:snapToGrid/>
        <w:spacing w:line="360" w:lineRule="auto"/>
        <w:ind w:left="0" w:leftChars="0"/>
        <w:rPr>
          <w:rFonts w:hAnsi="宋体"/>
          <w:b w:val="0"/>
          <w:bCs/>
          <w:highlight w:val="none"/>
        </w:rPr>
      </w:pPr>
      <w:r>
        <w:rPr>
          <w:rFonts w:hint="eastAsia" w:hAnsi="宋体"/>
          <w:b w:val="0"/>
          <w:bCs/>
          <w:highlight w:val="none"/>
        </w:rPr>
        <w:t>7</w:t>
      </w:r>
      <w:r>
        <w:rPr>
          <w:rFonts w:hAnsi="宋体"/>
          <w:b w:val="0"/>
          <w:bCs/>
          <w:highlight w:val="none"/>
        </w:rPr>
        <w:t>.3.2</w:t>
      </w:r>
      <w:r>
        <w:rPr>
          <w:rFonts w:hint="eastAsia" w:asciiTheme="majorEastAsia" w:hAnsiTheme="majorEastAsia" w:eastAsiaTheme="majorEastAsia" w:cstheme="majorEastAsia"/>
          <w:b w:val="0"/>
          <w:bCs/>
          <w:highlight w:val="none"/>
        </w:rPr>
        <w:t>投标方应在技术建议书中明确，参与技术支持服务的维护团队人员及其简历</w:t>
      </w:r>
      <w:r>
        <w:rPr>
          <w:rFonts w:hint="eastAsia" w:hAnsi="宋体"/>
          <w:b w:val="0"/>
          <w:bCs/>
          <w:highlight w:val="none"/>
        </w:rPr>
        <w:t>。</w:t>
      </w:r>
    </w:p>
    <w:p>
      <w:pPr>
        <w:pStyle w:val="5"/>
        <w:pageBreakBefore w:val="0"/>
        <w:kinsoku/>
        <w:wordWrap/>
        <w:overflowPunct/>
        <w:topLinePunct w:val="0"/>
        <w:autoSpaceDE/>
        <w:autoSpaceDN/>
        <w:bidi w:val="0"/>
        <w:adjustRightInd/>
        <w:snapToGrid/>
        <w:spacing w:line="360" w:lineRule="auto"/>
        <w:ind w:left="0" w:leftChars="0"/>
        <w:rPr>
          <w:rFonts w:hAnsi="宋体"/>
          <w:b w:val="0"/>
          <w:bCs/>
          <w:highlight w:val="none"/>
        </w:rPr>
      </w:pPr>
      <w:r>
        <w:rPr>
          <w:rFonts w:hAnsi="宋体"/>
          <w:b w:val="0"/>
          <w:bCs/>
          <w:highlight w:val="none"/>
        </w:rPr>
        <w:t>7.3.3</w:t>
      </w:r>
      <w:r>
        <w:rPr>
          <w:rFonts w:hint="eastAsia" w:asciiTheme="majorEastAsia" w:hAnsiTheme="majorEastAsia" w:eastAsiaTheme="majorEastAsia" w:cstheme="majorEastAsia"/>
          <w:b w:val="0"/>
          <w:bCs/>
          <w:highlight w:val="none"/>
        </w:rPr>
        <w:t>团队总人数不少于</w:t>
      </w:r>
      <w:r>
        <w:rPr>
          <w:rFonts w:hint="eastAsia" w:asciiTheme="majorEastAsia" w:hAnsiTheme="majorEastAsia" w:eastAsiaTheme="majorEastAsia" w:cstheme="majorEastAsia"/>
          <w:b w:val="0"/>
          <w:bCs/>
          <w:highlight w:val="none"/>
          <w:lang w:val="en-US" w:eastAsia="zh-CN"/>
        </w:rPr>
        <w:t>8</w:t>
      </w:r>
      <w:r>
        <w:rPr>
          <w:rFonts w:hint="eastAsia" w:asciiTheme="majorEastAsia" w:hAnsiTheme="majorEastAsia" w:eastAsiaTheme="majorEastAsia" w:cstheme="majorEastAsia"/>
          <w:b w:val="0"/>
          <w:bCs/>
          <w:highlight w:val="none"/>
        </w:rPr>
        <w:t>人，在高强度的值守要求下，投标方须满足人员现场值守合理轮岗。投标方应在技术建议书中明确，参与技术支持服务的团队人员及其简历</w:t>
      </w:r>
      <w:r>
        <w:rPr>
          <w:rFonts w:hint="eastAsia" w:hAnsi="宋体"/>
          <w:b w:val="0"/>
          <w:bCs/>
          <w:highlight w:val="none"/>
        </w:rPr>
        <w:t>。</w:t>
      </w:r>
    </w:p>
    <w:p>
      <w:pPr>
        <w:pageBreakBefore w:val="0"/>
        <w:kinsoku/>
        <w:wordWrap/>
        <w:overflowPunct/>
        <w:topLinePunct w:val="0"/>
        <w:autoSpaceDE/>
        <w:autoSpaceDN/>
        <w:bidi w:val="0"/>
        <w:adjustRightInd/>
        <w:snapToGrid/>
        <w:spacing w:line="360" w:lineRule="auto"/>
        <w:ind w:left="0" w:leftChars="0"/>
        <w:rPr>
          <w:rFonts w:hint="eastAsia" w:hAnsi="宋体"/>
          <w:bCs/>
          <w:highlight w:val="none"/>
        </w:rPr>
      </w:pPr>
      <w:r>
        <w:rPr>
          <w:rFonts w:hint="eastAsia" w:hAnsi="宋体"/>
          <w:bCs/>
          <w:highlight w:val="none"/>
        </w:rPr>
        <w:t>7</w:t>
      </w:r>
      <w:r>
        <w:rPr>
          <w:rFonts w:hAnsi="宋体"/>
          <w:bCs/>
          <w:highlight w:val="none"/>
        </w:rPr>
        <w:t>.3.4</w:t>
      </w:r>
      <w:r>
        <w:rPr>
          <w:rFonts w:hint="eastAsia" w:hAnsi="宋体"/>
          <w:b w:val="0"/>
          <w:bCs/>
          <w:highlight w:val="none"/>
        </w:rPr>
        <w:t>招标方有对投标方所提供的人员进行面试的权利，对于不满足招标方要求的人员，招标方有权要求投标方无条件更换人员，且不能影响项目进度</w:t>
      </w:r>
      <w:r>
        <w:rPr>
          <w:rFonts w:hint="eastAsia" w:hAnsi="宋体"/>
          <w:bCs/>
          <w:highlight w:val="none"/>
        </w:rPr>
        <w:t>。</w:t>
      </w:r>
    </w:p>
    <w:p>
      <w:pPr>
        <w:pageBreakBefore w:val="0"/>
        <w:kinsoku/>
        <w:wordWrap/>
        <w:overflowPunct/>
        <w:topLinePunct w:val="0"/>
        <w:autoSpaceDE/>
        <w:autoSpaceDN/>
        <w:bidi w:val="0"/>
        <w:adjustRightInd/>
        <w:snapToGrid/>
        <w:spacing w:line="360" w:lineRule="auto"/>
        <w:ind w:left="0" w:leftChars="0"/>
        <w:rPr>
          <w:rFonts w:hAnsi="宋体"/>
          <w:b w:val="0"/>
          <w:bCs/>
          <w:highlight w:val="none"/>
        </w:rPr>
      </w:pPr>
      <w:r>
        <w:rPr>
          <w:rFonts w:hint="eastAsia" w:hAnsi="宋体"/>
          <w:bCs/>
          <w:highlight w:val="none"/>
        </w:rPr>
        <w:t>7</w:t>
      </w:r>
      <w:r>
        <w:rPr>
          <w:rFonts w:hAnsi="宋体"/>
          <w:bCs/>
          <w:highlight w:val="none"/>
        </w:rPr>
        <w:t>.3.</w:t>
      </w:r>
      <w:r>
        <w:rPr>
          <w:rFonts w:hint="eastAsia" w:hAnsi="宋体"/>
          <w:bCs/>
          <w:highlight w:val="none"/>
          <w:lang w:val="en-US" w:eastAsia="zh-CN"/>
        </w:rPr>
        <w:t>5</w:t>
      </w:r>
      <w:r>
        <w:rPr>
          <w:rFonts w:hint="eastAsia" w:hAnsi="宋体"/>
          <w:b w:val="0"/>
          <w:bCs/>
          <w:highlight w:val="none"/>
        </w:rPr>
        <w:t>投标方必须向招标方保证实人员组织的稳定性，投标方不得随意抽调。在本项目结束前，参加本项目的人员变动必须取得招标方同意，并立即安排拟订候补人员予以补充。招标方保留拒绝投标人员变更要求的权利。</w:t>
      </w:r>
    </w:p>
    <w:p>
      <w:pPr>
        <w:rPr>
          <w:highlight w:val="none"/>
        </w:rPr>
      </w:pPr>
      <w:r>
        <w:rPr>
          <w:rFonts w:hint="eastAsia" w:hAnsi="宋体"/>
          <w:bCs/>
          <w:highlight w:val="none"/>
        </w:rPr>
        <w:t>7</w:t>
      </w:r>
      <w:r>
        <w:rPr>
          <w:rFonts w:hAnsi="宋体"/>
          <w:bCs/>
          <w:highlight w:val="none"/>
        </w:rPr>
        <w:t>.3.</w:t>
      </w:r>
      <w:r>
        <w:rPr>
          <w:rFonts w:hint="eastAsia" w:hAnsi="宋体"/>
          <w:bCs/>
          <w:highlight w:val="none"/>
          <w:lang w:val="en-US" w:eastAsia="zh-CN"/>
        </w:rPr>
        <w:t>6</w:t>
      </w:r>
      <w:r>
        <w:rPr>
          <w:rFonts w:hint="eastAsia" w:hAnsi="宋体"/>
          <w:bCs/>
          <w:highlight w:val="none"/>
        </w:rPr>
        <w:t>投标方的技术人员应遵守招标方各项规章制度，如有违反制度规定的情况出现时，依章处罚。</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合作项目及设计确认</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为推进项目工作顺利开展，工作产品符合实际需要，招标方需进行全程参与合作项目。</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color w:val="auto"/>
          <w:highlight w:val="none"/>
        </w:rPr>
      </w:pPr>
      <w:r>
        <w:rPr>
          <w:rFonts w:hint="eastAsia" w:hAnsi="宋体" w:cs="宋体"/>
          <w:color w:val="auto"/>
          <w:highlight w:val="none"/>
        </w:rPr>
        <w:t>双方责任</w:t>
      </w:r>
    </w:p>
    <w:p>
      <w:pPr>
        <w:pStyle w:val="32"/>
        <w:pageBreakBefore w:val="0"/>
        <w:widowControl w:val="0"/>
        <w:numPr>
          <w:ilvl w:val="0"/>
          <w:numId w:val="0"/>
        </w:numPr>
        <w:kinsoku/>
        <w:wordWrap/>
        <w:overflowPunct/>
        <w:topLinePunct w:val="0"/>
        <w:autoSpaceDE/>
        <w:autoSpaceDN/>
        <w:bidi w:val="0"/>
        <w:adjustRightInd/>
        <w:snapToGrid/>
        <w:spacing w:beforeAutospacing="0" w:afterAutospacing="0"/>
        <w:textAlignment w:val="auto"/>
        <w:rPr>
          <w:rFonts w:hAnsi="宋体" w:cs="宋体"/>
          <w:highlight w:val="none"/>
        </w:rPr>
      </w:pPr>
      <w:r>
        <w:rPr>
          <w:rFonts w:hint="eastAsia" w:hAnsi="宋体" w:cs="宋体"/>
          <w:color w:val="auto"/>
          <w:highlight w:val="none"/>
        </w:rPr>
        <w:t>在招标方的配合下，投标方全面负责合作配合工作，并作好下述工作：制定合作项目的工作计划并由招标方确认。</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评审与验收</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投标方应负责在项目验收时将项目的全部有关技术文件、资料、测试、验收报告等文档汇集成册交付给招标方。</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招标方可根据合同及招标书和招标方的有关规定进行修改和补充, 经双方确认后形成验收文件作为验收依据。验收评审合格后30日内，若无问题，经双方确认后，签署最终验收文件。</w:t>
      </w:r>
    </w:p>
    <w:p>
      <w:pPr>
        <w:pStyle w:val="28"/>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7</w:t>
      </w:r>
      <w:r>
        <w:rPr>
          <w:rFonts w:hAnsi="宋体" w:cs="宋体"/>
          <w:highlight w:val="none"/>
        </w:rPr>
        <w:t>.5.3</w:t>
      </w:r>
      <w:r>
        <w:rPr>
          <w:rFonts w:hint="eastAsia" w:hAnsi="宋体" w:cs="宋体"/>
          <w:highlight w:val="none"/>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技术资料和文件</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投标方提供的文件和资料应能满足招标方进行维护和进一步完善的需要。</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提供的图纸应符合标准规格。</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highlight w:val="none"/>
        </w:rPr>
      </w:pPr>
      <w:r>
        <w:rPr>
          <w:rFonts w:hAnsi="宋体" w:cs="宋体"/>
          <w:highlight w:val="none"/>
        </w:rPr>
        <w:t>投标方应向招标方提供项目的全部过程资料的电子版</w:t>
      </w:r>
      <w:r>
        <w:rPr>
          <w:rFonts w:hint="eastAsia" w:hAnsi="宋体" w:cs="宋体"/>
          <w:highlight w:val="none"/>
        </w:rPr>
        <w:t>。</w:t>
      </w:r>
    </w:p>
    <w:p>
      <w:pPr>
        <w:pStyle w:val="28"/>
        <w:pageBreakBefore w:val="0"/>
        <w:numPr>
          <w:ilvl w:val="2"/>
          <w:numId w:val="1"/>
        </w:numPr>
        <w:kinsoku/>
        <w:wordWrap/>
        <w:overflowPunct/>
        <w:topLinePunct w:val="0"/>
        <w:autoSpaceDE/>
        <w:autoSpaceDN/>
        <w:bidi w:val="0"/>
        <w:adjustRightInd/>
        <w:snapToGrid/>
        <w:spacing w:line="360" w:lineRule="auto"/>
        <w:ind w:left="0" w:leftChars="0"/>
        <w:rPr>
          <w:rFonts w:hAnsi="宋体" w:cs="宋体"/>
          <w:color w:val="auto"/>
          <w:highlight w:val="none"/>
        </w:rPr>
      </w:pPr>
      <w:r>
        <w:rPr>
          <w:rFonts w:hint="eastAsia" w:hAnsi="宋体" w:cs="宋体"/>
          <w:color w:val="auto"/>
          <w:highlight w:val="none"/>
        </w:rPr>
        <w:t>投标方应按照招标方要求，每周提供项目周报并及时汇报项目进度。</w:t>
      </w: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售后服务</w:t>
      </w:r>
    </w:p>
    <w:p>
      <w:pPr>
        <w:pStyle w:val="28"/>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7</w:t>
      </w:r>
      <w:r>
        <w:rPr>
          <w:rFonts w:hAnsi="宋体" w:cs="宋体"/>
          <w:highlight w:val="none"/>
        </w:rPr>
        <w:t>.7.1</w:t>
      </w:r>
      <w:r>
        <w:rPr>
          <w:rFonts w:hint="eastAsia" w:hAnsi="宋体" w:cs="宋体"/>
          <w:highlight w:val="none"/>
        </w:rPr>
        <w:t>项目验收通过后投标方无需继续提供免费技术咨询服务。</w:t>
      </w:r>
    </w:p>
    <w:p>
      <w:pPr>
        <w:pStyle w:val="28"/>
        <w:pageBreakBefore w:val="0"/>
        <w:kinsoku/>
        <w:wordWrap/>
        <w:overflowPunct/>
        <w:topLinePunct w:val="0"/>
        <w:autoSpaceDE/>
        <w:autoSpaceDN/>
        <w:bidi w:val="0"/>
        <w:adjustRightInd/>
        <w:snapToGrid/>
        <w:spacing w:line="360" w:lineRule="auto"/>
        <w:ind w:left="0" w:leftChars="0"/>
        <w:rPr>
          <w:rFonts w:hAnsi="宋体" w:cs="宋体"/>
          <w:highlight w:val="none"/>
        </w:rPr>
      </w:pPr>
    </w:p>
    <w:p>
      <w:pPr>
        <w:pStyle w:val="3"/>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bookmarkStart w:id="21" w:name="_Toc93490580"/>
      <w:bookmarkStart w:id="22" w:name="_Toc10509"/>
      <w:bookmarkStart w:id="23" w:name="_Toc167003829"/>
      <w:bookmarkStart w:id="24" w:name="_Toc137397828"/>
      <w:bookmarkStart w:id="25" w:name="_Toc529884811"/>
      <w:bookmarkStart w:id="26" w:name="_Toc145626080"/>
      <w:bookmarkStart w:id="27" w:name="_Toc93490630"/>
      <w:bookmarkStart w:id="28" w:name="_Toc351129176"/>
      <w:bookmarkStart w:id="29" w:name="_Toc93490801"/>
      <w:r>
        <w:rPr>
          <w:rFonts w:hint="eastAsia" w:hAnsi="宋体" w:cs="宋体"/>
          <w:szCs w:val="24"/>
          <w:highlight w:val="none"/>
        </w:rPr>
        <w:t>附件</w:t>
      </w:r>
      <w:bookmarkEnd w:id="21"/>
      <w:bookmarkEnd w:id="22"/>
      <w:bookmarkEnd w:id="23"/>
      <w:bookmarkEnd w:id="24"/>
      <w:bookmarkEnd w:id="25"/>
      <w:bookmarkEnd w:id="26"/>
      <w:bookmarkEnd w:id="27"/>
      <w:bookmarkEnd w:id="28"/>
      <w:bookmarkEnd w:id="29"/>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差异表</w:t>
      </w:r>
    </w:p>
    <w:tbl>
      <w:tblPr>
        <w:tblStyle w:val="2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r>
              <w:rPr>
                <w:rFonts w:hint="eastAsia" w:hAnsi="宋体" w:cs="宋体"/>
                <w:highlight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pageBreakBefore w:val="0"/>
              <w:kinsoku/>
              <w:wordWrap/>
              <w:overflowPunct/>
              <w:topLinePunct w:val="0"/>
              <w:autoSpaceDE/>
              <w:autoSpaceDN/>
              <w:bidi w:val="0"/>
              <w:adjustRightInd/>
              <w:snapToGrid/>
              <w:spacing w:line="360" w:lineRule="auto"/>
              <w:ind w:left="0" w:leftChars="0"/>
              <w:rPr>
                <w:rFonts w:hAnsi="宋体" w:cs="宋体"/>
                <w:highlight w:val="none"/>
              </w:rPr>
            </w:pPr>
          </w:p>
        </w:tc>
      </w:tr>
    </w:tbl>
    <w:p>
      <w:pPr>
        <w:pageBreakBefore w:val="0"/>
        <w:kinsoku/>
        <w:wordWrap/>
        <w:overflowPunct/>
        <w:topLinePunct w:val="0"/>
        <w:autoSpaceDE/>
        <w:autoSpaceDN/>
        <w:bidi w:val="0"/>
        <w:adjustRightInd/>
        <w:snapToGrid/>
        <w:spacing w:line="360" w:lineRule="auto"/>
        <w:ind w:left="0" w:leftChars="0"/>
        <w:rPr>
          <w:rFonts w:hAnsi="宋体" w:cs="宋体"/>
          <w:highlight w:val="none"/>
        </w:rPr>
      </w:pPr>
    </w:p>
    <w:p>
      <w:pPr>
        <w:pStyle w:val="4"/>
        <w:pageBreakBefore w:val="0"/>
        <w:kinsoku/>
        <w:wordWrap/>
        <w:overflowPunct/>
        <w:topLinePunct w:val="0"/>
        <w:autoSpaceDE/>
        <w:autoSpaceDN/>
        <w:bidi w:val="0"/>
        <w:adjustRightInd/>
        <w:snapToGrid/>
        <w:spacing w:line="360" w:lineRule="auto"/>
        <w:ind w:left="0" w:leftChars="0"/>
        <w:rPr>
          <w:rFonts w:hAnsi="宋体" w:cs="宋体"/>
          <w:szCs w:val="24"/>
          <w:highlight w:val="none"/>
        </w:rPr>
      </w:pPr>
      <w:r>
        <w:rPr>
          <w:rFonts w:hint="eastAsia" w:hAnsi="宋体" w:cs="宋体"/>
          <w:szCs w:val="24"/>
          <w:highlight w:val="none"/>
        </w:rPr>
        <w:t>投标方需要说明的其它问题</w:t>
      </w:r>
    </w:p>
    <w:p>
      <w:pPr>
        <w:pageBreakBefore w:val="0"/>
        <w:kinsoku/>
        <w:wordWrap/>
        <w:overflowPunct/>
        <w:topLinePunct w:val="0"/>
        <w:autoSpaceDE/>
        <w:autoSpaceDN/>
        <w:bidi w:val="0"/>
        <w:adjustRightInd/>
        <w:snapToGrid/>
        <w:spacing w:line="360" w:lineRule="auto"/>
        <w:ind w:left="0" w:leftChars="0"/>
        <w:rPr>
          <w:rFonts w:hAnsi="宋体" w:cs="宋体"/>
          <w:highlight w:val="none"/>
        </w:rPr>
      </w:pPr>
    </w:p>
    <w:p>
      <w:pPr>
        <w:pageBreakBefore w:val="0"/>
        <w:kinsoku/>
        <w:wordWrap/>
        <w:overflowPunct/>
        <w:topLinePunct w:val="0"/>
        <w:autoSpaceDE/>
        <w:autoSpaceDN/>
        <w:bidi w:val="0"/>
        <w:adjustRightInd/>
        <w:snapToGrid/>
        <w:spacing w:line="360" w:lineRule="auto"/>
        <w:ind w:left="0" w:leftChars="0"/>
        <w:rPr>
          <w:highlight w:val="none"/>
        </w:rPr>
      </w:pPr>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imSun-ExtB">
    <w:panose1 w:val="02010609060101010101"/>
    <w:charset w:val="86"/>
    <w:family w:val="modern"/>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3</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0" distR="0">
          <wp:extent cx="1555750" cy="273050"/>
          <wp:effectExtent l="0" t="0" r="6350" b="0"/>
          <wp:docPr id="1"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55750" cy="2730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default"/>
        <w:b w:val="0"/>
        <w:bCs/>
        <w:i w:val="0"/>
      </w:rPr>
    </w:lvl>
    <w:lvl w:ilvl="3" w:tentative="0">
      <w:start w:val="1"/>
      <w:numFmt w:val="decimal"/>
      <w:pStyle w:val="32"/>
      <w:isLgl/>
      <w:suff w:val="space"/>
      <w:lvlText w:val="%1.%2.%3.%4"/>
      <w:lvlJc w:val="left"/>
      <w:pPr>
        <w:ind w:left="0" w:firstLine="0"/>
      </w:pPr>
      <w:rPr>
        <w:rFonts w:hint="eastAsia" w:ascii="宋体" w:hAnsi="宋体" w:eastAsia="宋体"/>
      </w:rPr>
    </w:lvl>
    <w:lvl w:ilvl="4" w:tentative="0">
      <w:start w:val="1"/>
      <w:numFmt w:val="decimal"/>
      <w:pStyle w:val="45"/>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188D01AE"/>
    <w:multiLevelType w:val="multilevel"/>
    <w:tmpl w:val="188D01AE"/>
    <w:lvl w:ilvl="0" w:tentative="0">
      <w:start w:val="1"/>
      <w:numFmt w:val="decimal"/>
      <w:lvlText w:val="%1"/>
      <w:lvlJc w:val="left"/>
      <w:pPr>
        <w:ind w:left="432" w:hanging="432"/>
      </w:pPr>
      <w:rPr>
        <w:rFonts w:hint="eastAsia"/>
      </w:rPr>
    </w:lvl>
    <w:lvl w:ilvl="1" w:tentative="0">
      <w:start w:val="1"/>
      <w:numFmt w:val="decimal"/>
      <w:isLgl/>
      <w:lvlText w:val="%1.%2"/>
      <w:lvlJc w:val="left"/>
      <w:pPr>
        <w:ind w:left="576" w:hanging="576"/>
      </w:pPr>
      <w:rPr>
        <w:rFonts w:hint="eastAsia"/>
      </w:rPr>
    </w:lvl>
    <w:lvl w:ilvl="2" w:tentative="0">
      <w:start w:val="1"/>
      <w:numFmt w:val="decimal"/>
      <w:pStyle w:val="51"/>
      <w:isLgl/>
      <w:lvlText w:val="%1.%2.%3"/>
      <w:lvlJc w:val="left"/>
      <w:pPr>
        <w:ind w:left="720" w:hanging="720"/>
      </w:pPr>
      <w:rPr>
        <w:rFonts w:hint="eastAsia"/>
        <w:sz w:val="28"/>
        <w:szCs w:val="28"/>
      </w:rPr>
    </w:lvl>
    <w:lvl w:ilvl="3" w:tentative="0">
      <w:start w:val="1"/>
      <w:numFmt w:val="decimal"/>
      <w:pStyle w:val="52"/>
      <w:isLg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trackedChanges" w:enforcement="0"/>
  <w:defaultTabStop w:val="42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0962BE"/>
    <w:rsid w:val="00003565"/>
    <w:rsid w:val="00004664"/>
    <w:rsid w:val="00004C63"/>
    <w:rsid w:val="00006A58"/>
    <w:rsid w:val="000076EF"/>
    <w:rsid w:val="00010702"/>
    <w:rsid w:val="00011490"/>
    <w:rsid w:val="000117A6"/>
    <w:rsid w:val="00012140"/>
    <w:rsid w:val="000136A5"/>
    <w:rsid w:val="0001565A"/>
    <w:rsid w:val="000159C0"/>
    <w:rsid w:val="00016BBD"/>
    <w:rsid w:val="0002084D"/>
    <w:rsid w:val="00021296"/>
    <w:rsid w:val="00021BBC"/>
    <w:rsid w:val="00025267"/>
    <w:rsid w:val="00025AE8"/>
    <w:rsid w:val="0003144E"/>
    <w:rsid w:val="00032833"/>
    <w:rsid w:val="00034BF1"/>
    <w:rsid w:val="00034F54"/>
    <w:rsid w:val="00036A40"/>
    <w:rsid w:val="00037672"/>
    <w:rsid w:val="000402C0"/>
    <w:rsid w:val="00040510"/>
    <w:rsid w:val="00040C81"/>
    <w:rsid w:val="000414FA"/>
    <w:rsid w:val="00041B5C"/>
    <w:rsid w:val="00046C9F"/>
    <w:rsid w:val="000475C1"/>
    <w:rsid w:val="000503A8"/>
    <w:rsid w:val="0005156F"/>
    <w:rsid w:val="00052E78"/>
    <w:rsid w:val="00054F3C"/>
    <w:rsid w:val="00055224"/>
    <w:rsid w:val="000606EF"/>
    <w:rsid w:val="000612EB"/>
    <w:rsid w:val="000621FA"/>
    <w:rsid w:val="00063319"/>
    <w:rsid w:val="000638B8"/>
    <w:rsid w:val="00063B51"/>
    <w:rsid w:val="00065306"/>
    <w:rsid w:val="000669B4"/>
    <w:rsid w:val="0006701A"/>
    <w:rsid w:val="00071A4E"/>
    <w:rsid w:val="00071CBA"/>
    <w:rsid w:val="000721D3"/>
    <w:rsid w:val="00072990"/>
    <w:rsid w:val="00073525"/>
    <w:rsid w:val="00075B56"/>
    <w:rsid w:val="000778CC"/>
    <w:rsid w:val="00081569"/>
    <w:rsid w:val="00085A35"/>
    <w:rsid w:val="000865C8"/>
    <w:rsid w:val="00086F8F"/>
    <w:rsid w:val="00087F48"/>
    <w:rsid w:val="00093F4D"/>
    <w:rsid w:val="000948AF"/>
    <w:rsid w:val="00095537"/>
    <w:rsid w:val="00095740"/>
    <w:rsid w:val="000962BE"/>
    <w:rsid w:val="000A16F7"/>
    <w:rsid w:val="000A4CC9"/>
    <w:rsid w:val="000A6F7A"/>
    <w:rsid w:val="000A783E"/>
    <w:rsid w:val="000B142D"/>
    <w:rsid w:val="000B2008"/>
    <w:rsid w:val="000B26DF"/>
    <w:rsid w:val="000B304A"/>
    <w:rsid w:val="000B3C9A"/>
    <w:rsid w:val="000B4732"/>
    <w:rsid w:val="000B4B67"/>
    <w:rsid w:val="000B5C93"/>
    <w:rsid w:val="000B69B8"/>
    <w:rsid w:val="000B6CA3"/>
    <w:rsid w:val="000B7E70"/>
    <w:rsid w:val="000C095F"/>
    <w:rsid w:val="000C0BA9"/>
    <w:rsid w:val="000C0F9C"/>
    <w:rsid w:val="000C3567"/>
    <w:rsid w:val="000C4294"/>
    <w:rsid w:val="000C5664"/>
    <w:rsid w:val="000C74CC"/>
    <w:rsid w:val="000C7A63"/>
    <w:rsid w:val="000D1B19"/>
    <w:rsid w:val="000D260C"/>
    <w:rsid w:val="000D37F5"/>
    <w:rsid w:val="000D4BD8"/>
    <w:rsid w:val="000D5749"/>
    <w:rsid w:val="000D5AB5"/>
    <w:rsid w:val="000D6994"/>
    <w:rsid w:val="000E2B66"/>
    <w:rsid w:val="000E4401"/>
    <w:rsid w:val="000E7049"/>
    <w:rsid w:val="000E74DC"/>
    <w:rsid w:val="000E7773"/>
    <w:rsid w:val="000F0103"/>
    <w:rsid w:val="000F491A"/>
    <w:rsid w:val="000F4EBC"/>
    <w:rsid w:val="000F7822"/>
    <w:rsid w:val="000F7CD5"/>
    <w:rsid w:val="0010093F"/>
    <w:rsid w:val="001012FC"/>
    <w:rsid w:val="00101802"/>
    <w:rsid w:val="00103CF6"/>
    <w:rsid w:val="00106700"/>
    <w:rsid w:val="00107D5B"/>
    <w:rsid w:val="00110EDD"/>
    <w:rsid w:val="00110FEE"/>
    <w:rsid w:val="00111248"/>
    <w:rsid w:val="00112294"/>
    <w:rsid w:val="0011315F"/>
    <w:rsid w:val="00113438"/>
    <w:rsid w:val="001139E3"/>
    <w:rsid w:val="00115167"/>
    <w:rsid w:val="001169D2"/>
    <w:rsid w:val="00117201"/>
    <w:rsid w:val="001178B4"/>
    <w:rsid w:val="00117F05"/>
    <w:rsid w:val="00120334"/>
    <w:rsid w:val="00120DDE"/>
    <w:rsid w:val="00121123"/>
    <w:rsid w:val="001230B9"/>
    <w:rsid w:val="0012434F"/>
    <w:rsid w:val="00126B8B"/>
    <w:rsid w:val="0013147E"/>
    <w:rsid w:val="001363CF"/>
    <w:rsid w:val="00136D94"/>
    <w:rsid w:val="00136E71"/>
    <w:rsid w:val="00137FA3"/>
    <w:rsid w:val="00141054"/>
    <w:rsid w:val="00141BB0"/>
    <w:rsid w:val="00142C5F"/>
    <w:rsid w:val="00143FD7"/>
    <w:rsid w:val="001446B1"/>
    <w:rsid w:val="001451C9"/>
    <w:rsid w:val="001507FD"/>
    <w:rsid w:val="00151BFF"/>
    <w:rsid w:val="00153627"/>
    <w:rsid w:val="00153DFF"/>
    <w:rsid w:val="00155339"/>
    <w:rsid w:val="00160451"/>
    <w:rsid w:val="00160A72"/>
    <w:rsid w:val="00161B8C"/>
    <w:rsid w:val="00165C92"/>
    <w:rsid w:val="001710B0"/>
    <w:rsid w:val="00171176"/>
    <w:rsid w:val="00171E26"/>
    <w:rsid w:val="001729E7"/>
    <w:rsid w:val="0017349B"/>
    <w:rsid w:val="0017529D"/>
    <w:rsid w:val="001765A9"/>
    <w:rsid w:val="001811F4"/>
    <w:rsid w:val="00181FCA"/>
    <w:rsid w:val="00182CB8"/>
    <w:rsid w:val="00183A4A"/>
    <w:rsid w:val="00187378"/>
    <w:rsid w:val="00191CC6"/>
    <w:rsid w:val="00192B64"/>
    <w:rsid w:val="001A10AF"/>
    <w:rsid w:val="001A13C8"/>
    <w:rsid w:val="001A1B74"/>
    <w:rsid w:val="001A2DF0"/>
    <w:rsid w:val="001A36D8"/>
    <w:rsid w:val="001A4AB2"/>
    <w:rsid w:val="001A4B5C"/>
    <w:rsid w:val="001A6C98"/>
    <w:rsid w:val="001A7D2F"/>
    <w:rsid w:val="001B06D5"/>
    <w:rsid w:val="001B2ACD"/>
    <w:rsid w:val="001B524A"/>
    <w:rsid w:val="001B54AD"/>
    <w:rsid w:val="001C1889"/>
    <w:rsid w:val="001C1ED4"/>
    <w:rsid w:val="001C21C8"/>
    <w:rsid w:val="001C694F"/>
    <w:rsid w:val="001D2BF1"/>
    <w:rsid w:val="001D2D5A"/>
    <w:rsid w:val="001D3B3D"/>
    <w:rsid w:val="001D65EB"/>
    <w:rsid w:val="001E30C7"/>
    <w:rsid w:val="001E384A"/>
    <w:rsid w:val="001E3C00"/>
    <w:rsid w:val="001E5C9F"/>
    <w:rsid w:val="001E6C89"/>
    <w:rsid w:val="001E6FB8"/>
    <w:rsid w:val="001E7CC1"/>
    <w:rsid w:val="001F1127"/>
    <w:rsid w:val="001F19C7"/>
    <w:rsid w:val="001F4291"/>
    <w:rsid w:val="001F68B2"/>
    <w:rsid w:val="001F68BD"/>
    <w:rsid w:val="001F6F02"/>
    <w:rsid w:val="0020139E"/>
    <w:rsid w:val="00201695"/>
    <w:rsid w:val="00203AE5"/>
    <w:rsid w:val="002044C7"/>
    <w:rsid w:val="00211C85"/>
    <w:rsid w:val="00212D7C"/>
    <w:rsid w:val="00213E1C"/>
    <w:rsid w:val="0021472A"/>
    <w:rsid w:val="002154B5"/>
    <w:rsid w:val="002170F2"/>
    <w:rsid w:val="002176FE"/>
    <w:rsid w:val="00220566"/>
    <w:rsid w:val="0022071F"/>
    <w:rsid w:val="00222A63"/>
    <w:rsid w:val="00222DE4"/>
    <w:rsid w:val="00226496"/>
    <w:rsid w:val="00231B8D"/>
    <w:rsid w:val="00233BCB"/>
    <w:rsid w:val="00237C6F"/>
    <w:rsid w:val="00240150"/>
    <w:rsid w:val="00240D19"/>
    <w:rsid w:val="00241CA9"/>
    <w:rsid w:val="002424FC"/>
    <w:rsid w:val="0024281F"/>
    <w:rsid w:val="00242B45"/>
    <w:rsid w:val="002471B2"/>
    <w:rsid w:val="00247542"/>
    <w:rsid w:val="00247FFA"/>
    <w:rsid w:val="002514DF"/>
    <w:rsid w:val="0025443E"/>
    <w:rsid w:val="002545ED"/>
    <w:rsid w:val="00256675"/>
    <w:rsid w:val="002567B5"/>
    <w:rsid w:val="00257088"/>
    <w:rsid w:val="002577B4"/>
    <w:rsid w:val="0026093F"/>
    <w:rsid w:val="00261546"/>
    <w:rsid w:val="00262588"/>
    <w:rsid w:val="00262A68"/>
    <w:rsid w:val="00263235"/>
    <w:rsid w:val="00263C52"/>
    <w:rsid w:val="00264493"/>
    <w:rsid w:val="00265D42"/>
    <w:rsid w:val="00265F68"/>
    <w:rsid w:val="002711BE"/>
    <w:rsid w:val="002721F9"/>
    <w:rsid w:val="002729F8"/>
    <w:rsid w:val="0027482F"/>
    <w:rsid w:val="00274B89"/>
    <w:rsid w:val="00275FC8"/>
    <w:rsid w:val="002818CE"/>
    <w:rsid w:val="00282995"/>
    <w:rsid w:val="002858C2"/>
    <w:rsid w:val="002868A4"/>
    <w:rsid w:val="00287AE1"/>
    <w:rsid w:val="0029072F"/>
    <w:rsid w:val="00291732"/>
    <w:rsid w:val="00292B15"/>
    <w:rsid w:val="00294971"/>
    <w:rsid w:val="002949B0"/>
    <w:rsid w:val="0029513A"/>
    <w:rsid w:val="00295BA1"/>
    <w:rsid w:val="002962C7"/>
    <w:rsid w:val="002A06DE"/>
    <w:rsid w:val="002A1F4D"/>
    <w:rsid w:val="002A3C8C"/>
    <w:rsid w:val="002A6D4B"/>
    <w:rsid w:val="002B0304"/>
    <w:rsid w:val="002B088A"/>
    <w:rsid w:val="002B0FA2"/>
    <w:rsid w:val="002B166E"/>
    <w:rsid w:val="002B2748"/>
    <w:rsid w:val="002B299C"/>
    <w:rsid w:val="002B4315"/>
    <w:rsid w:val="002B53AF"/>
    <w:rsid w:val="002B6C62"/>
    <w:rsid w:val="002B715A"/>
    <w:rsid w:val="002C0C85"/>
    <w:rsid w:val="002C2978"/>
    <w:rsid w:val="002C3412"/>
    <w:rsid w:val="002C417F"/>
    <w:rsid w:val="002C4546"/>
    <w:rsid w:val="002D0D84"/>
    <w:rsid w:val="002D2743"/>
    <w:rsid w:val="002D5779"/>
    <w:rsid w:val="002D6401"/>
    <w:rsid w:val="002D6F3B"/>
    <w:rsid w:val="002D7E1E"/>
    <w:rsid w:val="002E0005"/>
    <w:rsid w:val="002E1938"/>
    <w:rsid w:val="002E1CC5"/>
    <w:rsid w:val="002E549A"/>
    <w:rsid w:val="002E65B4"/>
    <w:rsid w:val="002E72E7"/>
    <w:rsid w:val="002F03CF"/>
    <w:rsid w:val="002F2C7E"/>
    <w:rsid w:val="002F746A"/>
    <w:rsid w:val="002F7A89"/>
    <w:rsid w:val="00301BBF"/>
    <w:rsid w:val="00301F67"/>
    <w:rsid w:val="00302E65"/>
    <w:rsid w:val="0030358F"/>
    <w:rsid w:val="003043C4"/>
    <w:rsid w:val="00305C47"/>
    <w:rsid w:val="0030679D"/>
    <w:rsid w:val="00306A5C"/>
    <w:rsid w:val="003077A5"/>
    <w:rsid w:val="00311C55"/>
    <w:rsid w:val="003135D4"/>
    <w:rsid w:val="00314B5C"/>
    <w:rsid w:val="0032389A"/>
    <w:rsid w:val="00324729"/>
    <w:rsid w:val="00331D00"/>
    <w:rsid w:val="0033344D"/>
    <w:rsid w:val="003340B6"/>
    <w:rsid w:val="00334AE8"/>
    <w:rsid w:val="0034011E"/>
    <w:rsid w:val="00341EEC"/>
    <w:rsid w:val="003439A0"/>
    <w:rsid w:val="0034400A"/>
    <w:rsid w:val="003444D9"/>
    <w:rsid w:val="003445D3"/>
    <w:rsid w:val="003446E9"/>
    <w:rsid w:val="003448D7"/>
    <w:rsid w:val="00345ED8"/>
    <w:rsid w:val="00346CD4"/>
    <w:rsid w:val="0035083F"/>
    <w:rsid w:val="00352EDD"/>
    <w:rsid w:val="00354929"/>
    <w:rsid w:val="00356E5C"/>
    <w:rsid w:val="00362B75"/>
    <w:rsid w:val="003636DA"/>
    <w:rsid w:val="00364428"/>
    <w:rsid w:val="00367B44"/>
    <w:rsid w:val="00373CBC"/>
    <w:rsid w:val="00373CE3"/>
    <w:rsid w:val="00377689"/>
    <w:rsid w:val="0038071C"/>
    <w:rsid w:val="0038252C"/>
    <w:rsid w:val="00383099"/>
    <w:rsid w:val="003860BC"/>
    <w:rsid w:val="003873AC"/>
    <w:rsid w:val="00390E30"/>
    <w:rsid w:val="00390F98"/>
    <w:rsid w:val="00391896"/>
    <w:rsid w:val="00393B50"/>
    <w:rsid w:val="00395D3A"/>
    <w:rsid w:val="00397749"/>
    <w:rsid w:val="003A0F64"/>
    <w:rsid w:val="003A3E86"/>
    <w:rsid w:val="003A42BC"/>
    <w:rsid w:val="003A4838"/>
    <w:rsid w:val="003A5ED9"/>
    <w:rsid w:val="003A5F8D"/>
    <w:rsid w:val="003B17D8"/>
    <w:rsid w:val="003B243A"/>
    <w:rsid w:val="003B3B16"/>
    <w:rsid w:val="003B51C6"/>
    <w:rsid w:val="003B63D1"/>
    <w:rsid w:val="003B659E"/>
    <w:rsid w:val="003B669C"/>
    <w:rsid w:val="003B742F"/>
    <w:rsid w:val="003C04A4"/>
    <w:rsid w:val="003C0F01"/>
    <w:rsid w:val="003C165C"/>
    <w:rsid w:val="003C2A5A"/>
    <w:rsid w:val="003C3B79"/>
    <w:rsid w:val="003C4832"/>
    <w:rsid w:val="003C4AE7"/>
    <w:rsid w:val="003C54B9"/>
    <w:rsid w:val="003C7724"/>
    <w:rsid w:val="003D2D91"/>
    <w:rsid w:val="003D4163"/>
    <w:rsid w:val="003D5348"/>
    <w:rsid w:val="003D7283"/>
    <w:rsid w:val="003D7533"/>
    <w:rsid w:val="003D7D5A"/>
    <w:rsid w:val="003E18C8"/>
    <w:rsid w:val="003E2354"/>
    <w:rsid w:val="003E2520"/>
    <w:rsid w:val="003E6AEE"/>
    <w:rsid w:val="003F0A61"/>
    <w:rsid w:val="003F32EE"/>
    <w:rsid w:val="003F484F"/>
    <w:rsid w:val="003F4BDF"/>
    <w:rsid w:val="003F6A9D"/>
    <w:rsid w:val="004009B0"/>
    <w:rsid w:val="00400AA2"/>
    <w:rsid w:val="00400CC6"/>
    <w:rsid w:val="00401A74"/>
    <w:rsid w:val="00401F7C"/>
    <w:rsid w:val="00403223"/>
    <w:rsid w:val="004033C5"/>
    <w:rsid w:val="0040353B"/>
    <w:rsid w:val="0040397E"/>
    <w:rsid w:val="00404222"/>
    <w:rsid w:val="004051FB"/>
    <w:rsid w:val="00406424"/>
    <w:rsid w:val="00406690"/>
    <w:rsid w:val="00411CD1"/>
    <w:rsid w:val="004126A8"/>
    <w:rsid w:val="00413C5E"/>
    <w:rsid w:val="00414B36"/>
    <w:rsid w:val="00414D80"/>
    <w:rsid w:val="004152C7"/>
    <w:rsid w:val="0041643F"/>
    <w:rsid w:val="00420A01"/>
    <w:rsid w:val="0042152C"/>
    <w:rsid w:val="004240D6"/>
    <w:rsid w:val="00424BB8"/>
    <w:rsid w:val="00431D8E"/>
    <w:rsid w:val="0043294F"/>
    <w:rsid w:val="00432D80"/>
    <w:rsid w:val="0043379F"/>
    <w:rsid w:val="00433A4E"/>
    <w:rsid w:val="00434227"/>
    <w:rsid w:val="00436181"/>
    <w:rsid w:val="004366B8"/>
    <w:rsid w:val="004409F7"/>
    <w:rsid w:val="004419AC"/>
    <w:rsid w:val="00441AB6"/>
    <w:rsid w:val="004420E6"/>
    <w:rsid w:val="0044300F"/>
    <w:rsid w:val="00443308"/>
    <w:rsid w:val="00443370"/>
    <w:rsid w:val="00445271"/>
    <w:rsid w:val="00446014"/>
    <w:rsid w:val="0044638A"/>
    <w:rsid w:val="00446F71"/>
    <w:rsid w:val="00447B6E"/>
    <w:rsid w:val="00455654"/>
    <w:rsid w:val="00460F8F"/>
    <w:rsid w:val="004638CE"/>
    <w:rsid w:val="00464936"/>
    <w:rsid w:val="00464BF1"/>
    <w:rsid w:val="00465816"/>
    <w:rsid w:val="004666C0"/>
    <w:rsid w:val="00466E21"/>
    <w:rsid w:val="004676A8"/>
    <w:rsid w:val="00472584"/>
    <w:rsid w:val="00472EA3"/>
    <w:rsid w:val="004733AF"/>
    <w:rsid w:val="00473C0B"/>
    <w:rsid w:val="0047487D"/>
    <w:rsid w:val="00475ED9"/>
    <w:rsid w:val="00476CA0"/>
    <w:rsid w:val="00477351"/>
    <w:rsid w:val="004776B7"/>
    <w:rsid w:val="0048011B"/>
    <w:rsid w:val="00482482"/>
    <w:rsid w:val="004829D6"/>
    <w:rsid w:val="004845BB"/>
    <w:rsid w:val="00485FE9"/>
    <w:rsid w:val="0048715C"/>
    <w:rsid w:val="0049067F"/>
    <w:rsid w:val="004908C6"/>
    <w:rsid w:val="00490EF8"/>
    <w:rsid w:val="00491593"/>
    <w:rsid w:val="0049285C"/>
    <w:rsid w:val="00495301"/>
    <w:rsid w:val="00495910"/>
    <w:rsid w:val="004964CB"/>
    <w:rsid w:val="004A205D"/>
    <w:rsid w:val="004A2BFE"/>
    <w:rsid w:val="004A43C1"/>
    <w:rsid w:val="004A4D97"/>
    <w:rsid w:val="004A4E80"/>
    <w:rsid w:val="004A508C"/>
    <w:rsid w:val="004A5AD1"/>
    <w:rsid w:val="004A6071"/>
    <w:rsid w:val="004A644D"/>
    <w:rsid w:val="004B1BB7"/>
    <w:rsid w:val="004B241D"/>
    <w:rsid w:val="004B7160"/>
    <w:rsid w:val="004C0C8B"/>
    <w:rsid w:val="004C57E1"/>
    <w:rsid w:val="004D266B"/>
    <w:rsid w:val="004D62FA"/>
    <w:rsid w:val="004D6C59"/>
    <w:rsid w:val="004D7449"/>
    <w:rsid w:val="004D77EE"/>
    <w:rsid w:val="004E0464"/>
    <w:rsid w:val="004E25D4"/>
    <w:rsid w:val="004E25DD"/>
    <w:rsid w:val="004E4003"/>
    <w:rsid w:val="004E4C73"/>
    <w:rsid w:val="004E67B9"/>
    <w:rsid w:val="004F0F7E"/>
    <w:rsid w:val="004F1199"/>
    <w:rsid w:val="004F15DC"/>
    <w:rsid w:val="004F1AC4"/>
    <w:rsid w:val="004F4988"/>
    <w:rsid w:val="004F4F99"/>
    <w:rsid w:val="004F5FED"/>
    <w:rsid w:val="004F7440"/>
    <w:rsid w:val="004F7D58"/>
    <w:rsid w:val="0050091B"/>
    <w:rsid w:val="00500D21"/>
    <w:rsid w:val="00504A16"/>
    <w:rsid w:val="00505884"/>
    <w:rsid w:val="0051388C"/>
    <w:rsid w:val="0051500E"/>
    <w:rsid w:val="00522D2A"/>
    <w:rsid w:val="005240A9"/>
    <w:rsid w:val="00526CF3"/>
    <w:rsid w:val="0053030B"/>
    <w:rsid w:val="00530603"/>
    <w:rsid w:val="005316A7"/>
    <w:rsid w:val="00531CDA"/>
    <w:rsid w:val="00532AD6"/>
    <w:rsid w:val="0053361A"/>
    <w:rsid w:val="005351AB"/>
    <w:rsid w:val="0053572D"/>
    <w:rsid w:val="00536E10"/>
    <w:rsid w:val="00536F68"/>
    <w:rsid w:val="00540507"/>
    <w:rsid w:val="00541F97"/>
    <w:rsid w:val="005445A1"/>
    <w:rsid w:val="00544E35"/>
    <w:rsid w:val="00546845"/>
    <w:rsid w:val="00552B2D"/>
    <w:rsid w:val="00553C25"/>
    <w:rsid w:val="00556DD9"/>
    <w:rsid w:val="005570C1"/>
    <w:rsid w:val="00561132"/>
    <w:rsid w:val="00562162"/>
    <w:rsid w:val="005625C9"/>
    <w:rsid w:val="00563B71"/>
    <w:rsid w:val="00564686"/>
    <w:rsid w:val="00566B01"/>
    <w:rsid w:val="00566C97"/>
    <w:rsid w:val="005670D9"/>
    <w:rsid w:val="00567E6D"/>
    <w:rsid w:val="005703BB"/>
    <w:rsid w:val="00570ED7"/>
    <w:rsid w:val="0057100D"/>
    <w:rsid w:val="00571160"/>
    <w:rsid w:val="005720D7"/>
    <w:rsid w:val="00572B9B"/>
    <w:rsid w:val="005737F0"/>
    <w:rsid w:val="005741CA"/>
    <w:rsid w:val="00574961"/>
    <w:rsid w:val="0058128D"/>
    <w:rsid w:val="0058247E"/>
    <w:rsid w:val="00582AF4"/>
    <w:rsid w:val="00585929"/>
    <w:rsid w:val="00585BFF"/>
    <w:rsid w:val="005871B3"/>
    <w:rsid w:val="00590C3A"/>
    <w:rsid w:val="00590F52"/>
    <w:rsid w:val="005923BC"/>
    <w:rsid w:val="0059264A"/>
    <w:rsid w:val="00595098"/>
    <w:rsid w:val="0059552A"/>
    <w:rsid w:val="00595B2D"/>
    <w:rsid w:val="005A055D"/>
    <w:rsid w:val="005A0895"/>
    <w:rsid w:val="005A1FE1"/>
    <w:rsid w:val="005A3339"/>
    <w:rsid w:val="005A5A38"/>
    <w:rsid w:val="005A78C1"/>
    <w:rsid w:val="005B1A98"/>
    <w:rsid w:val="005B1CEF"/>
    <w:rsid w:val="005B341A"/>
    <w:rsid w:val="005B4BBE"/>
    <w:rsid w:val="005B533D"/>
    <w:rsid w:val="005B70D5"/>
    <w:rsid w:val="005C2F32"/>
    <w:rsid w:val="005C537D"/>
    <w:rsid w:val="005C5E72"/>
    <w:rsid w:val="005D0109"/>
    <w:rsid w:val="005D2FCB"/>
    <w:rsid w:val="005D60C3"/>
    <w:rsid w:val="005E0AB2"/>
    <w:rsid w:val="005E1BDF"/>
    <w:rsid w:val="005E36BA"/>
    <w:rsid w:val="005E39D8"/>
    <w:rsid w:val="005E4917"/>
    <w:rsid w:val="005F00BC"/>
    <w:rsid w:val="005F1064"/>
    <w:rsid w:val="005F1849"/>
    <w:rsid w:val="005F5A05"/>
    <w:rsid w:val="005F5AB0"/>
    <w:rsid w:val="005F700D"/>
    <w:rsid w:val="006002DE"/>
    <w:rsid w:val="0060097D"/>
    <w:rsid w:val="00601A5D"/>
    <w:rsid w:val="00601FA0"/>
    <w:rsid w:val="00604A5D"/>
    <w:rsid w:val="00605826"/>
    <w:rsid w:val="00611494"/>
    <w:rsid w:val="00611BAD"/>
    <w:rsid w:val="00613486"/>
    <w:rsid w:val="00613BC1"/>
    <w:rsid w:val="00614DA3"/>
    <w:rsid w:val="00614DDC"/>
    <w:rsid w:val="00615984"/>
    <w:rsid w:val="00617F48"/>
    <w:rsid w:val="006207E6"/>
    <w:rsid w:val="006228C8"/>
    <w:rsid w:val="00622AF0"/>
    <w:rsid w:val="00622E32"/>
    <w:rsid w:val="00623282"/>
    <w:rsid w:val="00623821"/>
    <w:rsid w:val="006259A2"/>
    <w:rsid w:val="006271A0"/>
    <w:rsid w:val="00627D40"/>
    <w:rsid w:val="00627E54"/>
    <w:rsid w:val="0063040E"/>
    <w:rsid w:val="00630950"/>
    <w:rsid w:val="00630BEB"/>
    <w:rsid w:val="0063179B"/>
    <w:rsid w:val="0063483F"/>
    <w:rsid w:val="00635890"/>
    <w:rsid w:val="00637798"/>
    <w:rsid w:val="006416B8"/>
    <w:rsid w:val="0064260F"/>
    <w:rsid w:val="006456B5"/>
    <w:rsid w:val="00645AC3"/>
    <w:rsid w:val="00645FFC"/>
    <w:rsid w:val="006462B3"/>
    <w:rsid w:val="00651AA6"/>
    <w:rsid w:val="006543C5"/>
    <w:rsid w:val="006622B7"/>
    <w:rsid w:val="006624C7"/>
    <w:rsid w:val="00663577"/>
    <w:rsid w:val="0066401A"/>
    <w:rsid w:val="006643C1"/>
    <w:rsid w:val="00664790"/>
    <w:rsid w:val="00665D53"/>
    <w:rsid w:val="00667256"/>
    <w:rsid w:val="00670FB1"/>
    <w:rsid w:val="00671126"/>
    <w:rsid w:val="006713C0"/>
    <w:rsid w:val="00673708"/>
    <w:rsid w:val="006748DA"/>
    <w:rsid w:val="006757FD"/>
    <w:rsid w:val="00675A9F"/>
    <w:rsid w:val="00676783"/>
    <w:rsid w:val="0067797E"/>
    <w:rsid w:val="0068391F"/>
    <w:rsid w:val="006849B4"/>
    <w:rsid w:val="00685457"/>
    <w:rsid w:val="00685737"/>
    <w:rsid w:val="00691421"/>
    <w:rsid w:val="00691674"/>
    <w:rsid w:val="006925B3"/>
    <w:rsid w:val="00695463"/>
    <w:rsid w:val="00695AFB"/>
    <w:rsid w:val="00697CF1"/>
    <w:rsid w:val="006A0FA7"/>
    <w:rsid w:val="006A1DCF"/>
    <w:rsid w:val="006A40A1"/>
    <w:rsid w:val="006A4F19"/>
    <w:rsid w:val="006A57BD"/>
    <w:rsid w:val="006A7161"/>
    <w:rsid w:val="006B2B07"/>
    <w:rsid w:val="006B5341"/>
    <w:rsid w:val="006B6335"/>
    <w:rsid w:val="006B6384"/>
    <w:rsid w:val="006B6D7A"/>
    <w:rsid w:val="006B712C"/>
    <w:rsid w:val="006B7EC3"/>
    <w:rsid w:val="006C0CAE"/>
    <w:rsid w:val="006C2F0F"/>
    <w:rsid w:val="006C3CB6"/>
    <w:rsid w:val="006C515B"/>
    <w:rsid w:val="006C5979"/>
    <w:rsid w:val="006C673F"/>
    <w:rsid w:val="006D08B8"/>
    <w:rsid w:val="006D4CC2"/>
    <w:rsid w:val="006D5F43"/>
    <w:rsid w:val="006D6A89"/>
    <w:rsid w:val="006E0E29"/>
    <w:rsid w:val="006E0E90"/>
    <w:rsid w:val="006E2175"/>
    <w:rsid w:val="006E426B"/>
    <w:rsid w:val="006E5325"/>
    <w:rsid w:val="006E58E1"/>
    <w:rsid w:val="006E5CF4"/>
    <w:rsid w:val="006E6910"/>
    <w:rsid w:val="006E6A80"/>
    <w:rsid w:val="006E7801"/>
    <w:rsid w:val="006E7E4A"/>
    <w:rsid w:val="006F0029"/>
    <w:rsid w:val="006F2159"/>
    <w:rsid w:val="006F32EE"/>
    <w:rsid w:val="006F4B66"/>
    <w:rsid w:val="006F4C00"/>
    <w:rsid w:val="006F6A16"/>
    <w:rsid w:val="00702C8B"/>
    <w:rsid w:val="00704741"/>
    <w:rsid w:val="00706ED7"/>
    <w:rsid w:val="007079CC"/>
    <w:rsid w:val="007101D1"/>
    <w:rsid w:val="00711AA2"/>
    <w:rsid w:val="00712F0B"/>
    <w:rsid w:val="007145D1"/>
    <w:rsid w:val="00714626"/>
    <w:rsid w:val="007151D0"/>
    <w:rsid w:val="007151D8"/>
    <w:rsid w:val="00725564"/>
    <w:rsid w:val="00725F29"/>
    <w:rsid w:val="00731240"/>
    <w:rsid w:val="00731586"/>
    <w:rsid w:val="00731A49"/>
    <w:rsid w:val="00731BD0"/>
    <w:rsid w:val="00736580"/>
    <w:rsid w:val="00741BE3"/>
    <w:rsid w:val="0074416E"/>
    <w:rsid w:val="0074597B"/>
    <w:rsid w:val="00745E2A"/>
    <w:rsid w:val="00745F17"/>
    <w:rsid w:val="00747F2E"/>
    <w:rsid w:val="00753437"/>
    <w:rsid w:val="0075348E"/>
    <w:rsid w:val="00753535"/>
    <w:rsid w:val="00753B35"/>
    <w:rsid w:val="0075424D"/>
    <w:rsid w:val="007565C0"/>
    <w:rsid w:val="007572DD"/>
    <w:rsid w:val="007573C9"/>
    <w:rsid w:val="00757618"/>
    <w:rsid w:val="007603E5"/>
    <w:rsid w:val="00762035"/>
    <w:rsid w:val="007627CA"/>
    <w:rsid w:val="00762A60"/>
    <w:rsid w:val="0076364E"/>
    <w:rsid w:val="00763B95"/>
    <w:rsid w:val="00763C76"/>
    <w:rsid w:val="00764777"/>
    <w:rsid w:val="00765B12"/>
    <w:rsid w:val="00767C20"/>
    <w:rsid w:val="00770261"/>
    <w:rsid w:val="00771282"/>
    <w:rsid w:val="00776091"/>
    <w:rsid w:val="007810F3"/>
    <w:rsid w:val="007835F7"/>
    <w:rsid w:val="0078647E"/>
    <w:rsid w:val="00786ABB"/>
    <w:rsid w:val="00790856"/>
    <w:rsid w:val="00790AF8"/>
    <w:rsid w:val="00792E0F"/>
    <w:rsid w:val="007946F7"/>
    <w:rsid w:val="007949D9"/>
    <w:rsid w:val="0079659D"/>
    <w:rsid w:val="007A13C3"/>
    <w:rsid w:val="007A1D2B"/>
    <w:rsid w:val="007A224D"/>
    <w:rsid w:val="007A29C8"/>
    <w:rsid w:val="007A3AEC"/>
    <w:rsid w:val="007A660E"/>
    <w:rsid w:val="007A73CD"/>
    <w:rsid w:val="007A7559"/>
    <w:rsid w:val="007B1470"/>
    <w:rsid w:val="007B14B6"/>
    <w:rsid w:val="007B19C8"/>
    <w:rsid w:val="007B5199"/>
    <w:rsid w:val="007B6B25"/>
    <w:rsid w:val="007B6F70"/>
    <w:rsid w:val="007B7261"/>
    <w:rsid w:val="007C0D7E"/>
    <w:rsid w:val="007C1B0E"/>
    <w:rsid w:val="007C5110"/>
    <w:rsid w:val="007C5DB5"/>
    <w:rsid w:val="007C6346"/>
    <w:rsid w:val="007D32AC"/>
    <w:rsid w:val="007D3300"/>
    <w:rsid w:val="007D3EC2"/>
    <w:rsid w:val="007E095F"/>
    <w:rsid w:val="007E1932"/>
    <w:rsid w:val="007E1C9F"/>
    <w:rsid w:val="007E2BAF"/>
    <w:rsid w:val="007E62BD"/>
    <w:rsid w:val="007E6A7E"/>
    <w:rsid w:val="007E6BE2"/>
    <w:rsid w:val="007E6D4A"/>
    <w:rsid w:val="007F0F43"/>
    <w:rsid w:val="007F40F5"/>
    <w:rsid w:val="007F472D"/>
    <w:rsid w:val="007F5D26"/>
    <w:rsid w:val="007F5EC0"/>
    <w:rsid w:val="007F7847"/>
    <w:rsid w:val="007F7C25"/>
    <w:rsid w:val="008005E0"/>
    <w:rsid w:val="00800985"/>
    <w:rsid w:val="00802EBA"/>
    <w:rsid w:val="00803E0A"/>
    <w:rsid w:val="0080428E"/>
    <w:rsid w:val="00805534"/>
    <w:rsid w:val="008060D8"/>
    <w:rsid w:val="0080757D"/>
    <w:rsid w:val="00807672"/>
    <w:rsid w:val="00810CCE"/>
    <w:rsid w:val="00811F1B"/>
    <w:rsid w:val="00812465"/>
    <w:rsid w:val="008125FF"/>
    <w:rsid w:val="008132B9"/>
    <w:rsid w:val="00813DDF"/>
    <w:rsid w:val="00816273"/>
    <w:rsid w:val="008162B0"/>
    <w:rsid w:val="00816D46"/>
    <w:rsid w:val="00817322"/>
    <w:rsid w:val="00821D31"/>
    <w:rsid w:val="008245C5"/>
    <w:rsid w:val="00827D8D"/>
    <w:rsid w:val="008305EB"/>
    <w:rsid w:val="00830666"/>
    <w:rsid w:val="00832116"/>
    <w:rsid w:val="00832FFB"/>
    <w:rsid w:val="00834826"/>
    <w:rsid w:val="008356D5"/>
    <w:rsid w:val="00836CB8"/>
    <w:rsid w:val="008418A5"/>
    <w:rsid w:val="00844DBA"/>
    <w:rsid w:val="00850F4D"/>
    <w:rsid w:val="008513C9"/>
    <w:rsid w:val="008515E7"/>
    <w:rsid w:val="008534A5"/>
    <w:rsid w:val="0085437F"/>
    <w:rsid w:val="00855287"/>
    <w:rsid w:val="00855891"/>
    <w:rsid w:val="00856866"/>
    <w:rsid w:val="008601AE"/>
    <w:rsid w:val="00862700"/>
    <w:rsid w:val="008678B4"/>
    <w:rsid w:val="00867B14"/>
    <w:rsid w:val="008709BC"/>
    <w:rsid w:val="00871D25"/>
    <w:rsid w:val="00871DB3"/>
    <w:rsid w:val="0087399F"/>
    <w:rsid w:val="0087406B"/>
    <w:rsid w:val="0087535F"/>
    <w:rsid w:val="00875597"/>
    <w:rsid w:val="008761A3"/>
    <w:rsid w:val="00876F59"/>
    <w:rsid w:val="00877984"/>
    <w:rsid w:val="00880C91"/>
    <w:rsid w:val="00881940"/>
    <w:rsid w:val="00881FC1"/>
    <w:rsid w:val="0088220B"/>
    <w:rsid w:val="008827A1"/>
    <w:rsid w:val="00882C65"/>
    <w:rsid w:val="00882C93"/>
    <w:rsid w:val="00883741"/>
    <w:rsid w:val="008845C7"/>
    <w:rsid w:val="0088475D"/>
    <w:rsid w:val="0088701F"/>
    <w:rsid w:val="0088791C"/>
    <w:rsid w:val="00887BC5"/>
    <w:rsid w:val="008921C4"/>
    <w:rsid w:val="00892A46"/>
    <w:rsid w:val="00894205"/>
    <w:rsid w:val="008971FD"/>
    <w:rsid w:val="00897415"/>
    <w:rsid w:val="0089778F"/>
    <w:rsid w:val="008A3119"/>
    <w:rsid w:val="008A5346"/>
    <w:rsid w:val="008A5548"/>
    <w:rsid w:val="008A6BAB"/>
    <w:rsid w:val="008A71DA"/>
    <w:rsid w:val="008A71F9"/>
    <w:rsid w:val="008A73A8"/>
    <w:rsid w:val="008B1B63"/>
    <w:rsid w:val="008B2748"/>
    <w:rsid w:val="008B560F"/>
    <w:rsid w:val="008B6704"/>
    <w:rsid w:val="008C17C5"/>
    <w:rsid w:val="008C1AFD"/>
    <w:rsid w:val="008C41C6"/>
    <w:rsid w:val="008C5C6A"/>
    <w:rsid w:val="008C662A"/>
    <w:rsid w:val="008D31F1"/>
    <w:rsid w:val="008D415F"/>
    <w:rsid w:val="008D59F9"/>
    <w:rsid w:val="008D6848"/>
    <w:rsid w:val="008D71E0"/>
    <w:rsid w:val="008E1F65"/>
    <w:rsid w:val="008E26E3"/>
    <w:rsid w:val="008E2820"/>
    <w:rsid w:val="008E531F"/>
    <w:rsid w:val="008E64BF"/>
    <w:rsid w:val="008F1C04"/>
    <w:rsid w:val="008F3E6A"/>
    <w:rsid w:val="008F3F6A"/>
    <w:rsid w:val="008F4707"/>
    <w:rsid w:val="008F6215"/>
    <w:rsid w:val="00900CD2"/>
    <w:rsid w:val="00901560"/>
    <w:rsid w:val="00903086"/>
    <w:rsid w:val="00903377"/>
    <w:rsid w:val="00904506"/>
    <w:rsid w:val="00904695"/>
    <w:rsid w:val="00904B42"/>
    <w:rsid w:val="00906D26"/>
    <w:rsid w:val="00913363"/>
    <w:rsid w:val="009159BA"/>
    <w:rsid w:val="00915F28"/>
    <w:rsid w:val="00917929"/>
    <w:rsid w:val="009208B8"/>
    <w:rsid w:val="00921E10"/>
    <w:rsid w:val="0092258C"/>
    <w:rsid w:val="00923D82"/>
    <w:rsid w:val="00925FA9"/>
    <w:rsid w:val="009269DF"/>
    <w:rsid w:val="00930F61"/>
    <w:rsid w:val="00930F8A"/>
    <w:rsid w:val="00931E1B"/>
    <w:rsid w:val="00932112"/>
    <w:rsid w:val="00933DF4"/>
    <w:rsid w:val="00933FF8"/>
    <w:rsid w:val="009347EA"/>
    <w:rsid w:val="00934B17"/>
    <w:rsid w:val="00937CE7"/>
    <w:rsid w:val="00940273"/>
    <w:rsid w:val="00941261"/>
    <w:rsid w:val="00941460"/>
    <w:rsid w:val="0094201D"/>
    <w:rsid w:val="00942C65"/>
    <w:rsid w:val="0094450C"/>
    <w:rsid w:val="00945FB7"/>
    <w:rsid w:val="009464F6"/>
    <w:rsid w:val="009473C7"/>
    <w:rsid w:val="009479E9"/>
    <w:rsid w:val="0095067A"/>
    <w:rsid w:val="00950D32"/>
    <w:rsid w:val="00952057"/>
    <w:rsid w:val="00952650"/>
    <w:rsid w:val="00956F20"/>
    <w:rsid w:val="00960E3C"/>
    <w:rsid w:val="00963097"/>
    <w:rsid w:val="00963F2C"/>
    <w:rsid w:val="009647FB"/>
    <w:rsid w:val="009660AB"/>
    <w:rsid w:val="00970039"/>
    <w:rsid w:val="009706C1"/>
    <w:rsid w:val="009709B1"/>
    <w:rsid w:val="00972774"/>
    <w:rsid w:val="00972B83"/>
    <w:rsid w:val="00972F44"/>
    <w:rsid w:val="00975208"/>
    <w:rsid w:val="00980750"/>
    <w:rsid w:val="0098093E"/>
    <w:rsid w:val="009821E1"/>
    <w:rsid w:val="009848A6"/>
    <w:rsid w:val="00985FBE"/>
    <w:rsid w:val="00987318"/>
    <w:rsid w:val="009910FD"/>
    <w:rsid w:val="00992A7A"/>
    <w:rsid w:val="009938D8"/>
    <w:rsid w:val="00994DFA"/>
    <w:rsid w:val="00995B14"/>
    <w:rsid w:val="00995CE8"/>
    <w:rsid w:val="00995DB1"/>
    <w:rsid w:val="0099760F"/>
    <w:rsid w:val="009A0391"/>
    <w:rsid w:val="009A09CF"/>
    <w:rsid w:val="009A1B2D"/>
    <w:rsid w:val="009A3EEA"/>
    <w:rsid w:val="009A4692"/>
    <w:rsid w:val="009A48ED"/>
    <w:rsid w:val="009A57E5"/>
    <w:rsid w:val="009A6898"/>
    <w:rsid w:val="009A6B72"/>
    <w:rsid w:val="009A6F21"/>
    <w:rsid w:val="009B2F7D"/>
    <w:rsid w:val="009B3BE1"/>
    <w:rsid w:val="009B5A6D"/>
    <w:rsid w:val="009B5C37"/>
    <w:rsid w:val="009C0545"/>
    <w:rsid w:val="009C2304"/>
    <w:rsid w:val="009C2FC5"/>
    <w:rsid w:val="009C3C13"/>
    <w:rsid w:val="009C474F"/>
    <w:rsid w:val="009C5FAE"/>
    <w:rsid w:val="009C61B9"/>
    <w:rsid w:val="009C6B54"/>
    <w:rsid w:val="009C73F6"/>
    <w:rsid w:val="009C7431"/>
    <w:rsid w:val="009C76B7"/>
    <w:rsid w:val="009D01EE"/>
    <w:rsid w:val="009D0A34"/>
    <w:rsid w:val="009D2C4D"/>
    <w:rsid w:val="009D4C4F"/>
    <w:rsid w:val="009D4EF7"/>
    <w:rsid w:val="009D5ED7"/>
    <w:rsid w:val="009D64F3"/>
    <w:rsid w:val="009E0ED6"/>
    <w:rsid w:val="009E2A34"/>
    <w:rsid w:val="009E3BF5"/>
    <w:rsid w:val="009E4040"/>
    <w:rsid w:val="009E455E"/>
    <w:rsid w:val="009E4CCB"/>
    <w:rsid w:val="009E4D41"/>
    <w:rsid w:val="009E4F3C"/>
    <w:rsid w:val="009E6750"/>
    <w:rsid w:val="009E70B0"/>
    <w:rsid w:val="009F065F"/>
    <w:rsid w:val="009F1A1B"/>
    <w:rsid w:val="009F229E"/>
    <w:rsid w:val="009F41E4"/>
    <w:rsid w:val="009F451B"/>
    <w:rsid w:val="009F76FC"/>
    <w:rsid w:val="00A0141D"/>
    <w:rsid w:val="00A0417D"/>
    <w:rsid w:val="00A041AB"/>
    <w:rsid w:val="00A061B6"/>
    <w:rsid w:val="00A06A17"/>
    <w:rsid w:val="00A07F26"/>
    <w:rsid w:val="00A10E5F"/>
    <w:rsid w:val="00A11A5D"/>
    <w:rsid w:val="00A14178"/>
    <w:rsid w:val="00A22337"/>
    <w:rsid w:val="00A23868"/>
    <w:rsid w:val="00A2535E"/>
    <w:rsid w:val="00A255DC"/>
    <w:rsid w:val="00A25803"/>
    <w:rsid w:val="00A311A9"/>
    <w:rsid w:val="00A3476C"/>
    <w:rsid w:val="00A36793"/>
    <w:rsid w:val="00A36FF6"/>
    <w:rsid w:val="00A37CD6"/>
    <w:rsid w:val="00A37CE4"/>
    <w:rsid w:val="00A4118D"/>
    <w:rsid w:val="00A42323"/>
    <w:rsid w:val="00A43FF1"/>
    <w:rsid w:val="00A443DF"/>
    <w:rsid w:val="00A44412"/>
    <w:rsid w:val="00A4496C"/>
    <w:rsid w:val="00A45649"/>
    <w:rsid w:val="00A4670E"/>
    <w:rsid w:val="00A47D14"/>
    <w:rsid w:val="00A50306"/>
    <w:rsid w:val="00A507EB"/>
    <w:rsid w:val="00A51378"/>
    <w:rsid w:val="00A546BD"/>
    <w:rsid w:val="00A55CFD"/>
    <w:rsid w:val="00A55D1B"/>
    <w:rsid w:val="00A603D7"/>
    <w:rsid w:val="00A63160"/>
    <w:rsid w:val="00A649BE"/>
    <w:rsid w:val="00A67EB2"/>
    <w:rsid w:val="00A7072F"/>
    <w:rsid w:val="00A70A45"/>
    <w:rsid w:val="00A70A89"/>
    <w:rsid w:val="00A72B43"/>
    <w:rsid w:val="00A749C5"/>
    <w:rsid w:val="00A755C8"/>
    <w:rsid w:val="00A76D9F"/>
    <w:rsid w:val="00A76DE2"/>
    <w:rsid w:val="00A772DB"/>
    <w:rsid w:val="00A77D9A"/>
    <w:rsid w:val="00A80115"/>
    <w:rsid w:val="00A8105B"/>
    <w:rsid w:val="00A8237F"/>
    <w:rsid w:val="00A8256B"/>
    <w:rsid w:val="00A82869"/>
    <w:rsid w:val="00A82ECB"/>
    <w:rsid w:val="00A83A4A"/>
    <w:rsid w:val="00A84225"/>
    <w:rsid w:val="00A852C3"/>
    <w:rsid w:val="00A85795"/>
    <w:rsid w:val="00A85A77"/>
    <w:rsid w:val="00A8624A"/>
    <w:rsid w:val="00A91BDF"/>
    <w:rsid w:val="00A9219D"/>
    <w:rsid w:val="00A926E1"/>
    <w:rsid w:val="00A933A5"/>
    <w:rsid w:val="00A934E8"/>
    <w:rsid w:val="00A94D8A"/>
    <w:rsid w:val="00A95D92"/>
    <w:rsid w:val="00A9644C"/>
    <w:rsid w:val="00A97769"/>
    <w:rsid w:val="00A97E95"/>
    <w:rsid w:val="00AA075B"/>
    <w:rsid w:val="00AA30FC"/>
    <w:rsid w:val="00AA313B"/>
    <w:rsid w:val="00AA359D"/>
    <w:rsid w:val="00AA38DF"/>
    <w:rsid w:val="00AA5451"/>
    <w:rsid w:val="00AA6ED4"/>
    <w:rsid w:val="00AA7C0B"/>
    <w:rsid w:val="00AB08AE"/>
    <w:rsid w:val="00AB2895"/>
    <w:rsid w:val="00AB35CD"/>
    <w:rsid w:val="00AB3BEB"/>
    <w:rsid w:val="00AB4228"/>
    <w:rsid w:val="00AB427C"/>
    <w:rsid w:val="00AB6FFF"/>
    <w:rsid w:val="00AB7F90"/>
    <w:rsid w:val="00AC3D9A"/>
    <w:rsid w:val="00AC42EB"/>
    <w:rsid w:val="00AC7187"/>
    <w:rsid w:val="00AC7594"/>
    <w:rsid w:val="00AC7B2F"/>
    <w:rsid w:val="00AD31FE"/>
    <w:rsid w:val="00AD44AF"/>
    <w:rsid w:val="00AD59DB"/>
    <w:rsid w:val="00AD6720"/>
    <w:rsid w:val="00AD6D45"/>
    <w:rsid w:val="00AE0A77"/>
    <w:rsid w:val="00AE2324"/>
    <w:rsid w:val="00AE282E"/>
    <w:rsid w:val="00AE5344"/>
    <w:rsid w:val="00AE7168"/>
    <w:rsid w:val="00AF2A50"/>
    <w:rsid w:val="00AF2F05"/>
    <w:rsid w:val="00AF3F33"/>
    <w:rsid w:val="00AF4164"/>
    <w:rsid w:val="00AF5F05"/>
    <w:rsid w:val="00AF7524"/>
    <w:rsid w:val="00B0086A"/>
    <w:rsid w:val="00B00BAC"/>
    <w:rsid w:val="00B01589"/>
    <w:rsid w:val="00B02662"/>
    <w:rsid w:val="00B0305E"/>
    <w:rsid w:val="00B0403B"/>
    <w:rsid w:val="00B04438"/>
    <w:rsid w:val="00B05488"/>
    <w:rsid w:val="00B11B53"/>
    <w:rsid w:val="00B132CD"/>
    <w:rsid w:val="00B14C46"/>
    <w:rsid w:val="00B176CF"/>
    <w:rsid w:val="00B17F37"/>
    <w:rsid w:val="00B201CC"/>
    <w:rsid w:val="00B219D2"/>
    <w:rsid w:val="00B21B4D"/>
    <w:rsid w:val="00B21DD4"/>
    <w:rsid w:val="00B2206D"/>
    <w:rsid w:val="00B2208B"/>
    <w:rsid w:val="00B24AF8"/>
    <w:rsid w:val="00B24CA2"/>
    <w:rsid w:val="00B24D28"/>
    <w:rsid w:val="00B24DC0"/>
    <w:rsid w:val="00B24EB3"/>
    <w:rsid w:val="00B252CE"/>
    <w:rsid w:val="00B2572F"/>
    <w:rsid w:val="00B25892"/>
    <w:rsid w:val="00B279EB"/>
    <w:rsid w:val="00B30D28"/>
    <w:rsid w:val="00B30F7A"/>
    <w:rsid w:val="00B344A1"/>
    <w:rsid w:val="00B347C1"/>
    <w:rsid w:val="00B34B37"/>
    <w:rsid w:val="00B363E9"/>
    <w:rsid w:val="00B402E9"/>
    <w:rsid w:val="00B40E2C"/>
    <w:rsid w:val="00B42E68"/>
    <w:rsid w:val="00B43FF8"/>
    <w:rsid w:val="00B45DC9"/>
    <w:rsid w:val="00B466E6"/>
    <w:rsid w:val="00B46C10"/>
    <w:rsid w:val="00B53CC3"/>
    <w:rsid w:val="00B54F56"/>
    <w:rsid w:val="00B566D7"/>
    <w:rsid w:val="00B56A6A"/>
    <w:rsid w:val="00B57A06"/>
    <w:rsid w:val="00B57F5C"/>
    <w:rsid w:val="00B6152A"/>
    <w:rsid w:val="00B6159C"/>
    <w:rsid w:val="00B61CCD"/>
    <w:rsid w:val="00B620D9"/>
    <w:rsid w:val="00B62733"/>
    <w:rsid w:val="00B637F6"/>
    <w:rsid w:val="00B642D3"/>
    <w:rsid w:val="00B6459A"/>
    <w:rsid w:val="00B6588B"/>
    <w:rsid w:val="00B66F26"/>
    <w:rsid w:val="00B672F7"/>
    <w:rsid w:val="00B7074A"/>
    <w:rsid w:val="00B70BE1"/>
    <w:rsid w:val="00B72684"/>
    <w:rsid w:val="00B74E3A"/>
    <w:rsid w:val="00B761D7"/>
    <w:rsid w:val="00B7671B"/>
    <w:rsid w:val="00B77D14"/>
    <w:rsid w:val="00B828EC"/>
    <w:rsid w:val="00B86313"/>
    <w:rsid w:val="00B878E3"/>
    <w:rsid w:val="00B91492"/>
    <w:rsid w:val="00B919C9"/>
    <w:rsid w:val="00B9270F"/>
    <w:rsid w:val="00B9445A"/>
    <w:rsid w:val="00B968F2"/>
    <w:rsid w:val="00B971D7"/>
    <w:rsid w:val="00BA36F0"/>
    <w:rsid w:val="00BA3EF9"/>
    <w:rsid w:val="00BA68F0"/>
    <w:rsid w:val="00BB35A4"/>
    <w:rsid w:val="00BB5B8A"/>
    <w:rsid w:val="00BB7DE7"/>
    <w:rsid w:val="00BC0508"/>
    <w:rsid w:val="00BC0868"/>
    <w:rsid w:val="00BC13C2"/>
    <w:rsid w:val="00BC21D6"/>
    <w:rsid w:val="00BC612E"/>
    <w:rsid w:val="00BC638A"/>
    <w:rsid w:val="00BC6871"/>
    <w:rsid w:val="00BD095B"/>
    <w:rsid w:val="00BD10B6"/>
    <w:rsid w:val="00BD12A0"/>
    <w:rsid w:val="00BD2B41"/>
    <w:rsid w:val="00BD36AE"/>
    <w:rsid w:val="00BD47C8"/>
    <w:rsid w:val="00BD5945"/>
    <w:rsid w:val="00BD76A6"/>
    <w:rsid w:val="00BE0EA3"/>
    <w:rsid w:val="00BE3FB8"/>
    <w:rsid w:val="00BE7C40"/>
    <w:rsid w:val="00BF0CF8"/>
    <w:rsid w:val="00BF14BE"/>
    <w:rsid w:val="00BF210E"/>
    <w:rsid w:val="00BF25D7"/>
    <w:rsid w:val="00BF393B"/>
    <w:rsid w:val="00BF3C25"/>
    <w:rsid w:val="00BF3E17"/>
    <w:rsid w:val="00BF5674"/>
    <w:rsid w:val="00BF5978"/>
    <w:rsid w:val="00BF5CB1"/>
    <w:rsid w:val="00BF66C4"/>
    <w:rsid w:val="00BF6AA8"/>
    <w:rsid w:val="00BF79BA"/>
    <w:rsid w:val="00C01459"/>
    <w:rsid w:val="00C02CB5"/>
    <w:rsid w:val="00C05B7A"/>
    <w:rsid w:val="00C05E82"/>
    <w:rsid w:val="00C06A01"/>
    <w:rsid w:val="00C07CC9"/>
    <w:rsid w:val="00C10134"/>
    <w:rsid w:val="00C11C1F"/>
    <w:rsid w:val="00C125E3"/>
    <w:rsid w:val="00C129D3"/>
    <w:rsid w:val="00C13A2B"/>
    <w:rsid w:val="00C15B9B"/>
    <w:rsid w:val="00C15E7E"/>
    <w:rsid w:val="00C15F87"/>
    <w:rsid w:val="00C17324"/>
    <w:rsid w:val="00C173E9"/>
    <w:rsid w:val="00C2004E"/>
    <w:rsid w:val="00C203D5"/>
    <w:rsid w:val="00C20596"/>
    <w:rsid w:val="00C30112"/>
    <w:rsid w:val="00C307BB"/>
    <w:rsid w:val="00C32993"/>
    <w:rsid w:val="00C33F9A"/>
    <w:rsid w:val="00C35219"/>
    <w:rsid w:val="00C35F1A"/>
    <w:rsid w:val="00C36263"/>
    <w:rsid w:val="00C41664"/>
    <w:rsid w:val="00C41A6A"/>
    <w:rsid w:val="00C43CB6"/>
    <w:rsid w:val="00C45F64"/>
    <w:rsid w:val="00C46FD0"/>
    <w:rsid w:val="00C5056B"/>
    <w:rsid w:val="00C50CD2"/>
    <w:rsid w:val="00C523EE"/>
    <w:rsid w:val="00C52532"/>
    <w:rsid w:val="00C53423"/>
    <w:rsid w:val="00C5443D"/>
    <w:rsid w:val="00C55172"/>
    <w:rsid w:val="00C55403"/>
    <w:rsid w:val="00C55453"/>
    <w:rsid w:val="00C55629"/>
    <w:rsid w:val="00C56752"/>
    <w:rsid w:val="00C56F79"/>
    <w:rsid w:val="00C57D00"/>
    <w:rsid w:val="00C61BDA"/>
    <w:rsid w:val="00C61CC8"/>
    <w:rsid w:val="00C666EE"/>
    <w:rsid w:val="00C67883"/>
    <w:rsid w:val="00C67D79"/>
    <w:rsid w:val="00C70525"/>
    <w:rsid w:val="00C71837"/>
    <w:rsid w:val="00C7311F"/>
    <w:rsid w:val="00C75E74"/>
    <w:rsid w:val="00C77AF3"/>
    <w:rsid w:val="00C81038"/>
    <w:rsid w:val="00C833F6"/>
    <w:rsid w:val="00C848BC"/>
    <w:rsid w:val="00C84E4C"/>
    <w:rsid w:val="00C851BF"/>
    <w:rsid w:val="00C855C2"/>
    <w:rsid w:val="00C85BC9"/>
    <w:rsid w:val="00C86CDD"/>
    <w:rsid w:val="00C874C4"/>
    <w:rsid w:val="00C90CDE"/>
    <w:rsid w:val="00C92C39"/>
    <w:rsid w:val="00C93AA2"/>
    <w:rsid w:val="00C93C5D"/>
    <w:rsid w:val="00C9507F"/>
    <w:rsid w:val="00C9634A"/>
    <w:rsid w:val="00CA0118"/>
    <w:rsid w:val="00CA25A1"/>
    <w:rsid w:val="00CA3C0C"/>
    <w:rsid w:val="00CA7C5B"/>
    <w:rsid w:val="00CB276A"/>
    <w:rsid w:val="00CB35A7"/>
    <w:rsid w:val="00CB55C8"/>
    <w:rsid w:val="00CC0257"/>
    <w:rsid w:val="00CC08E2"/>
    <w:rsid w:val="00CC1EEE"/>
    <w:rsid w:val="00CC2C88"/>
    <w:rsid w:val="00CC2FA6"/>
    <w:rsid w:val="00CC3F82"/>
    <w:rsid w:val="00CC5934"/>
    <w:rsid w:val="00CC5D99"/>
    <w:rsid w:val="00CC62AB"/>
    <w:rsid w:val="00CC6DA0"/>
    <w:rsid w:val="00CD06BB"/>
    <w:rsid w:val="00CD0DC6"/>
    <w:rsid w:val="00CD27FC"/>
    <w:rsid w:val="00CD3AA0"/>
    <w:rsid w:val="00CD57E8"/>
    <w:rsid w:val="00CD5D77"/>
    <w:rsid w:val="00CD64F0"/>
    <w:rsid w:val="00CD6CB6"/>
    <w:rsid w:val="00CE3A59"/>
    <w:rsid w:val="00CE4160"/>
    <w:rsid w:val="00CE66B6"/>
    <w:rsid w:val="00CE72BB"/>
    <w:rsid w:val="00CF03CB"/>
    <w:rsid w:val="00CF1447"/>
    <w:rsid w:val="00CF3686"/>
    <w:rsid w:val="00CF3CA5"/>
    <w:rsid w:val="00CF464E"/>
    <w:rsid w:val="00CF4AC1"/>
    <w:rsid w:val="00CF62BF"/>
    <w:rsid w:val="00CF6D28"/>
    <w:rsid w:val="00CF6F35"/>
    <w:rsid w:val="00D01E47"/>
    <w:rsid w:val="00D026FD"/>
    <w:rsid w:val="00D057C8"/>
    <w:rsid w:val="00D0598A"/>
    <w:rsid w:val="00D07654"/>
    <w:rsid w:val="00D117EB"/>
    <w:rsid w:val="00D12AA2"/>
    <w:rsid w:val="00D162A7"/>
    <w:rsid w:val="00D16EDA"/>
    <w:rsid w:val="00D17162"/>
    <w:rsid w:val="00D236BA"/>
    <w:rsid w:val="00D237CC"/>
    <w:rsid w:val="00D23D3E"/>
    <w:rsid w:val="00D24FA0"/>
    <w:rsid w:val="00D25ED9"/>
    <w:rsid w:val="00D26582"/>
    <w:rsid w:val="00D26CCF"/>
    <w:rsid w:val="00D30A94"/>
    <w:rsid w:val="00D31455"/>
    <w:rsid w:val="00D33C63"/>
    <w:rsid w:val="00D35004"/>
    <w:rsid w:val="00D352D6"/>
    <w:rsid w:val="00D36DC4"/>
    <w:rsid w:val="00D40195"/>
    <w:rsid w:val="00D41E1C"/>
    <w:rsid w:val="00D42537"/>
    <w:rsid w:val="00D5256C"/>
    <w:rsid w:val="00D52A39"/>
    <w:rsid w:val="00D545B5"/>
    <w:rsid w:val="00D54F96"/>
    <w:rsid w:val="00D56D27"/>
    <w:rsid w:val="00D606E9"/>
    <w:rsid w:val="00D66D61"/>
    <w:rsid w:val="00D71679"/>
    <w:rsid w:val="00D7359D"/>
    <w:rsid w:val="00D73CD1"/>
    <w:rsid w:val="00D73DA4"/>
    <w:rsid w:val="00D74061"/>
    <w:rsid w:val="00D74C01"/>
    <w:rsid w:val="00D76398"/>
    <w:rsid w:val="00D76E06"/>
    <w:rsid w:val="00D8029A"/>
    <w:rsid w:val="00D8210C"/>
    <w:rsid w:val="00D8266D"/>
    <w:rsid w:val="00D86A53"/>
    <w:rsid w:val="00D87DBD"/>
    <w:rsid w:val="00D926AF"/>
    <w:rsid w:val="00D92C55"/>
    <w:rsid w:val="00D94755"/>
    <w:rsid w:val="00D94C75"/>
    <w:rsid w:val="00D94F79"/>
    <w:rsid w:val="00D952A4"/>
    <w:rsid w:val="00D9633D"/>
    <w:rsid w:val="00DA04D6"/>
    <w:rsid w:val="00DA3B09"/>
    <w:rsid w:val="00DA4B01"/>
    <w:rsid w:val="00DA4EB2"/>
    <w:rsid w:val="00DA5B53"/>
    <w:rsid w:val="00DA5C93"/>
    <w:rsid w:val="00DA7591"/>
    <w:rsid w:val="00DA798A"/>
    <w:rsid w:val="00DB0215"/>
    <w:rsid w:val="00DB0BCA"/>
    <w:rsid w:val="00DB2355"/>
    <w:rsid w:val="00DB2E53"/>
    <w:rsid w:val="00DB37C4"/>
    <w:rsid w:val="00DB4267"/>
    <w:rsid w:val="00DB58B7"/>
    <w:rsid w:val="00DB5CB6"/>
    <w:rsid w:val="00DB7BED"/>
    <w:rsid w:val="00DC0BEF"/>
    <w:rsid w:val="00DC1CDA"/>
    <w:rsid w:val="00DC1F53"/>
    <w:rsid w:val="00DC3BC4"/>
    <w:rsid w:val="00DC5433"/>
    <w:rsid w:val="00DC7142"/>
    <w:rsid w:val="00DD0B06"/>
    <w:rsid w:val="00DD0C49"/>
    <w:rsid w:val="00DD48E1"/>
    <w:rsid w:val="00DD603F"/>
    <w:rsid w:val="00DD6CC8"/>
    <w:rsid w:val="00DD7B08"/>
    <w:rsid w:val="00DD7BBA"/>
    <w:rsid w:val="00DE06C9"/>
    <w:rsid w:val="00DE15D1"/>
    <w:rsid w:val="00DE5A6F"/>
    <w:rsid w:val="00DE5EBD"/>
    <w:rsid w:val="00DE741D"/>
    <w:rsid w:val="00DF0588"/>
    <w:rsid w:val="00DF38DA"/>
    <w:rsid w:val="00DF391E"/>
    <w:rsid w:val="00DF55D5"/>
    <w:rsid w:val="00DF5F8D"/>
    <w:rsid w:val="00DF6328"/>
    <w:rsid w:val="00DF6C87"/>
    <w:rsid w:val="00E00B36"/>
    <w:rsid w:val="00E026B4"/>
    <w:rsid w:val="00E028C3"/>
    <w:rsid w:val="00E03D27"/>
    <w:rsid w:val="00E05478"/>
    <w:rsid w:val="00E0584E"/>
    <w:rsid w:val="00E153E5"/>
    <w:rsid w:val="00E1637B"/>
    <w:rsid w:val="00E16ACF"/>
    <w:rsid w:val="00E20B31"/>
    <w:rsid w:val="00E23B31"/>
    <w:rsid w:val="00E243F2"/>
    <w:rsid w:val="00E262EF"/>
    <w:rsid w:val="00E26545"/>
    <w:rsid w:val="00E3043C"/>
    <w:rsid w:val="00E30FD6"/>
    <w:rsid w:val="00E31439"/>
    <w:rsid w:val="00E3153B"/>
    <w:rsid w:val="00E317C9"/>
    <w:rsid w:val="00E3358F"/>
    <w:rsid w:val="00E343D5"/>
    <w:rsid w:val="00E348B6"/>
    <w:rsid w:val="00E402F3"/>
    <w:rsid w:val="00E40531"/>
    <w:rsid w:val="00E40E4B"/>
    <w:rsid w:val="00E418D5"/>
    <w:rsid w:val="00E41F48"/>
    <w:rsid w:val="00E42D7F"/>
    <w:rsid w:val="00E439EF"/>
    <w:rsid w:val="00E43C90"/>
    <w:rsid w:val="00E45E66"/>
    <w:rsid w:val="00E46868"/>
    <w:rsid w:val="00E47746"/>
    <w:rsid w:val="00E50C50"/>
    <w:rsid w:val="00E51D29"/>
    <w:rsid w:val="00E529C7"/>
    <w:rsid w:val="00E56484"/>
    <w:rsid w:val="00E57F37"/>
    <w:rsid w:val="00E62775"/>
    <w:rsid w:val="00E64EDA"/>
    <w:rsid w:val="00E65CB6"/>
    <w:rsid w:val="00E701D8"/>
    <w:rsid w:val="00E72270"/>
    <w:rsid w:val="00E72B8B"/>
    <w:rsid w:val="00E73F9D"/>
    <w:rsid w:val="00E74B6F"/>
    <w:rsid w:val="00E7535F"/>
    <w:rsid w:val="00E75750"/>
    <w:rsid w:val="00E75DCF"/>
    <w:rsid w:val="00E81410"/>
    <w:rsid w:val="00E8196C"/>
    <w:rsid w:val="00E81F23"/>
    <w:rsid w:val="00E82C9F"/>
    <w:rsid w:val="00E8492E"/>
    <w:rsid w:val="00E91079"/>
    <w:rsid w:val="00E91A68"/>
    <w:rsid w:val="00E956EF"/>
    <w:rsid w:val="00E95BA1"/>
    <w:rsid w:val="00E96248"/>
    <w:rsid w:val="00EA2108"/>
    <w:rsid w:val="00EA5B45"/>
    <w:rsid w:val="00EB074E"/>
    <w:rsid w:val="00EB2A48"/>
    <w:rsid w:val="00EB3243"/>
    <w:rsid w:val="00EB4055"/>
    <w:rsid w:val="00EB498E"/>
    <w:rsid w:val="00EB54E6"/>
    <w:rsid w:val="00EB5911"/>
    <w:rsid w:val="00EB5E6F"/>
    <w:rsid w:val="00EB74EC"/>
    <w:rsid w:val="00EB7944"/>
    <w:rsid w:val="00EC0CC1"/>
    <w:rsid w:val="00EC15D2"/>
    <w:rsid w:val="00EC2645"/>
    <w:rsid w:val="00EC380A"/>
    <w:rsid w:val="00EC402F"/>
    <w:rsid w:val="00EC4141"/>
    <w:rsid w:val="00EC4871"/>
    <w:rsid w:val="00EC65C2"/>
    <w:rsid w:val="00EC69A8"/>
    <w:rsid w:val="00ED1DBD"/>
    <w:rsid w:val="00ED68AD"/>
    <w:rsid w:val="00ED6C10"/>
    <w:rsid w:val="00ED7076"/>
    <w:rsid w:val="00EE00E1"/>
    <w:rsid w:val="00EE0D94"/>
    <w:rsid w:val="00EE0E5A"/>
    <w:rsid w:val="00EE2B38"/>
    <w:rsid w:val="00EE4213"/>
    <w:rsid w:val="00EE4965"/>
    <w:rsid w:val="00EE4DB6"/>
    <w:rsid w:val="00EE5B03"/>
    <w:rsid w:val="00EE6349"/>
    <w:rsid w:val="00EE661A"/>
    <w:rsid w:val="00EE7C5B"/>
    <w:rsid w:val="00EF2366"/>
    <w:rsid w:val="00EF668C"/>
    <w:rsid w:val="00F00F24"/>
    <w:rsid w:val="00F020CA"/>
    <w:rsid w:val="00F057E0"/>
    <w:rsid w:val="00F06C2B"/>
    <w:rsid w:val="00F105B2"/>
    <w:rsid w:val="00F116E7"/>
    <w:rsid w:val="00F13A99"/>
    <w:rsid w:val="00F247EE"/>
    <w:rsid w:val="00F25CB5"/>
    <w:rsid w:val="00F34443"/>
    <w:rsid w:val="00F40212"/>
    <w:rsid w:val="00F40233"/>
    <w:rsid w:val="00F42998"/>
    <w:rsid w:val="00F4517F"/>
    <w:rsid w:val="00F46480"/>
    <w:rsid w:val="00F46C34"/>
    <w:rsid w:val="00F50C4A"/>
    <w:rsid w:val="00F50D95"/>
    <w:rsid w:val="00F50DD1"/>
    <w:rsid w:val="00F50EB0"/>
    <w:rsid w:val="00F51A4E"/>
    <w:rsid w:val="00F51C1F"/>
    <w:rsid w:val="00F54B1C"/>
    <w:rsid w:val="00F5647A"/>
    <w:rsid w:val="00F56EE4"/>
    <w:rsid w:val="00F60ED3"/>
    <w:rsid w:val="00F60FE2"/>
    <w:rsid w:val="00F62BA9"/>
    <w:rsid w:val="00F640AE"/>
    <w:rsid w:val="00F650BE"/>
    <w:rsid w:val="00F70777"/>
    <w:rsid w:val="00F75B12"/>
    <w:rsid w:val="00F77BDC"/>
    <w:rsid w:val="00F858E7"/>
    <w:rsid w:val="00F86036"/>
    <w:rsid w:val="00F90DAC"/>
    <w:rsid w:val="00F9129B"/>
    <w:rsid w:val="00F92D5A"/>
    <w:rsid w:val="00F94703"/>
    <w:rsid w:val="00F94FDB"/>
    <w:rsid w:val="00FA16DE"/>
    <w:rsid w:val="00FA3F40"/>
    <w:rsid w:val="00FA4197"/>
    <w:rsid w:val="00FA5095"/>
    <w:rsid w:val="00FA768D"/>
    <w:rsid w:val="00FB01CD"/>
    <w:rsid w:val="00FB2CB3"/>
    <w:rsid w:val="00FB2E98"/>
    <w:rsid w:val="00FB2F6F"/>
    <w:rsid w:val="00FB5719"/>
    <w:rsid w:val="00FC23C3"/>
    <w:rsid w:val="00FC5410"/>
    <w:rsid w:val="00FD00D9"/>
    <w:rsid w:val="00FD0A98"/>
    <w:rsid w:val="00FD1809"/>
    <w:rsid w:val="00FD1A90"/>
    <w:rsid w:val="00FD4887"/>
    <w:rsid w:val="00FE0CFC"/>
    <w:rsid w:val="00FE1C7E"/>
    <w:rsid w:val="00FE2A66"/>
    <w:rsid w:val="00FE4E43"/>
    <w:rsid w:val="00FE7456"/>
    <w:rsid w:val="00FE7F65"/>
    <w:rsid w:val="00FF15B7"/>
    <w:rsid w:val="00FF57F4"/>
    <w:rsid w:val="00FF5DEA"/>
    <w:rsid w:val="00FF67A7"/>
    <w:rsid w:val="00FF7EC4"/>
    <w:rsid w:val="017471D2"/>
    <w:rsid w:val="024F464D"/>
    <w:rsid w:val="028329F9"/>
    <w:rsid w:val="02894E10"/>
    <w:rsid w:val="029D3FFE"/>
    <w:rsid w:val="02B45D75"/>
    <w:rsid w:val="02EA0316"/>
    <w:rsid w:val="03916092"/>
    <w:rsid w:val="03943B0B"/>
    <w:rsid w:val="03A349F1"/>
    <w:rsid w:val="04B40DC0"/>
    <w:rsid w:val="04BD7D66"/>
    <w:rsid w:val="04E95F50"/>
    <w:rsid w:val="050414F1"/>
    <w:rsid w:val="053B4452"/>
    <w:rsid w:val="05951B8C"/>
    <w:rsid w:val="05CB7396"/>
    <w:rsid w:val="067A3834"/>
    <w:rsid w:val="06913FF1"/>
    <w:rsid w:val="06AE712D"/>
    <w:rsid w:val="06EC2A9D"/>
    <w:rsid w:val="074E76F0"/>
    <w:rsid w:val="081A3D1F"/>
    <w:rsid w:val="08735435"/>
    <w:rsid w:val="08962BFA"/>
    <w:rsid w:val="0898738D"/>
    <w:rsid w:val="092A587F"/>
    <w:rsid w:val="092C65A9"/>
    <w:rsid w:val="0ADE2418"/>
    <w:rsid w:val="0AF07AAF"/>
    <w:rsid w:val="0BD80A82"/>
    <w:rsid w:val="0C784388"/>
    <w:rsid w:val="0CC03A2F"/>
    <w:rsid w:val="0CF47C0C"/>
    <w:rsid w:val="0D5604B8"/>
    <w:rsid w:val="0D6A5EFF"/>
    <w:rsid w:val="0D7935BD"/>
    <w:rsid w:val="0D921674"/>
    <w:rsid w:val="0DCD463A"/>
    <w:rsid w:val="0DD124B7"/>
    <w:rsid w:val="0DE9729A"/>
    <w:rsid w:val="0F3E01A7"/>
    <w:rsid w:val="0FBE5548"/>
    <w:rsid w:val="0FD1565A"/>
    <w:rsid w:val="0FEA4F76"/>
    <w:rsid w:val="0FF74E29"/>
    <w:rsid w:val="0FF82E63"/>
    <w:rsid w:val="10577E13"/>
    <w:rsid w:val="10C00A18"/>
    <w:rsid w:val="113B574C"/>
    <w:rsid w:val="11671825"/>
    <w:rsid w:val="119B6414"/>
    <w:rsid w:val="11A53C17"/>
    <w:rsid w:val="12BC71FF"/>
    <w:rsid w:val="135F1102"/>
    <w:rsid w:val="14267BB9"/>
    <w:rsid w:val="14B408E0"/>
    <w:rsid w:val="14B90DC9"/>
    <w:rsid w:val="15416935"/>
    <w:rsid w:val="157E6292"/>
    <w:rsid w:val="15934A6C"/>
    <w:rsid w:val="16E171BA"/>
    <w:rsid w:val="171467D2"/>
    <w:rsid w:val="17D760B4"/>
    <w:rsid w:val="184A0A45"/>
    <w:rsid w:val="18777296"/>
    <w:rsid w:val="18852ABF"/>
    <w:rsid w:val="196F67FD"/>
    <w:rsid w:val="1A427FE5"/>
    <w:rsid w:val="1A8D179F"/>
    <w:rsid w:val="1B2C557B"/>
    <w:rsid w:val="1BC97FF9"/>
    <w:rsid w:val="1BCF4C0B"/>
    <w:rsid w:val="1C96116A"/>
    <w:rsid w:val="1CD97816"/>
    <w:rsid w:val="1D937F9B"/>
    <w:rsid w:val="1E443158"/>
    <w:rsid w:val="1EC1307E"/>
    <w:rsid w:val="1ED10788"/>
    <w:rsid w:val="1ED72167"/>
    <w:rsid w:val="1F297613"/>
    <w:rsid w:val="1FF46C08"/>
    <w:rsid w:val="2066092D"/>
    <w:rsid w:val="20746F8B"/>
    <w:rsid w:val="20AB3548"/>
    <w:rsid w:val="21A23B33"/>
    <w:rsid w:val="21B40469"/>
    <w:rsid w:val="21DF316B"/>
    <w:rsid w:val="21EE74CF"/>
    <w:rsid w:val="2273129E"/>
    <w:rsid w:val="227A1D4B"/>
    <w:rsid w:val="24C5710F"/>
    <w:rsid w:val="25243AD0"/>
    <w:rsid w:val="25E80E25"/>
    <w:rsid w:val="25F50708"/>
    <w:rsid w:val="26201F3E"/>
    <w:rsid w:val="27543411"/>
    <w:rsid w:val="278051F5"/>
    <w:rsid w:val="279336EA"/>
    <w:rsid w:val="27B84C89"/>
    <w:rsid w:val="280A19D7"/>
    <w:rsid w:val="28152633"/>
    <w:rsid w:val="288C33CB"/>
    <w:rsid w:val="28982A3A"/>
    <w:rsid w:val="292E5E90"/>
    <w:rsid w:val="296F3E66"/>
    <w:rsid w:val="297B3F00"/>
    <w:rsid w:val="29BB480D"/>
    <w:rsid w:val="2A01372A"/>
    <w:rsid w:val="2A4B0E3B"/>
    <w:rsid w:val="2A721FA6"/>
    <w:rsid w:val="2A8678C6"/>
    <w:rsid w:val="2AAA498A"/>
    <w:rsid w:val="2B9F7CD4"/>
    <w:rsid w:val="2C11336A"/>
    <w:rsid w:val="2C2B5B4E"/>
    <w:rsid w:val="2C8F0281"/>
    <w:rsid w:val="2CA32FBB"/>
    <w:rsid w:val="2CA439CC"/>
    <w:rsid w:val="2CC30428"/>
    <w:rsid w:val="2E136A66"/>
    <w:rsid w:val="2E99041B"/>
    <w:rsid w:val="2ECB2EFB"/>
    <w:rsid w:val="2EEA1C1B"/>
    <w:rsid w:val="2F2E3B29"/>
    <w:rsid w:val="2F7F5E07"/>
    <w:rsid w:val="2FA4646E"/>
    <w:rsid w:val="30995EA3"/>
    <w:rsid w:val="309C3A6F"/>
    <w:rsid w:val="30A1659C"/>
    <w:rsid w:val="31232385"/>
    <w:rsid w:val="312A571E"/>
    <w:rsid w:val="31BB18A7"/>
    <w:rsid w:val="321C658C"/>
    <w:rsid w:val="3221681F"/>
    <w:rsid w:val="32812A4A"/>
    <w:rsid w:val="329C12C8"/>
    <w:rsid w:val="32CA7032"/>
    <w:rsid w:val="337C6FC0"/>
    <w:rsid w:val="34280137"/>
    <w:rsid w:val="352029FD"/>
    <w:rsid w:val="355C3106"/>
    <w:rsid w:val="35982360"/>
    <w:rsid w:val="359D13EE"/>
    <w:rsid w:val="36327EBA"/>
    <w:rsid w:val="364801DC"/>
    <w:rsid w:val="36852F67"/>
    <w:rsid w:val="38043001"/>
    <w:rsid w:val="386025F7"/>
    <w:rsid w:val="39CA5BD2"/>
    <w:rsid w:val="39E76736"/>
    <w:rsid w:val="3A713FA0"/>
    <w:rsid w:val="3B0B3BFF"/>
    <w:rsid w:val="3B213501"/>
    <w:rsid w:val="3B286032"/>
    <w:rsid w:val="3B33518F"/>
    <w:rsid w:val="3B666506"/>
    <w:rsid w:val="3B81687F"/>
    <w:rsid w:val="3D2539CD"/>
    <w:rsid w:val="3D8430E8"/>
    <w:rsid w:val="3DC93CB2"/>
    <w:rsid w:val="3E1D6DB6"/>
    <w:rsid w:val="3E563101"/>
    <w:rsid w:val="3EA01E45"/>
    <w:rsid w:val="3EB275B0"/>
    <w:rsid w:val="3EB949E4"/>
    <w:rsid w:val="3F605FCA"/>
    <w:rsid w:val="3F771E6F"/>
    <w:rsid w:val="3F9D7FA1"/>
    <w:rsid w:val="402B1A4C"/>
    <w:rsid w:val="403E25EA"/>
    <w:rsid w:val="404577E6"/>
    <w:rsid w:val="40B0596E"/>
    <w:rsid w:val="40B406A0"/>
    <w:rsid w:val="41171B38"/>
    <w:rsid w:val="41AD2980"/>
    <w:rsid w:val="422D0CDB"/>
    <w:rsid w:val="42E836F2"/>
    <w:rsid w:val="431E4FB7"/>
    <w:rsid w:val="43A341ED"/>
    <w:rsid w:val="4400509B"/>
    <w:rsid w:val="455A735A"/>
    <w:rsid w:val="46244011"/>
    <w:rsid w:val="467E1E82"/>
    <w:rsid w:val="467E25FD"/>
    <w:rsid w:val="468E75AB"/>
    <w:rsid w:val="46C101D0"/>
    <w:rsid w:val="47B240AF"/>
    <w:rsid w:val="47B550F6"/>
    <w:rsid w:val="47D3403D"/>
    <w:rsid w:val="480F3E46"/>
    <w:rsid w:val="48171BE2"/>
    <w:rsid w:val="48350F84"/>
    <w:rsid w:val="485A072D"/>
    <w:rsid w:val="487149E9"/>
    <w:rsid w:val="488B6F2B"/>
    <w:rsid w:val="48D32743"/>
    <w:rsid w:val="49323FC3"/>
    <w:rsid w:val="496639F5"/>
    <w:rsid w:val="496A7B44"/>
    <w:rsid w:val="4993047C"/>
    <w:rsid w:val="49BA1EFA"/>
    <w:rsid w:val="4A314C42"/>
    <w:rsid w:val="4A563E35"/>
    <w:rsid w:val="4AA85A1E"/>
    <w:rsid w:val="4BAE7EDE"/>
    <w:rsid w:val="4C87154F"/>
    <w:rsid w:val="4D7B3903"/>
    <w:rsid w:val="4DAB0B1E"/>
    <w:rsid w:val="4EA46F4E"/>
    <w:rsid w:val="4EDA79F5"/>
    <w:rsid w:val="4F0E7400"/>
    <w:rsid w:val="4F41354B"/>
    <w:rsid w:val="4F6D2183"/>
    <w:rsid w:val="50273A72"/>
    <w:rsid w:val="50462B8D"/>
    <w:rsid w:val="50A637E2"/>
    <w:rsid w:val="50EE59BB"/>
    <w:rsid w:val="516C3F85"/>
    <w:rsid w:val="51952396"/>
    <w:rsid w:val="51A25870"/>
    <w:rsid w:val="52EE7B5D"/>
    <w:rsid w:val="53BB2EA7"/>
    <w:rsid w:val="543F16AA"/>
    <w:rsid w:val="54F72C5D"/>
    <w:rsid w:val="55154643"/>
    <w:rsid w:val="55A11F41"/>
    <w:rsid w:val="55F50DA0"/>
    <w:rsid w:val="566852E9"/>
    <w:rsid w:val="56F00FFE"/>
    <w:rsid w:val="56F51DEF"/>
    <w:rsid w:val="572612CE"/>
    <w:rsid w:val="574602DB"/>
    <w:rsid w:val="57AE1554"/>
    <w:rsid w:val="58096301"/>
    <w:rsid w:val="580E1504"/>
    <w:rsid w:val="58666156"/>
    <w:rsid w:val="58FC2A8C"/>
    <w:rsid w:val="596E4BBE"/>
    <w:rsid w:val="5A155CC7"/>
    <w:rsid w:val="5A2A14BB"/>
    <w:rsid w:val="5A2C537C"/>
    <w:rsid w:val="5B0F6869"/>
    <w:rsid w:val="5BAF5017"/>
    <w:rsid w:val="5BB214FF"/>
    <w:rsid w:val="5C114210"/>
    <w:rsid w:val="5C1D2226"/>
    <w:rsid w:val="5CAA0BFC"/>
    <w:rsid w:val="5CFA191D"/>
    <w:rsid w:val="5DA573E6"/>
    <w:rsid w:val="5E243D90"/>
    <w:rsid w:val="5E3C202A"/>
    <w:rsid w:val="5F897B1B"/>
    <w:rsid w:val="5F8F38E0"/>
    <w:rsid w:val="606964BC"/>
    <w:rsid w:val="60ED6D3A"/>
    <w:rsid w:val="62FA1DC7"/>
    <w:rsid w:val="63386C0E"/>
    <w:rsid w:val="63DD10CA"/>
    <w:rsid w:val="63DF479A"/>
    <w:rsid w:val="64022DDE"/>
    <w:rsid w:val="64A1087B"/>
    <w:rsid w:val="66991FF5"/>
    <w:rsid w:val="67163706"/>
    <w:rsid w:val="67AE4959"/>
    <w:rsid w:val="67ED4F5B"/>
    <w:rsid w:val="686E14EB"/>
    <w:rsid w:val="68A91127"/>
    <w:rsid w:val="68EC454E"/>
    <w:rsid w:val="68F80938"/>
    <w:rsid w:val="69927D96"/>
    <w:rsid w:val="6A3856A9"/>
    <w:rsid w:val="6B7A0BAB"/>
    <w:rsid w:val="6B9D6DB9"/>
    <w:rsid w:val="6BD4276B"/>
    <w:rsid w:val="6BD44C4F"/>
    <w:rsid w:val="6C1E5CE2"/>
    <w:rsid w:val="6C30610F"/>
    <w:rsid w:val="6E20564B"/>
    <w:rsid w:val="6E2D0B14"/>
    <w:rsid w:val="6E9901BC"/>
    <w:rsid w:val="6F275331"/>
    <w:rsid w:val="707E4EF8"/>
    <w:rsid w:val="70855121"/>
    <w:rsid w:val="72063304"/>
    <w:rsid w:val="721D1553"/>
    <w:rsid w:val="727260BA"/>
    <w:rsid w:val="72AD63B2"/>
    <w:rsid w:val="72DB72C1"/>
    <w:rsid w:val="731A38C5"/>
    <w:rsid w:val="73665A0E"/>
    <w:rsid w:val="736A15A5"/>
    <w:rsid w:val="73E04ED8"/>
    <w:rsid w:val="77AC3489"/>
    <w:rsid w:val="788C00D4"/>
    <w:rsid w:val="78CA1598"/>
    <w:rsid w:val="7B294E22"/>
    <w:rsid w:val="7B910FC6"/>
    <w:rsid w:val="7B962638"/>
    <w:rsid w:val="7BF32BDC"/>
    <w:rsid w:val="7C601D49"/>
    <w:rsid w:val="7CA7738F"/>
    <w:rsid w:val="7CE010E8"/>
    <w:rsid w:val="7D9E2D94"/>
    <w:rsid w:val="7D9F64AD"/>
    <w:rsid w:val="7DAA417D"/>
    <w:rsid w:val="7E81783D"/>
    <w:rsid w:val="7E867AE4"/>
    <w:rsid w:val="7E9D73F8"/>
    <w:rsid w:val="7EAF680A"/>
    <w:rsid w:val="7F417E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3">
    <w:name w:val="heading 1"/>
    <w:basedOn w:val="1"/>
    <w:next w:val="1"/>
    <w:link w:val="39"/>
    <w:qFormat/>
    <w:uiPriority w:val="0"/>
    <w:pPr>
      <w:keepNext/>
      <w:keepLines/>
      <w:numPr>
        <w:ilvl w:val="0"/>
        <w:numId w:val="1"/>
      </w:numPr>
      <w:outlineLvl w:val="0"/>
    </w:pPr>
    <w:rPr>
      <w:rFonts w:hAnsi="Times New Roman"/>
      <w:b/>
      <w:bCs/>
      <w:kern w:val="44"/>
      <w:szCs w:val="44"/>
    </w:rPr>
  </w:style>
  <w:style w:type="paragraph" w:styleId="4">
    <w:name w:val="heading 2"/>
    <w:basedOn w:val="1"/>
    <w:next w:val="1"/>
    <w:link w:val="43"/>
    <w:qFormat/>
    <w:uiPriority w:val="0"/>
    <w:pPr>
      <w:keepNext/>
      <w:keepLines/>
      <w:numPr>
        <w:ilvl w:val="1"/>
        <w:numId w:val="1"/>
      </w:numPr>
      <w:outlineLvl w:val="1"/>
    </w:pPr>
    <w:rPr>
      <w:rFonts w:hAnsi="Arial"/>
      <w:b/>
      <w:bCs/>
      <w:kern w:val="0"/>
      <w:szCs w:val="32"/>
    </w:rPr>
  </w:style>
  <w:style w:type="paragraph" w:styleId="5">
    <w:name w:val="heading 3"/>
    <w:basedOn w:val="1"/>
    <w:next w:val="1"/>
    <w:link w:val="36"/>
    <w:qFormat/>
    <w:uiPriority w:val="0"/>
    <w:pPr>
      <w:outlineLvl w:val="2"/>
    </w:pPr>
    <w:rPr>
      <w:rFonts w:hAnsi="Times New Roman"/>
      <w:b/>
      <w:kern w:val="0"/>
    </w:rPr>
  </w:style>
  <w:style w:type="paragraph" w:styleId="6">
    <w:name w:val="heading 4"/>
    <w:basedOn w:val="1"/>
    <w:next w:val="1"/>
    <w:link w:val="30"/>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27"/>
    <w:qFormat/>
    <w:uiPriority w:val="0"/>
    <w:pPr>
      <w:keepNext/>
      <w:keepLines/>
      <w:spacing w:before="280" w:after="290" w:line="376" w:lineRule="auto"/>
      <w:outlineLvl w:val="4"/>
    </w:pPr>
    <w:rPr>
      <w:rFonts w:hAnsi="Times New Roman"/>
      <w:b/>
      <w:bCs/>
      <w:sz w:val="28"/>
      <w:szCs w:val="28"/>
    </w:rPr>
  </w:style>
  <w:style w:type="paragraph" w:styleId="8">
    <w:name w:val="heading 6"/>
    <w:basedOn w:val="1"/>
    <w:next w:val="1"/>
    <w:link w:val="55"/>
    <w:qFormat/>
    <w:uiPriority w:val="0"/>
    <w:pPr>
      <w:spacing w:before="60" w:after="60"/>
      <w:outlineLvl w:val="5"/>
    </w:pPr>
    <w:rPr>
      <w:rFonts w:ascii="Times New Roman" w:hAnsi="Times New Roman"/>
      <w:b/>
      <w:bCs/>
    </w:rPr>
  </w:style>
  <w:style w:type="paragraph" w:styleId="9">
    <w:name w:val="heading 7"/>
    <w:basedOn w:val="1"/>
    <w:next w:val="1"/>
    <w:link w:val="56"/>
    <w:qFormat/>
    <w:uiPriority w:val="0"/>
    <w:pPr>
      <w:keepNext/>
      <w:keepLines/>
      <w:spacing w:before="240" w:after="64" w:line="320" w:lineRule="auto"/>
      <w:ind w:left="227"/>
      <w:outlineLvl w:val="6"/>
    </w:pPr>
    <w:rPr>
      <w:rFonts w:ascii="Times New Roman" w:hAnsi="Times New Roman"/>
      <w:b/>
      <w:bCs/>
    </w:rPr>
  </w:style>
  <w:style w:type="paragraph" w:styleId="10">
    <w:name w:val="heading 8"/>
    <w:basedOn w:val="1"/>
    <w:next w:val="1"/>
    <w:link w:val="57"/>
    <w:qFormat/>
    <w:uiPriority w:val="0"/>
    <w:pPr>
      <w:keepNext/>
      <w:keepLines/>
      <w:spacing w:before="240" w:after="64" w:line="320" w:lineRule="auto"/>
      <w:ind w:left="1440"/>
      <w:outlineLvl w:val="7"/>
    </w:pPr>
    <w:rPr>
      <w:rFonts w:ascii="Arial" w:hAnsi="Arial" w:eastAsia="黑体"/>
    </w:rPr>
  </w:style>
  <w:style w:type="paragraph" w:styleId="11">
    <w:name w:val="heading 9"/>
    <w:basedOn w:val="1"/>
    <w:next w:val="1"/>
    <w:link w:val="58"/>
    <w:qFormat/>
    <w:uiPriority w:val="0"/>
    <w:pPr>
      <w:keepNext/>
      <w:keepLines/>
      <w:spacing w:before="240" w:after="64" w:line="320" w:lineRule="auto"/>
      <w:ind w:left="1584"/>
      <w:outlineLvl w:val="8"/>
    </w:pPr>
    <w:rPr>
      <w:rFonts w:ascii="Arial" w:hAnsi="Arial" w:eastAsia="黑体"/>
      <w:sz w:val="21"/>
      <w:szCs w:val="21"/>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35"/>
    <w:unhideWhenUsed/>
    <w:qFormat/>
    <w:uiPriority w:val="99"/>
    <w:pPr>
      <w:tabs>
        <w:tab w:val="center" w:pos="4153"/>
        <w:tab w:val="right" w:pos="8306"/>
      </w:tabs>
      <w:snapToGrid w:val="0"/>
      <w:spacing w:line="240" w:lineRule="auto"/>
      <w:jc w:val="left"/>
    </w:pPr>
    <w:rPr>
      <w:rFonts w:hAnsi="Times New Roman"/>
      <w:kern w:val="0"/>
      <w:sz w:val="18"/>
      <w:szCs w:val="18"/>
    </w:rPr>
  </w:style>
  <w:style w:type="paragraph" w:styleId="12">
    <w:name w:val="Normal Indent"/>
    <w:basedOn w:val="1"/>
    <w:next w:val="13"/>
    <w:link w:val="59"/>
    <w:unhideWhenUsed/>
    <w:qFormat/>
    <w:uiPriority w:val="0"/>
    <w:pPr>
      <w:spacing w:line="480" w:lineRule="atLeast"/>
      <w:ind w:firstLine="420" w:firstLineChars="200"/>
    </w:pPr>
    <w:rPr>
      <w:rFonts w:ascii="Times New Roman" w:hAnsi="Times New Roman"/>
    </w:rPr>
  </w:style>
  <w:style w:type="paragraph" w:styleId="13">
    <w:name w:val="Body Text"/>
    <w:basedOn w:val="1"/>
    <w:next w:val="14"/>
    <w:link w:val="47"/>
    <w:qFormat/>
    <w:uiPriority w:val="0"/>
    <w:pPr>
      <w:spacing w:after="120" w:line="300" w:lineRule="auto"/>
    </w:pPr>
    <w:rPr>
      <w:rFonts w:ascii="Calibri" w:eastAsia="仿宋_GB2312"/>
    </w:rPr>
  </w:style>
  <w:style w:type="paragraph" w:styleId="14">
    <w:name w:val="Title"/>
    <w:basedOn w:val="1"/>
    <w:next w:val="1"/>
    <w:link w:val="34"/>
    <w:qFormat/>
    <w:uiPriority w:val="10"/>
    <w:pPr>
      <w:spacing w:before="240" w:after="60"/>
      <w:jc w:val="center"/>
      <w:outlineLvl w:val="0"/>
    </w:pPr>
    <w:rPr>
      <w:rFonts w:ascii="Calibri Light" w:hAnsi="Calibri Light"/>
      <w:b/>
      <w:bCs/>
      <w:sz w:val="32"/>
      <w:szCs w:val="32"/>
    </w:rPr>
  </w:style>
  <w:style w:type="paragraph" w:styleId="15">
    <w:name w:val="Document Map"/>
    <w:basedOn w:val="1"/>
    <w:link w:val="48"/>
    <w:unhideWhenUsed/>
    <w:qFormat/>
    <w:uiPriority w:val="99"/>
    <w:rPr>
      <w:rFonts w:hAnsi="Times New Roman"/>
      <w:kern w:val="0"/>
    </w:rPr>
  </w:style>
  <w:style w:type="paragraph" w:styleId="16">
    <w:name w:val="annotation text"/>
    <w:basedOn w:val="1"/>
    <w:link w:val="42"/>
    <w:unhideWhenUsed/>
    <w:qFormat/>
    <w:uiPriority w:val="99"/>
    <w:pPr>
      <w:jc w:val="left"/>
    </w:pPr>
    <w:rPr>
      <w:rFonts w:hAnsi="Times New Roman"/>
      <w:kern w:val="0"/>
    </w:rPr>
  </w:style>
  <w:style w:type="paragraph" w:styleId="17">
    <w:name w:val="Balloon Text"/>
    <w:basedOn w:val="1"/>
    <w:link w:val="46"/>
    <w:unhideWhenUsed/>
    <w:qFormat/>
    <w:uiPriority w:val="99"/>
    <w:pPr>
      <w:spacing w:line="240" w:lineRule="auto"/>
    </w:pPr>
    <w:rPr>
      <w:rFonts w:hAnsi="Times New Roman"/>
      <w:kern w:val="0"/>
      <w:sz w:val="18"/>
      <w:szCs w:val="18"/>
    </w:rPr>
  </w:style>
  <w:style w:type="paragraph" w:styleId="18">
    <w:name w:val="header"/>
    <w:basedOn w:val="1"/>
    <w:link w:val="29"/>
    <w:unhideWhenUsed/>
    <w:qFormat/>
    <w:uiPriority w:val="99"/>
    <w:pPr>
      <w:pBdr>
        <w:bottom w:val="single" w:color="auto" w:sz="6" w:space="1"/>
      </w:pBdr>
      <w:tabs>
        <w:tab w:val="center" w:pos="4153"/>
        <w:tab w:val="right" w:pos="8306"/>
      </w:tabs>
      <w:snapToGrid w:val="0"/>
      <w:spacing w:line="240" w:lineRule="auto"/>
      <w:jc w:val="center"/>
    </w:pPr>
    <w:rPr>
      <w:rFonts w:hAnsi="Times New Roman"/>
      <w:kern w:val="0"/>
      <w:sz w:val="18"/>
      <w:szCs w:val="18"/>
    </w:rPr>
  </w:style>
  <w:style w:type="paragraph" w:styleId="19">
    <w:name w:val="toc 1"/>
    <w:basedOn w:val="1"/>
    <w:next w:val="1"/>
    <w:qFormat/>
    <w:uiPriority w:val="39"/>
    <w:pPr>
      <w:tabs>
        <w:tab w:val="right" w:leader="dot" w:pos="8296"/>
      </w:tabs>
    </w:pPr>
  </w:style>
  <w:style w:type="paragraph" w:styleId="20">
    <w:name w:val="toc 2"/>
    <w:basedOn w:val="1"/>
    <w:next w:val="1"/>
    <w:qFormat/>
    <w:uiPriority w:val="39"/>
    <w:pPr>
      <w:spacing w:line="300" w:lineRule="auto"/>
      <w:ind w:left="420" w:leftChars="200"/>
    </w:pPr>
    <w:rPr>
      <w:rFonts w:ascii="Times New Roman" w:eastAsia="仿宋_GB2312"/>
    </w:rPr>
  </w:style>
  <w:style w:type="paragraph" w:styleId="21">
    <w:name w:val="Normal (Web)"/>
    <w:basedOn w:val="1"/>
    <w:unhideWhenUsed/>
    <w:qFormat/>
    <w:uiPriority w:val="99"/>
  </w:style>
  <w:style w:type="paragraph" w:styleId="22">
    <w:name w:val="annotation subject"/>
    <w:basedOn w:val="16"/>
    <w:next w:val="16"/>
    <w:link w:val="49"/>
    <w:unhideWhenUsed/>
    <w:qFormat/>
    <w:uiPriority w:val="99"/>
    <w:rPr>
      <w:b/>
      <w:bCs/>
    </w:rPr>
  </w:style>
  <w:style w:type="character" w:styleId="25">
    <w:name w:val="Hyperlink"/>
    <w:unhideWhenUsed/>
    <w:qFormat/>
    <w:uiPriority w:val="99"/>
    <w:rPr>
      <w:color w:val="0000FF"/>
      <w:u w:val="single"/>
    </w:rPr>
  </w:style>
  <w:style w:type="character" w:styleId="26">
    <w:name w:val="annotation reference"/>
    <w:unhideWhenUsed/>
    <w:qFormat/>
    <w:uiPriority w:val="99"/>
    <w:rPr>
      <w:sz w:val="21"/>
      <w:szCs w:val="21"/>
    </w:rPr>
  </w:style>
  <w:style w:type="character" w:customStyle="1" w:styleId="27">
    <w:name w:val="标题 5 字符"/>
    <w:link w:val="7"/>
    <w:semiHidden/>
    <w:qFormat/>
    <w:uiPriority w:val="9"/>
    <w:rPr>
      <w:rFonts w:ascii="宋体" w:hAnsi="Times New Roman"/>
      <w:b/>
      <w:bCs/>
      <w:kern w:val="2"/>
      <w:sz w:val="28"/>
      <w:szCs w:val="28"/>
    </w:rPr>
  </w:style>
  <w:style w:type="paragraph" w:customStyle="1" w:styleId="28">
    <w:name w:val="样式1"/>
    <w:basedOn w:val="1"/>
    <w:qFormat/>
    <w:uiPriority w:val="0"/>
  </w:style>
  <w:style w:type="character" w:customStyle="1" w:styleId="29">
    <w:name w:val="页眉 字符"/>
    <w:link w:val="18"/>
    <w:qFormat/>
    <w:uiPriority w:val="99"/>
    <w:rPr>
      <w:rFonts w:ascii="宋体" w:hAnsi="Times New Roman" w:eastAsia="宋体" w:cs="Times New Roman"/>
      <w:sz w:val="18"/>
      <w:szCs w:val="18"/>
    </w:rPr>
  </w:style>
  <w:style w:type="character" w:customStyle="1" w:styleId="30">
    <w:name w:val="标题 4 字符1"/>
    <w:link w:val="6"/>
    <w:qFormat/>
    <w:uiPriority w:val="9"/>
    <w:rPr>
      <w:rFonts w:ascii="Cambria" w:hAnsi="Cambria" w:eastAsia="宋体" w:cs="Times New Roman"/>
      <w:b/>
      <w:bCs/>
      <w:kern w:val="2"/>
      <w:sz w:val="28"/>
      <w:szCs w:val="28"/>
    </w:rPr>
  </w:style>
  <w:style w:type="character" w:customStyle="1" w:styleId="31">
    <w:name w:val="样式2 Char"/>
    <w:link w:val="32"/>
    <w:qFormat/>
    <w:uiPriority w:val="0"/>
    <w:rPr>
      <w:rFonts w:ascii="宋体" w:hAnsi="Times New Roman"/>
      <w:sz w:val="24"/>
      <w:szCs w:val="24"/>
    </w:rPr>
  </w:style>
  <w:style w:type="paragraph" w:customStyle="1" w:styleId="32">
    <w:name w:val="样式2"/>
    <w:basedOn w:val="1"/>
    <w:link w:val="31"/>
    <w:qFormat/>
    <w:uiPriority w:val="99"/>
    <w:pPr>
      <w:numPr>
        <w:ilvl w:val="3"/>
        <w:numId w:val="1"/>
      </w:numPr>
    </w:pPr>
    <w:rPr>
      <w:rFonts w:hAnsi="Times New Roman"/>
      <w:kern w:val="0"/>
    </w:rPr>
  </w:style>
  <w:style w:type="character" w:customStyle="1" w:styleId="33">
    <w:name w:val="标题 4 字符"/>
    <w:qFormat/>
    <w:uiPriority w:val="99"/>
    <w:rPr>
      <w:rFonts w:ascii="Cambria" w:hAnsi="Cambria"/>
      <w:b/>
      <w:bCs/>
      <w:sz w:val="28"/>
      <w:szCs w:val="28"/>
    </w:rPr>
  </w:style>
  <w:style w:type="character" w:customStyle="1" w:styleId="34">
    <w:name w:val="标题 字符"/>
    <w:link w:val="14"/>
    <w:qFormat/>
    <w:uiPriority w:val="10"/>
    <w:rPr>
      <w:rFonts w:ascii="Calibri Light" w:hAnsi="Calibri Light" w:cs="Times New Roman"/>
      <w:b/>
      <w:bCs/>
      <w:kern w:val="2"/>
      <w:sz w:val="32"/>
      <w:szCs w:val="32"/>
    </w:rPr>
  </w:style>
  <w:style w:type="character" w:customStyle="1" w:styleId="35">
    <w:name w:val="页脚 字符"/>
    <w:link w:val="2"/>
    <w:qFormat/>
    <w:uiPriority w:val="99"/>
    <w:rPr>
      <w:rFonts w:ascii="宋体" w:hAnsi="Times New Roman" w:eastAsia="宋体" w:cs="Times New Roman"/>
      <w:sz w:val="18"/>
      <w:szCs w:val="18"/>
    </w:rPr>
  </w:style>
  <w:style w:type="character" w:customStyle="1" w:styleId="36">
    <w:name w:val="标题 3 字符"/>
    <w:link w:val="5"/>
    <w:qFormat/>
    <w:uiPriority w:val="0"/>
    <w:rPr>
      <w:rFonts w:ascii="宋体" w:hAnsi="Times New Roman"/>
      <w:b/>
      <w:sz w:val="24"/>
      <w:szCs w:val="24"/>
    </w:rPr>
  </w:style>
  <w:style w:type="character" w:customStyle="1" w:styleId="37">
    <w:name w:val="方案正文 Char"/>
    <w:link w:val="38"/>
    <w:qFormat/>
    <w:uiPriority w:val="0"/>
    <w:rPr>
      <w:rFonts w:ascii="仿宋_GB2312" w:hAnsi="Times New Roman"/>
      <w:kern w:val="2"/>
      <w:sz w:val="24"/>
      <w:szCs w:val="24"/>
    </w:rPr>
  </w:style>
  <w:style w:type="paragraph" w:customStyle="1" w:styleId="38">
    <w:name w:val="方案正文"/>
    <w:basedOn w:val="1"/>
    <w:link w:val="37"/>
    <w:qFormat/>
    <w:uiPriority w:val="0"/>
    <w:pPr>
      <w:ind w:firstLine="480" w:firstLineChars="200"/>
    </w:pPr>
    <w:rPr>
      <w:rFonts w:ascii="仿宋_GB2312" w:hAnsi="Times New Roman"/>
    </w:rPr>
  </w:style>
  <w:style w:type="character" w:customStyle="1" w:styleId="39">
    <w:name w:val="标题 1 字符"/>
    <w:link w:val="3"/>
    <w:qFormat/>
    <w:uiPriority w:val="0"/>
    <w:rPr>
      <w:rFonts w:ascii="宋体" w:hAnsi="Times New Roman"/>
      <w:b/>
      <w:bCs/>
      <w:kern w:val="44"/>
      <w:sz w:val="24"/>
      <w:szCs w:val="44"/>
    </w:rPr>
  </w:style>
  <w:style w:type="character" w:customStyle="1" w:styleId="40">
    <w:name w:val="列出段落 Char"/>
    <w:link w:val="41"/>
    <w:qFormat/>
    <w:uiPriority w:val="34"/>
    <w:rPr>
      <w:lang w:eastAsia="en-US" w:bidi="en-US"/>
    </w:rPr>
  </w:style>
  <w:style w:type="paragraph" w:customStyle="1" w:styleId="41">
    <w:name w:val="列出段落1"/>
    <w:basedOn w:val="1"/>
    <w:link w:val="40"/>
    <w:qFormat/>
    <w:uiPriority w:val="34"/>
    <w:pPr>
      <w:widowControl/>
      <w:spacing w:after="200" w:line="276" w:lineRule="auto"/>
      <w:ind w:left="720"/>
      <w:contextualSpacing/>
    </w:pPr>
    <w:rPr>
      <w:rFonts w:ascii="Calibri"/>
      <w:kern w:val="0"/>
      <w:sz w:val="20"/>
      <w:szCs w:val="20"/>
      <w:lang w:eastAsia="en-US" w:bidi="en-US"/>
    </w:rPr>
  </w:style>
  <w:style w:type="character" w:customStyle="1" w:styleId="42">
    <w:name w:val="批注文字 字符"/>
    <w:link w:val="16"/>
    <w:semiHidden/>
    <w:qFormat/>
    <w:uiPriority w:val="99"/>
    <w:rPr>
      <w:rFonts w:ascii="宋体" w:hAnsi="Times New Roman" w:eastAsia="宋体" w:cs="Times New Roman"/>
      <w:sz w:val="24"/>
      <w:szCs w:val="24"/>
    </w:rPr>
  </w:style>
  <w:style w:type="character" w:customStyle="1" w:styleId="43">
    <w:name w:val="标题 2 字符"/>
    <w:link w:val="4"/>
    <w:qFormat/>
    <w:uiPriority w:val="0"/>
    <w:rPr>
      <w:rFonts w:ascii="宋体" w:hAnsi="Arial"/>
      <w:b/>
      <w:bCs/>
      <w:sz w:val="24"/>
      <w:szCs w:val="32"/>
    </w:rPr>
  </w:style>
  <w:style w:type="character" w:customStyle="1" w:styleId="44">
    <w:name w:val="标题 5级 Char"/>
    <w:link w:val="45"/>
    <w:qFormat/>
    <w:uiPriority w:val="0"/>
    <w:rPr>
      <w:rFonts w:ascii="宋体" w:hAnsi="Times New Roman"/>
      <w:b/>
      <w:bCs/>
      <w:kern w:val="2"/>
      <w:sz w:val="24"/>
      <w:szCs w:val="28"/>
    </w:rPr>
  </w:style>
  <w:style w:type="paragraph" w:customStyle="1" w:styleId="45">
    <w:name w:val="标题 5级"/>
    <w:basedOn w:val="7"/>
    <w:link w:val="44"/>
    <w:qFormat/>
    <w:uiPriority w:val="0"/>
    <w:pPr>
      <w:numPr>
        <w:ilvl w:val="4"/>
        <w:numId w:val="1"/>
      </w:numPr>
      <w:spacing w:before="0" w:after="0" w:line="377" w:lineRule="auto"/>
    </w:pPr>
    <w:rPr>
      <w:sz w:val="24"/>
    </w:rPr>
  </w:style>
  <w:style w:type="character" w:customStyle="1" w:styleId="46">
    <w:name w:val="批注框文本 字符"/>
    <w:link w:val="17"/>
    <w:semiHidden/>
    <w:qFormat/>
    <w:uiPriority w:val="99"/>
    <w:rPr>
      <w:rFonts w:ascii="宋体" w:hAnsi="Times New Roman" w:eastAsia="宋体" w:cs="Times New Roman"/>
      <w:sz w:val="18"/>
      <w:szCs w:val="18"/>
    </w:rPr>
  </w:style>
  <w:style w:type="character" w:customStyle="1" w:styleId="47">
    <w:name w:val="正文文本 字符"/>
    <w:link w:val="13"/>
    <w:qFormat/>
    <w:uiPriority w:val="0"/>
    <w:rPr>
      <w:rFonts w:eastAsia="仿宋_GB2312"/>
      <w:kern w:val="2"/>
      <w:sz w:val="24"/>
      <w:szCs w:val="24"/>
    </w:rPr>
  </w:style>
  <w:style w:type="character" w:customStyle="1" w:styleId="48">
    <w:name w:val="文档结构图 字符"/>
    <w:link w:val="15"/>
    <w:semiHidden/>
    <w:qFormat/>
    <w:uiPriority w:val="99"/>
    <w:rPr>
      <w:rFonts w:ascii="宋体" w:hAnsi="Times New Roman" w:eastAsia="宋体" w:cs="Times New Roman"/>
      <w:sz w:val="24"/>
      <w:szCs w:val="24"/>
    </w:rPr>
  </w:style>
  <w:style w:type="character" w:customStyle="1" w:styleId="49">
    <w:name w:val="批注主题 字符"/>
    <w:link w:val="22"/>
    <w:semiHidden/>
    <w:qFormat/>
    <w:uiPriority w:val="99"/>
    <w:rPr>
      <w:rFonts w:ascii="宋体" w:hAnsi="Times New Roman" w:eastAsia="宋体" w:cs="Times New Roman"/>
      <w:b/>
      <w:bCs/>
      <w:sz w:val="24"/>
      <w:szCs w:val="24"/>
    </w:rPr>
  </w:style>
  <w:style w:type="character" w:customStyle="1" w:styleId="50">
    <w:name w:val="正文文本 Char1"/>
    <w:semiHidden/>
    <w:qFormat/>
    <w:uiPriority w:val="99"/>
    <w:rPr>
      <w:rFonts w:ascii="宋体" w:hAnsi="Times New Roman"/>
      <w:kern w:val="2"/>
      <w:sz w:val="24"/>
      <w:szCs w:val="24"/>
    </w:rPr>
  </w:style>
  <w:style w:type="paragraph" w:customStyle="1" w:styleId="51">
    <w:name w:val="A3"/>
    <w:basedOn w:val="6"/>
    <w:next w:val="1"/>
    <w:qFormat/>
    <w:uiPriority w:val="0"/>
    <w:pPr>
      <w:numPr>
        <w:ilvl w:val="2"/>
        <w:numId w:val="2"/>
      </w:numPr>
      <w:spacing w:before="0" w:after="0" w:line="360" w:lineRule="auto"/>
      <w:outlineLvl w:val="2"/>
    </w:pPr>
  </w:style>
  <w:style w:type="paragraph" w:customStyle="1" w:styleId="52">
    <w:name w:val="A4"/>
    <w:basedOn w:val="1"/>
    <w:qFormat/>
    <w:uiPriority w:val="0"/>
    <w:pPr>
      <w:numPr>
        <w:ilvl w:val="3"/>
        <w:numId w:val="2"/>
      </w:numPr>
      <w:outlineLvl w:val="3"/>
    </w:pPr>
    <w:rPr>
      <w:rFonts w:hAnsi="Times New Roman"/>
      <w:b/>
    </w:rPr>
  </w:style>
  <w:style w:type="paragraph" w:customStyle="1" w:styleId="53">
    <w:name w:val="正文-默安"/>
    <w:qFormat/>
    <w:uiPriority w:val="0"/>
    <w:pPr>
      <w:widowControl w:val="0"/>
      <w:spacing w:before="120" w:after="120" w:line="360" w:lineRule="auto"/>
      <w:ind w:firstLine="200" w:firstLineChars="200"/>
    </w:pPr>
    <w:rPr>
      <w:rFonts w:ascii="等线" w:hAnsi="Arial" w:eastAsia="SimSun-ExtB" w:cs="Arial"/>
      <w:kern w:val="2"/>
      <w:sz w:val="21"/>
      <w:szCs w:val="21"/>
      <w:lang w:val="en-US" w:eastAsia="zh-CN" w:bidi="ar-SA"/>
    </w:rPr>
  </w:style>
  <w:style w:type="paragraph" w:styleId="54">
    <w:name w:val="List Paragraph"/>
    <w:basedOn w:val="1"/>
    <w:unhideWhenUsed/>
    <w:qFormat/>
    <w:uiPriority w:val="99"/>
    <w:pPr>
      <w:ind w:firstLine="420" w:firstLineChars="200"/>
    </w:pPr>
  </w:style>
  <w:style w:type="character" w:customStyle="1" w:styleId="55">
    <w:name w:val="标题 6 字符"/>
    <w:basedOn w:val="24"/>
    <w:link w:val="8"/>
    <w:qFormat/>
    <w:uiPriority w:val="0"/>
    <w:rPr>
      <w:b/>
      <w:bCs/>
      <w:kern w:val="2"/>
      <w:sz w:val="24"/>
      <w:szCs w:val="24"/>
    </w:rPr>
  </w:style>
  <w:style w:type="character" w:customStyle="1" w:styleId="56">
    <w:name w:val="标题 7 字符"/>
    <w:basedOn w:val="24"/>
    <w:link w:val="9"/>
    <w:qFormat/>
    <w:uiPriority w:val="0"/>
    <w:rPr>
      <w:b/>
      <w:bCs/>
      <w:kern w:val="2"/>
      <w:sz w:val="24"/>
      <w:szCs w:val="24"/>
    </w:rPr>
  </w:style>
  <w:style w:type="character" w:customStyle="1" w:styleId="57">
    <w:name w:val="标题 8 字符"/>
    <w:basedOn w:val="24"/>
    <w:link w:val="10"/>
    <w:qFormat/>
    <w:uiPriority w:val="0"/>
    <w:rPr>
      <w:rFonts w:ascii="Arial" w:hAnsi="Arial" w:eastAsia="黑体"/>
      <w:kern w:val="2"/>
      <w:sz w:val="24"/>
      <w:szCs w:val="24"/>
    </w:rPr>
  </w:style>
  <w:style w:type="character" w:customStyle="1" w:styleId="58">
    <w:name w:val="标题 9 字符"/>
    <w:basedOn w:val="24"/>
    <w:link w:val="11"/>
    <w:qFormat/>
    <w:uiPriority w:val="0"/>
    <w:rPr>
      <w:rFonts w:ascii="Arial" w:hAnsi="Arial" w:eastAsia="黑体"/>
      <w:kern w:val="2"/>
      <w:sz w:val="21"/>
      <w:szCs w:val="21"/>
    </w:rPr>
  </w:style>
  <w:style w:type="character" w:customStyle="1" w:styleId="59">
    <w:name w:val="正文缩进 字符"/>
    <w:link w:val="12"/>
    <w:qFormat/>
    <w:uiPriority w:val="0"/>
    <w:rPr>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15</Pages>
  <Words>8213</Words>
  <Characters>8969</Characters>
  <Lines>78</Lines>
  <Paragraphs>21</Paragraphs>
  <TotalTime>7</TotalTime>
  <ScaleCrop>false</ScaleCrop>
  <LinksUpToDate>false</LinksUpToDate>
  <CharactersWithSpaces>8994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2023-09-14T02:24:00Z</dcterms:created>
  <dc:creator>Victor Gor</dc:creator>
  <cp:lastModifiedBy>李延军</cp:lastModifiedBy>
  <cp:lastPrinted>2016-04-29T02:57:00Z</cp:lastPrinted>
  <dcterms:modified xsi:type="dcterms:W3CDTF">2025-12-18T03:25:17Z</dcterms:modified>
  <dc:title>综合数据网管理平台数据质量治理</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0AE9421EF5614E95981ABAA030F7A0A7</vt:lpwstr>
  </property>
  <property fmtid="{D5CDD505-2E9C-101B-9397-08002B2CF9AE}" pid="4" name="KSOTemplateDocerSaveRecord">
    <vt:lpwstr>eyJoZGlkIjoiMzEwNTM5NzYwMDRjMzkwZTVkZjY2ODkwMGIxNGU0OTUiLCJ1c2VySWQiOiI2NTExNDE0OTgifQ==</vt:lpwstr>
  </property>
</Properties>
</file>