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808FE4">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三亚供电局2025年一种低压配网末端线路电能质量综合调理装置的测试化验加工服务公开零星</w:t>
      </w:r>
      <w:r>
        <w:rPr>
          <w:rFonts w:hint="default" w:asciiTheme="minorEastAsia" w:hAnsiTheme="minorEastAsia" w:eastAsiaTheme="minorEastAsia" w:cstheme="minorEastAsia"/>
          <w:b/>
          <w:bCs/>
          <w:color w:val="auto"/>
          <w:sz w:val="28"/>
          <w:szCs w:val="28"/>
          <w:highlight w:val="none"/>
          <w:lang w:val="en-US" w:eastAsia="zh-CN"/>
        </w:rPr>
        <w:t>采购</w:t>
      </w:r>
      <w:r>
        <w:rPr>
          <w:rFonts w:hint="eastAsia" w:asciiTheme="minorEastAsia" w:hAnsiTheme="minorEastAsia" w:eastAsiaTheme="minorEastAsia" w:cstheme="minorEastAsia"/>
          <w:b/>
          <w:bCs/>
          <w:color w:val="auto"/>
          <w:sz w:val="28"/>
          <w:szCs w:val="28"/>
          <w:highlight w:val="none"/>
          <w:lang w:val="en-US" w:eastAsia="zh-CN"/>
        </w:rPr>
        <w:t>报价表</w:t>
      </w:r>
    </w:p>
    <w:p w14:paraId="77BE4D1F">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海南电网有限责任公司三亚供电局</w:t>
      </w:r>
      <w:r>
        <w:rPr>
          <w:rFonts w:hint="eastAsia" w:asciiTheme="minorEastAsia" w:hAnsiTheme="minorEastAsia" w:eastAsiaTheme="minorEastAsia" w:cstheme="minorEastAsia"/>
          <w:color w:val="auto"/>
          <w:sz w:val="21"/>
          <w:szCs w:val="21"/>
          <w:highlight w:val="none"/>
          <w:lang w:val="en-US" w:eastAsia="zh-CN"/>
        </w:rPr>
        <w:t>：</w:t>
      </w:r>
    </w:p>
    <w:p w14:paraId="72D2D36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我公司愿意按照贵</w:t>
      </w:r>
      <w:r>
        <w:rPr>
          <w:rFonts w:hint="eastAsia" w:asciiTheme="minorEastAsia" w:hAnsiTheme="minorEastAsia" w:eastAsiaTheme="minorEastAsia" w:cstheme="minorEastAsia"/>
          <w:color w:val="auto"/>
          <w:sz w:val="21"/>
          <w:szCs w:val="21"/>
          <w:highlight w:val="none"/>
          <w:u w:val="single"/>
          <w:lang w:val="en-US" w:eastAsia="zh-CN"/>
        </w:rPr>
        <w:t>单位</w:t>
      </w:r>
      <w:r>
        <w:rPr>
          <w:rFonts w:hint="eastAsia" w:asciiTheme="minorEastAsia" w:hAnsiTheme="minorEastAsia" w:eastAsiaTheme="minorEastAsia" w:cstheme="minorEastAsia"/>
          <w:color w:val="auto"/>
          <w:sz w:val="21"/>
          <w:szCs w:val="21"/>
          <w:highlight w:val="none"/>
          <w:lang w:val="en-US" w:eastAsia="zh-CN"/>
        </w:rPr>
        <w:t>要求，按照以下报价和承诺提供所需的</w:t>
      </w:r>
      <w:r>
        <w:rPr>
          <w:rFonts w:hint="eastAsia" w:asciiTheme="minorEastAsia" w:hAnsiTheme="minorEastAsia" w:eastAsiaTheme="minorEastAsia" w:cstheme="minorEastAsia"/>
          <w:color w:val="auto"/>
          <w:sz w:val="21"/>
          <w:szCs w:val="21"/>
          <w:highlight w:val="none"/>
          <w:u w:val="single"/>
          <w:lang w:val="en-US" w:eastAsia="zh-CN"/>
        </w:rPr>
        <w:t>服务</w:t>
      </w:r>
      <w:r>
        <w:rPr>
          <w:rFonts w:hint="eastAsia" w:asciiTheme="minorEastAsia" w:hAnsiTheme="minorEastAsia" w:eastAsiaTheme="minorEastAsia" w:cstheme="minorEastAsia"/>
          <w:color w:val="auto"/>
          <w:sz w:val="21"/>
          <w:szCs w:val="21"/>
          <w:highlight w:val="none"/>
          <w:lang w:val="en-US" w:eastAsia="zh-CN"/>
        </w:rPr>
        <w:t>：</w:t>
      </w:r>
    </w:p>
    <w:p w14:paraId="79591BD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一、报价表</w:t>
      </w:r>
    </w:p>
    <w:tbl>
      <w:tblPr>
        <w:tblStyle w:val="4"/>
        <w:tblW w:w="9532" w:type="dxa"/>
        <w:jc w:val="center"/>
        <w:tblBorders>
          <w:top w:val="single" w:color="auto" w:sz="6" w:space="0"/>
          <w:left w:val="single" w:color="auto" w:sz="6" w:space="0"/>
          <w:bottom w:val="single" w:color="auto" w:sz="6" w:space="0"/>
          <w:right w:val="single" w:color="auto" w:sz="6" w:space="0"/>
          <w:insideH w:val="single" w:color="auto" w:sz="8" w:space="0"/>
          <w:insideV w:val="single" w:color="auto" w:sz="8" w:space="0"/>
        </w:tblBorders>
        <w:tblLayout w:type="fixed"/>
        <w:tblCellMar>
          <w:top w:w="0" w:type="dxa"/>
          <w:left w:w="57" w:type="dxa"/>
          <w:bottom w:w="0" w:type="dxa"/>
          <w:right w:w="57" w:type="dxa"/>
        </w:tblCellMar>
      </w:tblPr>
      <w:tblGrid>
        <w:gridCol w:w="776"/>
        <w:gridCol w:w="1543"/>
        <w:gridCol w:w="2434"/>
        <w:gridCol w:w="951"/>
        <w:gridCol w:w="969"/>
        <w:gridCol w:w="1166"/>
        <w:gridCol w:w="668"/>
        <w:gridCol w:w="1025"/>
      </w:tblGrid>
      <w:tr w14:paraId="73223DFF">
        <w:tblPrEx>
          <w:tblBorders>
            <w:top w:val="single" w:color="auto" w:sz="6" w:space="0"/>
            <w:left w:val="single" w:color="auto" w:sz="6" w:space="0"/>
            <w:bottom w:val="single" w:color="auto" w:sz="6" w:space="0"/>
            <w:right w:val="single" w:color="auto" w:sz="6" w:space="0"/>
            <w:insideH w:val="single" w:color="auto" w:sz="8" w:space="0"/>
            <w:insideV w:val="single" w:color="auto" w:sz="8" w:space="0"/>
          </w:tblBorders>
          <w:tblCellMar>
            <w:top w:w="0" w:type="dxa"/>
            <w:left w:w="57" w:type="dxa"/>
            <w:bottom w:w="0" w:type="dxa"/>
            <w:right w:w="57" w:type="dxa"/>
          </w:tblCellMar>
        </w:tblPrEx>
        <w:trPr>
          <w:trHeight w:val="448" w:hRule="atLeast"/>
          <w:tblHeader/>
          <w:jc w:val="center"/>
        </w:trPr>
        <w:tc>
          <w:tcPr>
            <w:tcW w:w="776" w:type="dxa"/>
            <w:tcBorders>
              <w:top w:val="single" w:color="auto" w:sz="6" w:space="0"/>
              <w:left w:val="single" w:color="auto" w:sz="6" w:space="0"/>
              <w:bottom w:val="single" w:color="auto" w:sz="6" w:space="0"/>
              <w:right w:val="single" w:color="auto" w:sz="6" w:space="0"/>
            </w:tcBorders>
            <w:noWrap w:val="0"/>
            <w:vAlign w:val="center"/>
          </w:tcPr>
          <w:p w14:paraId="6AFF62FE">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b/>
                <w:color w:val="auto"/>
                <w:kern w:val="0"/>
                <w:sz w:val="18"/>
                <w:szCs w:val="18"/>
                <w:highlight w:val="none"/>
              </w:rPr>
            </w:pPr>
            <w:r>
              <w:rPr>
                <w:rFonts w:hint="eastAsia" w:asciiTheme="minorEastAsia" w:hAnsiTheme="minorEastAsia" w:eastAsiaTheme="minorEastAsia" w:cstheme="minorEastAsia"/>
                <w:b/>
                <w:color w:val="auto"/>
                <w:kern w:val="0"/>
                <w:sz w:val="18"/>
                <w:szCs w:val="18"/>
                <w:highlight w:val="none"/>
              </w:rPr>
              <w:t>序号</w:t>
            </w:r>
          </w:p>
        </w:tc>
        <w:tc>
          <w:tcPr>
            <w:tcW w:w="1543" w:type="dxa"/>
            <w:tcBorders>
              <w:top w:val="single" w:color="auto" w:sz="6" w:space="0"/>
              <w:left w:val="single" w:color="auto" w:sz="6" w:space="0"/>
              <w:bottom w:val="single" w:color="auto" w:sz="6" w:space="0"/>
              <w:right w:val="single" w:color="auto" w:sz="6" w:space="0"/>
            </w:tcBorders>
            <w:noWrap w:val="0"/>
            <w:vAlign w:val="center"/>
          </w:tcPr>
          <w:p w14:paraId="372603D3">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b/>
                <w:color w:val="auto"/>
                <w:kern w:val="0"/>
                <w:sz w:val="18"/>
                <w:szCs w:val="18"/>
                <w:highlight w:val="none"/>
                <w:lang w:val="en-US" w:eastAsia="zh-CN"/>
              </w:rPr>
            </w:pPr>
            <w:r>
              <w:rPr>
                <w:rFonts w:hint="eastAsia" w:asciiTheme="minorEastAsia" w:hAnsiTheme="minorEastAsia" w:eastAsiaTheme="minorEastAsia" w:cstheme="minorEastAsia"/>
                <w:b/>
                <w:color w:val="auto"/>
                <w:kern w:val="0"/>
                <w:sz w:val="18"/>
                <w:szCs w:val="18"/>
                <w:highlight w:val="none"/>
                <w:lang w:val="en-US" w:eastAsia="zh-CN"/>
              </w:rPr>
              <w:t>名称</w:t>
            </w:r>
          </w:p>
        </w:tc>
        <w:tc>
          <w:tcPr>
            <w:tcW w:w="2434" w:type="dxa"/>
            <w:tcBorders>
              <w:top w:val="single" w:color="auto" w:sz="6" w:space="0"/>
              <w:left w:val="single" w:color="auto" w:sz="6" w:space="0"/>
              <w:bottom w:val="single" w:color="auto" w:sz="6" w:space="0"/>
              <w:right w:val="single" w:color="auto" w:sz="6" w:space="0"/>
            </w:tcBorders>
            <w:noWrap w:val="0"/>
            <w:vAlign w:val="center"/>
          </w:tcPr>
          <w:p w14:paraId="5651690D">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b/>
                <w:color w:val="auto"/>
                <w:kern w:val="0"/>
                <w:sz w:val="18"/>
                <w:szCs w:val="18"/>
                <w:highlight w:val="none"/>
                <w:lang w:eastAsia="zh-CN"/>
              </w:rPr>
            </w:pPr>
            <w:r>
              <w:rPr>
                <w:rFonts w:hint="eastAsia" w:asciiTheme="minorEastAsia" w:hAnsiTheme="minorEastAsia" w:eastAsiaTheme="minorEastAsia" w:cstheme="minorEastAsia"/>
                <w:b/>
                <w:bCs/>
                <w:i w:val="0"/>
                <w:iCs w:val="0"/>
                <w:color w:val="auto"/>
                <w:sz w:val="18"/>
                <w:szCs w:val="18"/>
                <w:highlight w:val="none"/>
                <w:u w:val="none"/>
                <w:vertAlign w:val="baseline"/>
                <w:lang w:val="en-US" w:eastAsia="zh-CN"/>
              </w:rPr>
              <w:t>商务、技术要求</w:t>
            </w:r>
          </w:p>
        </w:tc>
        <w:tc>
          <w:tcPr>
            <w:tcW w:w="951" w:type="dxa"/>
            <w:tcBorders>
              <w:top w:val="single" w:color="auto" w:sz="6" w:space="0"/>
              <w:left w:val="single" w:color="auto" w:sz="6" w:space="0"/>
              <w:bottom w:val="single" w:color="auto" w:sz="6" w:space="0"/>
              <w:right w:val="single" w:color="auto" w:sz="6" w:space="0"/>
            </w:tcBorders>
            <w:noWrap w:val="0"/>
            <w:vAlign w:val="center"/>
          </w:tcPr>
          <w:p w14:paraId="33E32F2C">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b/>
                <w:color w:val="auto"/>
                <w:kern w:val="0"/>
                <w:sz w:val="18"/>
                <w:szCs w:val="18"/>
                <w:highlight w:val="none"/>
              </w:rPr>
            </w:pPr>
            <w:r>
              <w:rPr>
                <w:rFonts w:hint="eastAsia" w:asciiTheme="minorEastAsia" w:hAnsiTheme="minorEastAsia" w:eastAsiaTheme="minorEastAsia" w:cstheme="minorEastAsia"/>
                <w:b/>
                <w:color w:val="auto"/>
                <w:kern w:val="0"/>
                <w:sz w:val="18"/>
                <w:szCs w:val="18"/>
                <w:highlight w:val="none"/>
              </w:rPr>
              <w:t>数量</w:t>
            </w:r>
          </w:p>
        </w:tc>
        <w:tc>
          <w:tcPr>
            <w:tcW w:w="969" w:type="dxa"/>
            <w:tcBorders>
              <w:top w:val="single" w:color="auto" w:sz="6" w:space="0"/>
              <w:left w:val="single" w:color="auto" w:sz="6" w:space="0"/>
              <w:bottom w:val="single" w:color="auto" w:sz="6" w:space="0"/>
              <w:right w:val="single" w:color="auto" w:sz="4" w:space="0"/>
            </w:tcBorders>
            <w:noWrap w:val="0"/>
            <w:vAlign w:val="center"/>
          </w:tcPr>
          <w:p w14:paraId="48B6DCA3">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b/>
                <w:color w:val="auto"/>
                <w:kern w:val="0"/>
                <w:sz w:val="18"/>
                <w:szCs w:val="18"/>
                <w:highlight w:val="none"/>
              </w:rPr>
            </w:pPr>
            <w:r>
              <w:rPr>
                <w:rFonts w:hint="eastAsia" w:asciiTheme="minorEastAsia" w:hAnsiTheme="minorEastAsia" w:eastAsiaTheme="minorEastAsia" w:cstheme="minorEastAsia"/>
                <w:b/>
                <w:color w:val="auto"/>
                <w:kern w:val="0"/>
                <w:sz w:val="18"/>
                <w:szCs w:val="18"/>
                <w:highlight w:val="none"/>
              </w:rPr>
              <w:t>单位</w:t>
            </w:r>
          </w:p>
        </w:tc>
        <w:tc>
          <w:tcPr>
            <w:tcW w:w="1166" w:type="dxa"/>
            <w:tcBorders>
              <w:top w:val="single" w:color="auto" w:sz="6" w:space="0"/>
              <w:left w:val="single" w:color="auto" w:sz="4" w:space="0"/>
              <w:bottom w:val="single" w:color="auto" w:sz="6" w:space="0"/>
              <w:right w:val="single" w:color="auto" w:sz="4" w:space="0"/>
            </w:tcBorders>
            <w:noWrap w:val="0"/>
            <w:vAlign w:val="center"/>
          </w:tcPr>
          <w:p w14:paraId="0833393C">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b/>
                <w:color w:val="auto"/>
                <w:kern w:val="0"/>
                <w:sz w:val="18"/>
                <w:szCs w:val="18"/>
                <w:highlight w:val="none"/>
              </w:rPr>
            </w:pPr>
            <w:r>
              <w:rPr>
                <w:rFonts w:hint="eastAsia" w:asciiTheme="minorEastAsia" w:hAnsiTheme="minorEastAsia" w:eastAsiaTheme="minorEastAsia" w:cstheme="minorEastAsia"/>
                <w:b/>
                <w:color w:val="auto"/>
                <w:kern w:val="0"/>
                <w:sz w:val="18"/>
                <w:szCs w:val="18"/>
                <w:highlight w:val="none"/>
                <w:lang w:val="en-US" w:eastAsia="zh-CN"/>
              </w:rPr>
              <w:t>含税</w:t>
            </w:r>
            <w:r>
              <w:rPr>
                <w:rFonts w:hint="eastAsia" w:asciiTheme="minorEastAsia" w:hAnsiTheme="minorEastAsia" w:eastAsiaTheme="minorEastAsia" w:cstheme="minorEastAsia"/>
                <w:b/>
                <w:color w:val="auto"/>
                <w:kern w:val="0"/>
                <w:sz w:val="18"/>
                <w:szCs w:val="18"/>
                <w:highlight w:val="none"/>
              </w:rPr>
              <w:t>单价（元）</w:t>
            </w:r>
          </w:p>
        </w:tc>
        <w:tc>
          <w:tcPr>
            <w:tcW w:w="668" w:type="dxa"/>
            <w:tcBorders>
              <w:top w:val="single" w:color="auto" w:sz="6" w:space="0"/>
              <w:left w:val="single" w:color="auto" w:sz="4" w:space="0"/>
              <w:bottom w:val="single" w:color="auto" w:sz="6" w:space="0"/>
              <w:right w:val="single" w:color="auto" w:sz="4" w:space="0"/>
            </w:tcBorders>
            <w:noWrap w:val="0"/>
            <w:vAlign w:val="center"/>
          </w:tcPr>
          <w:p w14:paraId="7E5942B9">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b/>
                <w:color w:val="auto"/>
                <w:kern w:val="0"/>
                <w:sz w:val="18"/>
                <w:szCs w:val="18"/>
                <w:highlight w:val="none"/>
              </w:rPr>
            </w:pPr>
            <w:r>
              <w:rPr>
                <w:rFonts w:hint="eastAsia" w:asciiTheme="minorEastAsia" w:hAnsiTheme="minorEastAsia" w:eastAsiaTheme="minorEastAsia" w:cstheme="minorEastAsia"/>
                <w:b/>
                <w:color w:val="auto"/>
                <w:kern w:val="0"/>
                <w:sz w:val="18"/>
                <w:szCs w:val="18"/>
                <w:highlight w:val="none"/>
                <w:lang w:val="en-US" w:eastAsia="zh-CN"/>
              </w:rPr>
              <w:t>含税</w:t>
            </w:r>
            <w:r>
              <w:rPr>
                <w:rFonts w:hint="eastAsia" w:asciiTheme="minorEastAsia" w:hAnsiTheme="minorEastAsia" w:eastAsiaTheme="minorEastAsia" w:cstheme="minorEastAsia"/>
                <w:b/>
                <w:color w:val="auto"/>
                <w:kern w:val="0"/>
                <w:sz w:val="18"/>
                <w:szCs w:val="18"/>
                <w:highlight w:val="none"/>
              </w:rPr>
              <w:t>总价（元）</w:t>
            </w:r>
          </w:p>
        </w:tc>
        <w:tc>
          <w:tcPr>
            <w:tcW w:w="1025" w:type="dxa"/>
            <w:tcBorders>
              <w:top w:val="single" w:color="auto" w:sz="6" w:space="0"/>
              <w:left w:val="single" w:color="auto" w:sz="4" w:space="0"/>
              <w:bottom w:val="single" w:color="auto" w:sz="6" w:space="0"/>
              <w:right w:val="single" w:color="auto" w:sz="4" w:space="0"/>
            </w:tcBorders>
            <w:noWrap w:val="0"/>
            <w:vAlign w:val="center"/>
          </w:tcPr>
          <w:p w14:paraId="4798AF99">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heme="minorEastAsia" w:hAnsiTheme="minorEastAsia" w:eastAsiaTheme="minorEastAsia" w:cstheme="minorEastAsia"/>
                <w:b/>
                <w:color w:val="auto"/>
                <w:kern w:val="0"/>
                <w:sz w:val="18"/>
                <w:szCs w:val="18"/>
                <w:highlight w:val="none"/>
                <w:lang w:val="en-US" w:eastAsia="zh-CN"/>
              </w:rPr>
            </w:pPr>
            <w:r>
              <w:rPr>
                <w:rFonts w:hint="eastAsia" w:asciiTheme="minorEastAsia" w:hAnsiTheme="minorEastAsia" w:eastAsiaTheme="minorEastAsia" w:cstheme="minorEastAsia"/>
                <w:b/>
                <w:bCs/>
                <w:color w:val="auto"/>
                <w:sz w:val="18"/>
                <w:szCs w:val="18"/>
                <w:highlight w:val="none"/>
                <w:lang w:val="en-US" w:eastAsia="zh-CN"/>
              </w:rPr>
              <w:t>交付/履行</w:t>
            </w:r>
            <w:r>
              <w:rPr>
                <w:rFonts w:hint="eastAsia" w:asciiTheme="minorEastAsia" w:hAnsiTheme="minorEastAsia" w:eastAsiaTheme="minorEastAsia" w:cstheme="minorEastAsia"/>
                <w:b/>
                <w:bCs/>
                <w:color w:val="auto"/>
                <w:sz w:val="18"/>
                <w:szCs w:val="18"/>
                <w:highlight w:val="none"/>
                <w:lang w:eastAsia="zh-CN"/>
              </w:rPr>
              <w:t>日期</w:t>
            </w:r>
          </w:p>
        </w:tc>
      </w:tr>
      <w:tr w14:paraId="1AB48B39">
        <w:tblPrEx>
          <w:tblBorders>
            <w:top w:val="single" w:color="auto" w:sz="6" w:space="0"/>
            <w:left w:val="single" w:color="auto" w:sz="6" w:space="0"/>
            <w:bottom w:val="single" w:color="auto" w:sz="6" w:space="0"/>
            <w:right w:val="single" w:color="auto" w:sz="6" w:space="0"/>
            <w:insideH w:val="single" w:color="auto" w:sz="8" w:space="0"/>
            <w:insideV w:val="single" w:color="auto" w:sz="8" w:space="0"/>
          </w:tblBorders>
          <w:tblCellMar>
            <w:top w:w="0" w:type="dxa"/>
            <w:left w:w="57" w:type="dxa"/>
            <w:bottom w:w="0" w:type="dxa"/>
            <w:right w:w="57" w:type="dxa"/>
          </w:tblCellMar>
        </w:tblPrEx>
        <w:trPr>
          <w:trHeight w:val="363" w:hRule="atLeast"/>
          <w:jc w:val="center"/>
        </w:trPr>
        <w:tc>
          <w:tcPr>
            <w:tcW w:w="776" w:type="dxa"/>
            <w:tcBorders>
              <w:top w:val="single" w:color="auto" w:sz="6" w:space="0"/>
              <w:left w:val="single" w:color="auto" w:sz="6" w:space="0"/>
              <w:bottom w:val="single" w:color="auto" w:sz="6" w:space="0"/>
              <w:right w:val="single" w:color="auto" w:sz="6" w:space="0"/>
            </w:tcBorders>
            <w:noWrap w:val="0"/>
            <w:vAlign w:val="center"/>
          </w:tcPr>
          <w:p w14:paraId="1B0FD29E">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w:t>
            </w:r>
          </w:p>
        </w:tc>
        <w:tc>
          <w:tcPr>
            <w:tcW w:w="1543" w:type="dxa"/>
            <w:tcBorders>
              <w:top w:val="single" w:color="auto" w:sz="6" w:space="0"/>
              <w:left w:val="single" w:color="auto" w:sz="6" w:space="0"/>
              <w:bottom w:val="single" w:color="auto" w:sz="6" w:space="0"/>
              <w:right w:val="single" w:color="auto" w:sz="6" w:space="0"/>
            </w:tcBorders>
            <w:noWrap w:val="0"/>
            <w:vAlign w:val="center"/>
          </w:tcPr>
          <w:p w14:paraId="7885BD76">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color w:val="auto"/>
                <w:kern w:val="2"/>
                <w:sz w:val="18"/>
                <w:szCs w:val="18"/>
                <w:highlight w:val="yellow"/>
                <w:lang w:val="en-US" w:eastAsia="zh-CN" w:bidi="ar-SA"/>
              </w:rPr>
            </w:pPr>
            <w:r>
              <w:rPr>
                <w:rFonts w:hint="eastAsia" w:ascii="宋体" w:hAnsi="宋体" w:eastAsia="宋体" w:cs="宋体"/>
                <w:color w:val="auto"/>
                <w:sz w:val="18"/>
                <w:szCs w:val="18"/>
                <w:highlight w:val="none"/>
                <w:lang w:val="en-US" w:eastAsia="zh-CN"/>
              </w:rPr>
              <w:t>加工、性能测试</w:t>
            </w:r>
          </w:p>
        </w:tc>
        <w:tc>
          <w:tcPr>
            <w:tcW w:w="2434" w:type="dxa"/>
            <w:vMerge w:val="restart"/>
            <w:tcBorders>
              <w:top w:val="single" w:color="auto" w:sz="6" w:space="0"/>
              <w:left w:val="single" w:color="auto" w:sz="6" w:space="0"/>
              <w:right w:val="single" w:color="auto" w:sz="6" w:space="0"/>
            </w:tcBorders>
            <w:noWrap w:val="0"/>
            <w:vAlign w:val="center"/>
          </w:tcPr>
          <w:p w14:paraId="0B3EFEB1">
            <w:pPr>
              <w:keepNext w:val="0"/>
              <w:keepLines w:val="0"/>
              <w:pageBreakBefore w:val="0"/>
              <w:numPr>
                <w:ilvl w:val="0"/>
                <w:numId w:val="0"/>
              </w:numPr>
              <w:kinsoku/>
              <w:wordWrap/>
              <w:overflowPunct/>
              <w:topLinePunct w:val="0"/>
              <w:autoSpaceDE/>
              <w:autoSpaceDN/>
              <w:bidi w:val="0"/>
              <w:adjustRightInd/>
              <w:snapToGrid/>
              <w:spacing w:line="200" w:lineRule="exact"/>
              <w:jc w:val="both"/>
              <w:textAlignment w:val="auto"/>
              <w:rPr>
                <w:rFonts w:hint="eastAsia"/>
                <w:lang w:val="en-US" w:eastAsia="zh-CN"/>
              </w:rPr>
            </w:pPr>
            <w:r>
              <w:rPr>
                <w:rFonts w:hint="eastAsia" w:ascii="宋体" w:hAnsi="宋体" w:cs="宋体"/>
                <w:color w:val="auto"/>
                <w:kern w:val="2"/>
                <w:sz w:val="18"/>
                <w:szCs w:val="18"/>
                <w:highlight w:val="none"/>
                <w:lang w:val="en-US" w:eastAsia="zh-CN" w:bidi="ar-SA"/>
              </w:rPr>
              <w:t>1.商务要求：投标人必须为中华人民共和国境内注册合法运作的法人或其他组织：具有独立承担民事责任的能力、独立承担招标项目的能力和独立履行合同的能力，必须具备有效期内的营业执照、法人身份证复印件（正反两面）（所有材料需盖章） 。</w:t>
            </w:r>
          </w:p>
          <w:p w14:paraId="2C5EFDAE">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宋体" w:hAnsi="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2.技术要求：投标人应符合《三亚供电局一种低压配网末端线路电能质量综合调理装置（服务）</w:t>
            </w:r>
          </w:p>
          <w:p w14:paraId="40E067DF">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宋体" w:hAnsi="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技术规范书</w:t>
            </w:r>
          </w:p>
          <w:p w14:paraId="78589F94">
            <w:pPr>
              <w:keepNext w:val="0"/>
              <w:keepLines w:val="0"/>
              <w:pageBreakBefore w:val="0"/>
              <w:widowControl w:val="0"/>
              <w:kinsoku/>
              <w:wordWrap/>
              <w:overflowPunct/>
              <w:topLinePunct w:val="0"/>
              <w:autoSpaceDE/>
              <w:autoSpaceDN/>
              <w:bidi w:val="0"/>
              <w:adjustRightInd/>
              <w:snapToGrid w:val="0"/>
              <w:spacing w:line="200" w:lineRule="exact"/>
              <w:ind w:left="0" w:leftChars="0"/>
              <w:jc w:val="left"/>
              <w:textAlignment w:val="auto"/>
              <w:outlineLvl w:val="9"/>
              <w:rPr>
                <w:rFonts w:hint="default" w:asciiTheme="minorEastAsia" w:hAnsiTheme="minorEastAsia" w:eastAsiaTheme="minorEastAsia" w:cstheme="minorEastAsia"/>
                <w:color w:val="auto"/>
                <w:kern w:val="2"/>
                <w:sz w:val="18"/>
                <w:szCs w:val="18"/>
                <w:highlight w:val="yellow"/>
                <w:lang w:val="en-US" w:eastAsia="zh-CN" w:bidi="ar-SA"/>
              </w:rPr>
            </w:pPr>
            <w:r>
              <w:rPr>
                <w:rFonts w:hint="eastAsia" w:ascii="宋体" w:hAnsi="宋体" w:cs="宋体"/>
                <w:color w:val="auto"/>
                <w:kern w:val="2"/>
                <w:sz w:val="18"/>
                <w:szCs w:val="18"/>
                <w:highlight w:val="none"/>
                <w:lang w:val="en-US" w:eastAsia="zh-CN" w:bidi="ar-SA"/>
              </w:rPr>
              <w:t>》要求（详见技术规范书）。</w:t>
            </w:r>
          </w:p>
        </w:tc>
        <w:tc>
          <w:tcPr>
            <w:tcW w:w="951" w:type="dxa"/>
            <w:tcBorders>
              <w:top w:val="single" w:color="auto" w:sz="6" w:space="0"/>
              <w:left w:val="single" w:color="auto" w:sz="6" w:space="0"/>
              <w:bottom w:val="single" w:color="auto" w:sz="6" w:space="0"/>
              <w:right w:val="single" w:color="auto" w:sz="6" w:space="0"/>
            </w:tcBorders>
            <w:noWrap w:val="0"/>
            <w:vAlign w:val="center"/>
          </w:tcPr>
          <w:p w14:paraId="7AD81172">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yellow"/>
                <w:lang w:val="en-US" w:eastAsia="zh-CN"/>
              </w:rPr>
            </w:pPr>
            <w:r>
              <w:rPr>
                <w:rFonts w:hint="eastAsia" w:asciiTheme="minorEastAsia" w:hAnsiTheme="minorEastAsia" w:eastAsiaTheme="minorEastAsia" w:cstheme="minorEastAsia"/>
                <w:color w:val="auto"/>
                <w:sz w:val="18"/>
                <w:szCs w:val="18"/>
                <w:highlight w:val="none"/>
                <w:lang w:val="en-US" w:eastAsia="zh-CN"/>
              </w:rPr>
              <w:t>1</w:t>
            </w:r>
          </w:p>
        </w:tc>
        <w:tc>
          <w:tcPr>
            <w:tcW w:w="969" w:type="dxa"/>
            <w:tcBorders>
              <w:top w:val="single" w:color="auto" w:sz="6" w:space="0"/>
              <w:left w:val="single" w:color="auto" w:sz="6" w:space="0"/>
              <w:bottom w:val="single" w:color="auto" w:sz="6" w:space="0"/>
              <w:right w:val="single" w:color="auto" w:sz="4" w:space="0"/>
            </w:tcBorders>
            <w:noWrap w:val="0"/>
            <w:vAlign w:val="center"/>
          </w:tcPr>
          <w:p w14:paraId="4278D47F">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kern w:val="2"/>
                <w:sz w:val="18"/>
                <w:szCs w:val="18"/>
                <w:highlight w:val="yellow"/>
                <w:lang w:val="en-US" w:eastAsia="zh-CN" w:bidi="ar-SA"/>
              </w:rPr>
            </w:pPr>
            <w:r>
              <w:rPr>
                <w:rFonts w:hint="eastAsia" w:asciiTheme="minorEastAsia" w:hAnsiTheme="minorEastAsia" w:eastAsiaTheme="minorEastAsia" w:cstheme="minorEastAsia"/>
                <w:color w:val="auto"/>
                <w:sz w:val="18"/>
                <w:szCs w:val="18"/>
                <w:highlight w:val="none"/>
                <w:lang w:val="en-US" w:eastAsia="zh-CN"/>
              </w:rPr>
              <w:t>项</w:t>
            </w:r>
          </w:p>
        </w:tc>
        <w:tc>
          <w:tcPr>
            <w:tcW w:w="1166" w:type="dxa"/>
            <w:tcBorders>
              <w:top w:val="single" w:color="auto" w:sz="6" w:space="0"/>
              <w:left w:val="single" w:color="auto" w:sz="4" w:space="0"/>
              <w:bottom w:val="single" w:color="auto" w:sz="6" w:space="0"/>
              <w:right w:val="single" w:color="auto" w:sz="4" w:space="0"/>
            </w:tcBorders>
            <w:noWrap w:val="0"/>
            <w:vAlign w:val="center"/>
          </w:tcPr>
          <w:p w14:paraId="4EFB6696">
            <w:pPr>
              <w:keepNext w:val="0"/>
              <w:keepLines w:val="0"/>
              <w:pageBreakBefore w:val="0"/>
              <w:kinsoku/>
              <w:wordWrap/>
              <w:overflowPunct/>
              <w:topLinePunct w:val="0"/>
              <w:autoSpaceDE/>
              <w:autoSpaceDN/>
              <w:bidi w:val="0"/>
              <w:adjustRightInd/>
              <w:snapToGrid/>
              <w:spacing w:line="200" w:lineRule="exact"/>
              <w:jc w:val="center"/>
              <w:textAlignment w:val="auto"/>
              <w:rPr>
                <w:rFonts w:hint="default" w:asciiTheme="minorEastAsia" w:hAnsiTheme="minorEastAsia" w:eastAsiaTheme="minorEastAsia" w:cstheme="minorEastAsia"/>
                <w:color w:val="auto"/>
                <w:sz w:val="18"/>
                <w:szCs w:val="18"/>
                <w:highlight w:val="yellow"/>
                <w:lang w:val="en-US" w:eastAsia="zh-CN"/>
              </w:rPr>
            </w:pPr>
          </w:p>
        </w:tc>
        <w:tc>
          <w:tcPr>
            <w:tcW w:w="668" w:type="dxa"/>
            <w:tcBorders>
              <w:top w:val="single" w:color="auto" w:sz="6" w:space="0"/>
              <w:left w:val="single" w:color="auto" w:sz="4" w:space="0"/>
              <w:bottom w:val="single" w:color="auto" w:sz="6" w:space="0"/>
              <w:right w:val="single" w:color="auto" w:sz="4" w:space="0"/>
            </w:tcBorders>
            <w:noWrap w:val="0"/>
            <w:vAlign w:val="center"/>
          </w:tcPr>
          <w:p w14:paraId="0ED569C1">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yellow"/>
                <w:lang w:val="en-US" w:eastAsia="zh-CN"/>
              </w:rPr>
            </w:pPr>
          </w:p>
        </w:tc>
        <w:tc>
          <w:tcPr>
            <w:tcW w:w="1025" w:type="dxa"/>
            <w:tcBorders>
              <w:top w:val="single" w:color="auto" w:sz="6" w:space="0"/>
              <w:left w:val="single" w:color="auto" w:sz="4" w:space="0"/>
              <w:bottom w:val="single" w:color="auto" w:sz="6" w:space="0"/>
              <w:right w:val="single" w:color="auto" w:sz="4" w:space="0"/>
            </w:tcBorders>
            <w:noWrap w:val="0"/>
            <w:vAlign w:val="center"/>
          </w:tcPr>
          <w:p w14:paraId="2B9B1102">
            <w:pPr>
              <w:keepNext w:val="0"/>
              <w:keepLines w:val="0"/>
              <w:pageBreakBefore w:val="0"/>
              <w:kinsoku/>
              <w:wordWrap/>
              <w:overflowPunct/>
              <w:topLinePunct w:val="0"/>
              <w:autoSpaceDE/>
              <w:autoSpaceDN/>
              <w:bidi w:val="0"/>
              <w:adjustRightInd/>
              <w:snapToGrid/>
              <w:spacing w:line="200" w:lineRule="exact"/>
              <w:jc w:val="center"/>
              <w:textAlignment w:val="auto"/>
              <w:rPr>
                <w:rFonts w:hint="default" w:ascii="宋体" w:hAnsi="宋体" w:eastAsia="宋体" w:cs="宋体"/>
                <w:i w:val="0"/>
                <w:iCs w:val="0"/>
                <w:color w:val="000000"/>
                <w:kern w:val="0"/>
                <w:sz w:val="18"/>
                <w:szCs w:val="18"/>
                <w:highlight w:val="yellow"/>
                <w:u w:val="none"/>
                <w:lang w:val="en-US" w:eastAsia="zh-CN" w:bidi="ar"/>
              </w:rPr>
            </w:pPr>
            <w:r>
              <w:rPr>
                <w:rFonts w:hint="eastAsia" w:ascii="宋体" w:hAnsi="宋体" w:cs="宋体"/>
                <w:color w:val="auto"/>
                <w:sz w:val="18"/>
                <w:szCs w:val="18"/>
                <w:highlight w:val="none"/>
                <w:lang w:val="en-US" w:eastAsia="zh-CN"/>
              </w:rPr>
              <w:t>自发出成交通知书之日起至2025年12</w:t>
            </w:r>
            <w:bookmarkStart w:id="0" w:name="_GoBack"/>
            <w:bookmarkEnd w:id="0"/>
            <w:r>
              <w:rPr>
                <w:rFonts w:hint="eastAsia" w:ascii="宋体" w:hAnsi="宋体" w:cs="宋体"/>
                <w:color w:val="auto"/>
                <w:sz w:val="18"/>
                <w:szCs w:val="18"/>
                <w:highlight w:val="none"/>
                <w:lang w:val="en-US" w:eastAsia="zh-CN"/>
              </w:rPr>
              <w:t>月31日</w:t>
            </w:r>
          </w:p>
        </w:tc>
      </w:tr>
      <w:tr w14:paraId="04F93D2E">
        <w:tblPrEx>
          <w:tblBorders>
            <w:top w:val="single" w:color="auto" w:sz="6" w:space="0"/>
            <w:left w:val="single" w:color="auto" w:sz="6" w:space="0"/>
            <w:bottom w:val="single" w:color="auto" w:sz="6" w:space="0"/>
            <w:right w:val="single" w:color="auto" w:sz="6" w:space="0"/>
            <w:insideH w:val="single" w:color="auto" w:sz="8" w:space="0"/>
            <w:insideV w:val="single" w:color="auto" w:sz="8" w:space="0"/>
          </w:tblBorders>
          <w:tblCellMar>
            <w:top w:w="0" w:type="dxa"/>
            <w:left w:w="57" w:type="dxa"/>
            <w:bottom w:w="0" w:type="dxa"/>
            <w:right w:w="57" w:type="dxa"/>
          </w:tblCellMar>
        </w:tblPrEx>
        <w:trPr>
          <w:trHeight w:val="380" w:hRule="atLeast"/>
          <w:jc w:val="center"/>
        </w:trPr>
        <w:tc>
          <w:tcPr>
            <w:tcW w:w="776" w:type="dxa"/>
            <w:tcBorders>
              <w:top w:val="single" w:color="auto" w:sz="6" w:space="0"/>
              <w:left w:val="single" w:color="auto" w:sz="6" w:space="0"/>
              <w:bottom w:val="single" w:color="auto" w:sz="6" w:space="0"/>
              <w:right w:val="single" w:color="auto" w:sz="6" w:space="0"/>
            </w:tcBorders>
            <w:noWrap w:val="0"/>
            <w:vAlign w:val="center"/>
          </w:tcPr>
          <w:p w14:paraId="0B248DF7">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2</w:t>
            </w:r>
          </w:p>
        </w:tc>
        <w:tc>
          <w:tcPr>
            <w:tcW w:w="1543" w:type="dxa"/>
            <w:tcBorders>
              <w:top w:val="single" w:color="auto" w:sz="6" w:space="0"/>
              <w:left w:val="single" w:color="auto" w:sz="6" w:space="0"/>
              <w:bottom w:val="single" w:color="auto" w:sz="6" w:space="0"/>
              <w:right w:val="single" w:color="auto" w:sz="6" w:space="0"/>
            </w:tcBorders>
            <w:noWrap w:val="0"/>
            <w:vAlign w:val="center"/>
          </w:tcPr>
          <w:p w14:paraId="5EA4B97B">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color w:val="auto"/>
                <w:kern w:val="2"/>
                <w:sz w:val="18"/>
                <w:szCs w:val="18"/>
                <w:highlight w:val="yellow"/>
                <w:lang w:val="en-US" w:eastAsia="zh-CN" w:bidi="ar-SA"/>
              </w:rPr>
            </w:pPr>
            <w:r>
              <w:rPr>
                <w:rFonts w:hint="eastAsia" w:ascii="宋体" w:hAnsi="宋体" w:eastAsia="宋体" w:cs="宋体"/>
                <w:color w:val="auto"/>
                <w:sz w:val="18"/>
                <w:szCs w:val="18"/>
                <w:highlight w:val="none"/>
                <w:lang w:val="en-US" w:eastAsia="zh-CN"/>
              </w:rPr>
              <w:t>耐压实验</w:t>
            </w:r>
          </w:p>
        </w:tc>
        <w:tc>
          <w:tcPr>
            <w:tcW w:w="2434" w:type="dxa"/>
            <w:vMerge w:val="continue"/>
            <w:tcBorders>
              <w:left w:val="single" w:color="auto" w:sz="6" w:space="0"/>
              <w:right w:val="single" w:color="auto" w:sz="6" w:space="0"/>
            </w:tcBorders>
            <w:noWrap w:val="0"/>
            <w:vAlign w:val="center"/>
          </w:tcPr>
          <w:p w14:paraId="73B09C73">
            <w:pPr>
              <w:keepNext w:val="0"/>
              <w:keepLines w:val="0"/>
              <w:pageBreakBefore w:val="0"/>
              <w:widowControl w:val="0"/>
              <w:kinsoku/>
              <w:wordWrap/>
              <w:overflowPunct/>
              <w:topLinePunct w:val="0"/>
              <w:autoSpaceDE/>
              <w:autoSpaceDN/>
              <w:bidi w:val="0"/>
              <w:adjustRightInd/>
              <w:snapToGrid w:val="0"/>
              <w:spacing w:line="200" w:lineRule="exact"/>
              <w:ind w:left="0" w:leftChars="0"/>
              <w:jc w:val="left"/>
              <w:textAlignment w:val="auto"/>
              <w:outlineLvl w:val="9"/>
              <w:rPr>
                <w:rFonts w:hint="default" w:asciiTheme="minorEastAsia" w:hAnsiTheme="minorEastAsia" w:eastAsiaTheme="minorEastAsia" w:cstheme="minorEastAsia"/>
                <w:color w:val="auto"/>
                <w:kern w:val="2"/>
                <w:sz w:val="18"/>
                <w:szCs w:val="18"/>
                <w:highlight w:val="yellow"/>
                <w:lang w:val="en-US" w:eastAsia="zh-CN" w:bidi="ar-SA"/>
              </w:rPr>
            </w:pPr>
          </w:p>
        </w:tc>
        <w:tc>
          <w:tcPr>
            <w:tcW w:w="951" w:type="dxa"/>
            <w:tcBorders>
              <w:top w:val="single" w:color="auto" w:sz="6" w:space="0"/>
              <w:left w:val="single" w:color="auto" w:sz="6" w:space="0"/>
              <w:bottom w:val="single" w:color="auto" w:sz="6" w:space="0"/>
              <w:right w:val="single" w:color="auto" w:sz="6" w:space="0"/>
            </w:tcBorders>
            <w:noWrap w:val="0"/>
            <w:vAlign w:val="center"/>
          </w:tcPr>
          <w:p w14:paraId="2CEFA2E5">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yellow"/>
                <w:lang w:val="en-US" w:eastAsia="zh-CN"/>
              </w:rPr>
            </w:pPr>
            <w:r>
              <w:rPr>
                <w:rFonts w:hint="eastAsia" w:asciiTheme="minorEastAsia" w:hAnsiTheme="minorEastAsia" w:eastAsiaTheme="minorEastAsia" w:cstheme="minorEastAsia"/>
                <w:color w:val="auto"/>
                <w:sz w:val="18"/>
                <w:szCs w:val="18"/>
                <w:highlight w:val="none"/>
                <w:lang w:val="en-US" w:eastAsia="zh-CN"/>
              </w:rPr>
              <w:t>1</w:t>
            </w:r>
          </w:p>
        </w:tc>
        <w:tc>
          <w:tcPr>
            <w:tcW w:w="969" w:type="dxa"/>
            <w:tcBorders>
              <w:top w:val="single" w:color="auto" w:sz="6" w:space="0"/>
              <w:left w:val="single" w:color="auto" w:sz="6" w:space="0"/>
              <w:bottom w:val="single" w:color="auto" w:sz="6" w:space="0"/>
              <w:right w:val="single" w:color="auto" w:sz="4" w:space="0"/>
            </w:tcBorders>
            <w:noWrap w:val="0"/>
            <w:vAlign w:val="center"/>
          </w:tcPr>
          <w:p w14:paraId="15DB39BA">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kern w:val="2"/>
                <w:sz w:val="18"/>
                <w:szCs w:val="18"/>
                <w:highlight w:val="yellow"/>
                <w:lang w:val="en-US" w:eastAsia="zh-CN" w:bidi="ar-SA"/>
              </w:rPr>
            </w:pPr>
            <w:r>
              <w:rPr>
                <w:rFonts w:hint="eastAsia" w:asciiTheme="minorEastAsia" w:hAnsiTheme="minorEastAsia" w:eastAsiaTheme="minorEastAsia" w:cstheme="minorEastAsia"/>
                <w:color w:val="auto"/>
                <w:sz w:val="18"/>
                <w:szCs w:val="18"/>
                <w:highlight w:val="none"/>
                <w:lang w:val="en-US" w:eastAsia="zh-CN"/>
              </w:rPr>
              <w:t>项</w:t>
            </w:r>
          </w:p>
        </w:tc>
        <w:tc>
          <w:tcPr>
            <w:tcW w:w="1166" w:type="dxa"/>
            <w:tcBorders>
              <w:top w:val="single" w:color="auto" w:sz="6" w:space="0"/>
              <w:left w:val="single" w:color="auto" w:sz="4" w:space="0"/>
              <w:bottom w:val="single" w:color="auto" w:sz="6" w:space="0"/>
              <w:right w:val="single" w:color="auto" w:sz="4" w:space="0"/>
            </w:tcBorders>
            <w:noWrap w:val="0"/>
            <w:vAlign w:val="center"/>
          </w:tcPr>
          <w:p w14:paraId="49D7764B">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color w:val="auto"/>
                <w:sz w:val="18"/>
                <w:szCs w:val="18"/>
                <w:highlight w:val="yellow"/>
                <w:lang w:val="en-US" w:eastAsia="zh-CN"/>
              </w:rPr>
            </w:pPr>
          </w:p>
        </w:tc>
        <w:tc>
          <w:tcPr>
            <w:tcW w:w="668" w:type="dxa"/>
            <w:tcBorders>
              <w:top w:val="single" w:color="auto" w:sz="6" w:space="0"/>
              <w:left w:val="single" w:color="auto" w:sz="4" w:space="0"/>
              <w:bottom w:val="single" w:color="auto" w:sz="6" w:space="0"/>
              <w:right w:val="single" w:color="auto" w:sz="4" w:space="0"/>
            </w:tcBorders>
            <w:noWrap w:val="0"/>
            <w:vAlign w:val="center"/>
          </w:tcPr>
          <w:p w14:paraId="17D3A7B3">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yellow"/>
                <w:lang w:val="en-US" w:eastAsia="zh-CN"/>
              </w:rPr>
            </w:pPr>
          </w:p>
        </w:tc>
        <w:tc>
          <w:tcPr>
            <w:tcW w:w="1025" w:type="dxa"/>
            <w:tcBorders>
              <w:top w:val="single" w:color="auto" w:sz="6" w:space="0"/>
              <w:left w:val="single" w:color="auto" w:sz="4" w:space="0"/>
              <w:bottom w:val="single" w:color="auto" w:sz="6" w:space="0"/>
              <w:right w:val="single" w:color="auto" w:sz="4" w:space="0"/>
            </w:tcBorders>
            <w:noWrap w:val="0"/>
            <w:vAlign w:val="center"/>
          </w:tcPr>
          <w:p w14:paraId="221BE03C">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宋体" w:hAnsi="宋体" w:eastAsia="宋体" w:cs="宋体"/>
                <w:i w:val="0"/>
                <w:iCs w:val="0"/>
                <w:color w:val="000000"/>
                <w:kern w:val="0"/>
                <w:sz w:val="18"/>
                <w:szCs w:val="18"/>
                <w:highlight w:val="yellow"/>
                <w:u w:val="none"/>
                <w:lang w:val="en-US" w:eastAsia="zh-CN" w:bidi="ar"/>
              </w:rPr>
            </w:pPr>
            <w:r>
              <w:rPr>
                <w:rFonts w:hint="eastAsia" w:ascii="宋体" w:hAnsi="宋体" w:cs="宋体"/>
                <w:color w:val="auto"/>
                <w:sz w:val="18"/>
                <w:szCs w:val="18"/>
                <w:highlight w:val="none"/>
                <w:lang w:val="en-US" w:eastAsia="zh-CN"/>
              </w:rPr>
              <w:t>自发出成交通知书之日起至2025年12月31日</w:t>
            </w:r>
          </w:p>
        </w:tc>
      </w:tr>
      <w:tr w14:paraId="21CAE34C">
        <w:tblPrEx>
          <w:tblBorders>
            <w:top w:val="single" w:color="auto" w:sz="6" w:space="0"/>
            <w:left w:val="single" w:color="auto" w:sz="6" w:space="0"/>
            <w:bottom w:val="single" w:color="auto" w:sz="6" w:space="0"/>
            <w:right w:val="single" w:color="auto" w:sz="6" w:space="0"/>
            <w:insideH w:val="single" w:color="auto" w:sz="8" w:space="0"/>
            <w:insideV w:val="single" w:color="auto" w:sz="8" w:space="0"/>
          </w:tblBorders>
          <w:tblCellMar>
            <w:top w:w="0" w:type="dxa"/>
            <w:left w:w="57" w:type="dxa"/>
            <w:bottom w:w="0" w:type="dxa"/>
            <w:right w:w="57" w:type="dxa"/>
          </w:tblCellMar>
        </w:tblPrEx>
        <w:trPr>
          <w:trHeight w:val="312" w:hRule="atLeast"/>
          <w:jc w:val="center"/>
        </w:trPr>
        <w:tc>
          <w:tcPr>
            <w:tcW w:w="776" w:type="dxa"/>
            <w:tcBorders>
              <w:top w:val="single" w:color="auto" w:sz="6" w:space="0"/>
              <w:left w:val="single" w:color="auto" w:sz="6" w:space="0"/>
              <w:bottom w:val="single" w:color="auto" w:sz="6" w:space="0"/>
              <w:right w:val="single" w:color="auto" w:sz="6" w:space="0"/>
            </w:tcBorders>
            <w:noWrap w:val="0"/>
            <w:vAlign w:val="center"/>
          </w:tcPr>
          <w:p w14:paraId="6BB5B91F">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3</w:t>
            </w:r>
          </w:p>
        </w:tc>
        <w:tc>
          <w:tcPr>
            <w:tcW w:w="1543" w:type="dxa"/>
            <w:tcBorders>
              <w:top w:val="single" w:color="auto" w:sz="6" w:space="0"/>
              <w:left w:val="single" w:color="auto" w:sz="6" w:space="0"/>
              <w:bottom w:val="single" w:color="auto" w:sz="6" w:space="0"/>
              <w:right w:val="single" w:color="auto" w:sz="6" w:space="0"/>
            </w:tcBorders>
            <w:noWrap w:val="0"/>
            <w:vAlign w:val="center"/>
          </w:tcPr>
          <w:p w14:paraId="0C60DFA8">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color w:val="auto"/>
                <w:kern w:val="2"/>
                <w:sz w:val="18"/>
                <w:szCs w:val="18"/>
                <w:highlight w:val="yellow"/>
                <w:lang w:val="en-US" w:eastAsia="zh-CN" w:bidi="ar-SA"/>
              </w:rPr>
            </w:pPr>
            <w:r>
              <w:rPr>
                <w:rFonts w:hint="eastAsia" w:ascii="宋体" w:hAnsi="宋体" w:eastAsia="宋体" w:cs="宋体"/>
                <w:color w:val="auto"/>
                <w:sz w:val="18"/>
                <w:szCs w:val="18"/>
                <w:highlight w:val="none"/>
                <w:lang w:val="en-US" w:eastAsia="zh-CN"/>
              </w:rPr>
              <w:t>效能转化实验</w:t>
            </w:r>
          </w:p>
        </w:tc>
        <w:tc>
          <w:tcPr>
            <w:tcW w:w="2434" w:type="dxa"/>
            <w:vMerge w:val="continue"/>
            <w:tcBorders>
              <w:left w:val="single" w:color="auto" w:sz="6" w:space="0"/>
              <w:bottom w:val="single" w:color="auto" w:sz="6" w:space="0"/>
              <w:right w:val="single" w:color="auto" w:sz="6" w:space="0"/>
            </w:tcBorders>
            <w:noWrap w:val="0"/>
            <w:vAlign w:val="center"/>
          </w:tcPr>
          <w:p w14:paraId="03CD5652">
            <w:pPr>
              <w:keepNext w:val="0"/>
              <w:keepLines w:val="0"/>
              <w:pageBreakBefore w:val="0"/>
              <w:widowControl w:val="0"/>
              <w:kinsoku/>
              <w:wordWrap/>
              <w:overflowPunct/>
              <w:topLinePunct w:val="0"/>
              <w:autoSpaceDE/>
              <w:autoSpaceDN/>
              <w:bidi w:val="0"/>
              <w:adjustRightInd/>
              <w:snapToGrid w:val="0"/>
              <w:spacing w:line="200" w:lineRule="exact"/>
              <w:ind w:left="0" w:leftChars="0"/>
              <w:jc w:val="left"/>
              <w:textAlignment w:val="auto"/>
              <w:outlineLvl w:val="9"/>
              <w:rPr>
                <w:rFonts w:hint="default" w:asciiTheme="minorEastAsia" w:hAnsiTheme="minorEastAsia" w:eastAsiaTheme="minorEastAsia" w:cstheme="minorEastAsia"/>
                <w:color w:val="auto"/>
                <w:kern w:val="2"/>
                <w:sz w:val="18"/>
                <w:szCs w:val="18"/>
                <w:highlight w:val="yellow"/>
                <w:lang w:val="en-US" w:eastAsia="zh-CN" w:bidi="ar-SA"/>
              </w:rPr>
            </w:pPr>
          </w:p>
        </w:tc>
        <w:tc>
          <w:tcPr>
            <w:tcW w:w="951" w:type="dxa"/>
            <w:tcBorders>
              <w:top w:val="single" w:color="auto" w:sz="6" w:space="0"/>
              <w:left w:val="single" w:color="auto" w:sz="6" w:space="0"/>
              <w:bottom w:val="single" w:color="auto" w:sz="6" w:space="0"/>
              <w:right w:val="single" w:color="auto" w:sz="6" w:space="0"/>
            </w:tcBorders>
            <w:noWrap w:val="0"/>
            <w:vAlign w:val="center"/>
          </w:tcPr>
          <w:p w14:paraId="4CB65315">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yellow"/>
                <w:lang w:val="en-US" w:eastAsia="zh-CN"/>
              </w:rPr>
            </w:pPr>
            <w:r>
              <w:rPr>
                <w:rFonts w:hint="eastAsia" w:asciiTheme="minorEastAsia" w:hAnsiTheme="minorEastAsia" w:eastAsiaTheme="minorEastAsia" w:cstheme="minorEastAsia"/>
                <w:color w:val="auto"/>
                <w:sz w:val="18"/>
                <w:szCs w:val="18"/>
                <w:highlight w:val="none"/>
                <w:lang w:val="en-US" w:eastAsia="zh-CN"/>
              </w:rPr>
              <w:t>1</w:t>
            </w:r>
          </w:p>
        </w:tc>
        <w:tc>
          <w:tcPr>
            <w:tcW w:w="969" w:type="dxa"/>
            <w:tcBorders>
              <w:top w:val="single" w:color="auto" w:sz="6" w:space="0"/>
              <w:left w:val="single" w:color="auto" w:sz="6" w:space="0"/>
              <w:bottom w:val="single" w:color="auto" w:sz="6" w:space="0"/>
              <w:right w:val="single" w:color="auto" w:sz="4" w:space="0"/>
            </w:tcBorders>
            <w:noWrap w:val="0"/>
            <w:vAlign w:val="center"/>
          </w:tcPr>
          <w:p w14:paraId="48E0B756">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kern w:val="2"/>
                <w:sz w:val="18"/>
                <w:szCs w:val="18"/>
                <w:highlight w:val="yellow"/>
                <w:lang w:val="en-US" w:eastAsia="zh-CN" w:bidi="ar-SA"/>
              </w:rPr>
            </w:pPr>
            <w:r>
              <w:rPr>
                <w:rFonts w:hint="eastAsia" w:asciiTheme="minorEastAsia" w:hAnsiTheme="minorEastAsia" w:eastAsiaTheme="minorEastAsia" w:cstheme="minorEastAsia"/>
                <w:color w:val="auto"/>
                <w:sz w:val="18"/>
                <w:szCs w:val="18"/>
                <w:highlight w:val="none"/>
                <w:lang w:val="en-US" w:eastAsia="zh-CN"/>
              </w:rPr>
              <w:t>项</w:t>
            </w:r>
          </w:p>
        </w:tc>
        <w:tc>
          <w:tcPr>
            <w:tcW w:w="1166" w:type="dxa"/>
            <w:tcBorders>
              <w:top w:val="single" w:color="auto" w:sz="6" w:space="0"/>
              <w:left w:val="single" w:color="auto" w:sz="4" w:space="0"/>
              <w:bottom w:val="single" w:color="auto" w:sz="6" w:space="0"/>
              <w:right w:val="single" w:color="auto" w:sz="4" w:space="0"/>
            </w:tcBorders>
            <w:noWrap w:val="0"/>
            <w:vAlign w:val="center"/>
          </w:tcPr>
          <w:p w14:paraId="7B3285A9">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color w:val="auto"/>
                <w:sz w:val="18"/>
                <w:szCs w:val="18"/>
                <w:highlight w:val="yellow"/>
                <w:lang w:val="en-US" w:eastAsia="zh-CN"/>
              </w:rPr>
            </w:pPr>
          </w:p>
        </w:tc>
        <w:tc>
          <w:tcPr>
            <w:tcW w:w="668" w:type="dxa"/>
            <w:tcBorders>
              <w:top w:val="single" w:color="auto" w:sz="6" w:space="0"/>
              <w:left w:val="single" w:color="auto" w:sz="4" w:space="0"/>
              <w:bottom w:val="single" w:color="auto" w:sz="6" w:space="0"/>
              <w:right w:val="single" w:color="auto" w:sz="4" w:space="0"/>
            </w:tcBorders>
            <w:noWrap w:val="0"/>
            <w:vAlign w:val="center"/>
          </w:tcPr>
          <w:p w14:paraId="2C9F7B1D">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yellow"/>
                <w:lang w:val="en-US" w:eastAsia="zh-CN"/>
              </w:rPr>
            </w:pPr>
          </w:p>
        </w:tc>
        <w:tc>
          <w:tcPr>
            <w:tcW w:w="1025" w:type="dxa"/>
            <w:tcBorders>
              <w:top w:val="single" w:color="auto" w:sz="6" w:space="0"/>
              <w:left w:val="single" w:color="auto" w:sz="4" w:space="0"/>
              <w:bottom w:val="single" w:color="auto" w:sz="6" w:space="0"/>
              <w:right w:val="single" w:color="auto" w:sz="4" w:space="0"/>
            </w:tcBorders>
            <w:noWrap w:val="0"/>
            <w:vAlign w:val="center"/>
          </w:tcPr>
          <w:p w14:paraId="6EB852B1">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宋体" w:hAnsi="宋体" w:eastAsia="宋体" w:cs="宋体"/>
                <w:i w:val="0"/>
                <w:iCs w:val="0"/>
                <w:color w:val="000000"/>
                <w:kern w:val="0"/>
                <w:sz w:val="18"/>
                <w:szCs w:val="18"/>
                <w:highlight w:val="yellow"/>
                <w:u w:val="none"/>
                <w:lang w:val="en-US" w:eastAsia="zh-CN" w:bidi="ar"/>
              </w:rPr>
            </w:pPr>
            <w:r>
              <w:rPr>
                <w:rFonts w:hint="eastAsia" w:ascii="宋体" w:hAnsi="宋体" w:cs="宋体"/>
                <w:color w:val="auto"/>
                <w:sz w:val="18"/>
                <w:szCs w:val="18"/>
                <w:highlight w:val="none"/>
                <w:lang w:val="en-US" w:eastAsia="zh-CN"/>
              </w:rPr>
              <w:t>自发出成交通知书之日起至2025年12月31日</w:t>
            </w:r>
          </w:p>
        </w:tc>
      </w:tr>
      <w:tr w14:paraId="4BA92C13">
        <w:tblPrEx>
          <w:tblBorders>
            <w:top w:val="single" w:color="auto" w:sz="6" w:space="0"/>
            <w:left w:val="single" w:color="auto" w:sz="6" w:space="0"/>
            <w:bottom w:val="single" w:color="auto" w:sz="6" w:space="0"/>
            <w:right w:val="single" w:color="auto" w:sz="6" w:space="0"/>
            <w:insideH w:val="single" w:color="auto" w:sz="8" w:space="0"/>
            <w:insideV w:val="single" w:color="auto" w:sz="8" w:space="0"/>
          </w:tblBorders>
          <w:tblCellMar>
            <w:top w:w="0" w:type="dxa"/>
            <w:left w:w="57" w:type="dxa"/>
            <w:bottom w:w="0" w:type="dxa"/>
            <w:right w:w="57" w:type="dxa"/>
          </w:tblCellMar>
        </w:tblPrEx>
        <w:trPr>
          <w:trHeight w:val="312" w:hRule="atLeast"/>
          <w:jc w:val="center"/>
        </w:trPr>
        <w:tc>
          <w:tcPr>
            <w:tcW w:w="776" w:type="dxa"/>
            <w:tcBorders>
              <w:top w:val="single" w:color="auto" w:sz="6" w:space="0"/>
              <w:left w:val="single" w:color="auto" w:sz="6" w:space="0"/>
              <w:bottom w:val="single" w:color="auto" w:sz="6" w:space="0"/>
              <w:right w:val="single" w:color="auto" w:sz="6" w:space="0"/>
            </w:tcBorders>
            <w:noWrap w:val="0"/>
            <w:vAlign w:val="center"/>
          </w:tcPr>
          <w:p w14:paraId="455B73D9">
            <w:pPr>
              <w:keepNext w:val="0"/>
              <w:keepLines w:val="0"/>
              <w:pageBreakBefore w:val="0"/>
              <w:kinsoku/>
              <w:wordWrap/>
              <w:overflowPunct/>
              <w:topLinePunct w:val="0"/>
              <w:autoSpaceDE/>
              <w:autoSpaceDN/>
              <w:bidi w:val="0"/>
              <w:adjustRightInd/>
              <w:snapToGrid/>
              <w:spacing w:line="200" w:lineRule="exact"/>
              <w:jc w:val="center"/>
              <w:textAlignment w:val="auto"/>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合计</w:t>
            </w:r>
          </w:p>
        </w:tc>
        <w:tc>
          <w:tcPr>
            <w:tcW w:w="1543" w:type="dxa"/>
            <w:tcBorders>
              <w:top w:val="single" w:color="auto" w:sz="6" w:space="0"/>
              <w:left w:val="single" w:color="auto" w:sz="6" w:space="0"/>
              <w:bottom w:val="single" w:color="auto" w:sz="6" w:space="0"/>
              <w:right w:val="single" w:color="auto" w:sz="6" w:space="0"/>
            </w:tcBorders>
            <w:noWrap w:val="0"/>
            <w:vAlign w:val="center"/>
          </w:tcPr>
          <w:p w14:paraId="0F21A2C6">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宋体" w:hAnsi="宋体" w:eastAsia="宋体" w:cs="宋体"/>
                <w:color w:val="auto"/>
                <w:sz w:val="18"/>
                <w:szCs w:val="18"/>
                <w:highlight w:val="none"/>
                <w:lang w:val="en-US" w:eastAsia="zh-CN"/>
              </w:rPr>
            </w:pPr>
          </w:p>
        </w:tc>
        <w:tc>
          <w:tcPr>
            <w:tcW w:w="2434" w:type="dxa"/>
            <w:tcBorders>
              <w:top w:val="single" w:color="auto" w:sz="6" w:space="0"/>
              <w:left w:val="single" w:color="auto" w:sz="6" w:space="0"/>
              <w:bottom w:val="single" w:color="auto" w:sz="6" w:space="0"/>
              <w:right w:val="single" w:color="auto" w:sz="6" w:space="0"/>
            </w:tcBorders>
            <w:noWrap w:val="0"/>
            <w:vAlign w:val="center"/>
          </w:tcPr>
          <w:p w14:paraId="2F360768">
            <w:pPr>
              <w:keepNext w:val="0"/>
              <w:keepLines w:val="0"/>
              <w:pageBreakBefore w:val="0"/>
              <w:widowControl w:val="0"/>
              <w:kinsoku/>
              <w:wordWrap/>
              <w:overflowPunct/>
              <w:topLinePunct w:val="0"/>
              <w:autoSpaceDE/>
              <w:autoSpaceDN/>
              <w:bidi w:val="0"/>
              <w:adjustRightInd/>
              <w:snapToGrid w:val="0"/>
              <w:spacing w:line="200" w:lineRule="exact"/>
              <w:ind w:left="0" w:leftChars="0"/>
              <w:jc w:val="left"/>
              <w:textAlignment w:val="auto"/>
              <w:outlineLvl w:val="9"/>
              <w:rPr>
                <w:rFonts w:hint="eastAsia" w:asciiTheme="minorEastAsia" w:hAnsiTheme="minorEastAsia" w:eastAsiaTheme="minorEastAsia" w:cstheme="minorEastAsia"/>
                <w:color w:val="auto"/>
                <w:sz w:val="18"/>
                <w:szCs w:val="18"/>
                <w:highlight w:val="none"/>
                <w:lang w:val="en-US" w:eastAsia="zh-CN"/>
              </w:rPr>
            </w:pPr>
          </w:p>
        </w:tc>
        <w:tc>
          <w:tcPr>
            <w:tcW w:w="951" w:type="dxa"/>
            <w:tcBorders>
              <w:top w:val="single" w:color="auto" w:sz="6" w:space="0"/>
              <w:left w:val="single" w:color="auto" w:sz="6" w:space="0"/>
              <w:bottom w:val="single" w:color="auto" w:sz="6" w:space="0"/>
              <w:right w:val="single" w:color="auto" w:sz="6" w:space="0"/>
            </w:tcBorders>
            <w:noWrap w:val="0"/>
            <w:vAlign w:val="center"/>
          </w:tcPr>
          <w:p w14:paraId="680A9634">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p>
        </w:tc>
        <w:tc>
          <w:tcPr>
            <w:tcW w:w="969" w:type="dxa"/>
            <w:tcBorders>
              <w:top w:val="single" w:color="auto" w:sz="6" w:space="0"/>
              <w:left w:val="single" w:color="auto" w:sz="6" w:space="0"/>
              <w:bottom w:val="single" w:color="auto" w:sz="6" w:space="0"/>
              <w:right w:val="single" w:color="auto" w:sz="4" w:space="0"/>
            </w:tcBorders>
            <w:noWrap w:val="0"/>
            <w:vAlign w:val="center"/>
          </w:tcPr>
          <w:p w14:paraId="0CD18FF1">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p>
        </w:tc>
        <w:tc>
          <w:tcPr>
            <w:tcW w:w="1166" w:type="dxa"/>
            <w:tcBorders>
              <w:top w:val="single" w:color="auto" w:sz="6" w:space="0"/>
              <w:left w:val="single" w:color="auto" w:sz="4" w:space="0"/>
              <w:bottom w:val="single" w:color="auto" w:sz="6" w:space="0"/>
              <w:right w:val="single" w:color="auto" w:sz="4" w:space="0"/>
            </w:tcBorders>
            <w:noWrap w:val="0"/>
            <w:vAlign w:val="center"/>
          </w:tcPr>
          <w:p w14:paraId="06C503D0">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color w:val="auto"/>
                <w:sz w:val="18"/>
                <w:szCs w:val="18"/>
                <w:highlight w:val="yellow"/>
                <w:lang w:val="en-US" w:eastAsia="zh-CN"/>
              </w:rPr>
            </w:pPr>
          </w:p>
        </w:tc>
        <w:tc>
          <w:tcPr>
            <w:tcW w:w="668" w:type="dxa"/>
            <w:tcBorders>
              <w:top w:val="single" w:color="auto" w:sz="6" w:space="0"/>
              <w:left w:val="single" w:color="auto" w:sz="4" w:space="0"/>
              <w:bottom w:val="single" w:color="auto" w:sz="6" w:space="0"/>
              <w:right w:val="single" w:color="auto" w:sz="4" w:space="0"/>
            </w:tcBorders>
            <w:noWrap w:val="0"/>
            <w:vAlign w:val="center"/>
          </w:tcPr>
          <w:p w14:paraId="5AC7921E">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yellow"/>
                <w:lang w:val="en-US" w:eastAsia="zh-CN"/>
              </w:rPr>
            </w:pPr>
          </w:p>
        </w:tc>
        <w:tc>
          <w:tcPr>
            <w:tcW w:w="1025" w:type="dxa"/>
            <w:tcBorders>
              <w:top w:val="single" w:color="auto" w:sz="6" w:space="0"/>
              <w:left w:val="single" w:color="auto" w:sz="4" w:space="0"/>
              <w:bottom w:val="single" w:color="auto" w:sz="6" w:space="0"/>
              <w:right w:val="single" w:color="auto" w:sz="4" w:space="0"/>
            </w:tcBorders>
            <w:noWrap w:val="0"/>
            <w:vAlign w:val="center"/>
          </w:tcPr>
          <w:p w14:paraId="599AF488">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宋体" w:hAnsi="宋体" w:cs="宋体"/>
                <w:color w:val="auto"/>
                <w:sz w:val="18"/>
                <w:szCs w:val="18"/>
                <w:highlight w:val="none"/>
                <w:lang w:val="en-US" w:eastAsia="zh-CN"/>
              </w:rPr>
            </w:pPr>
          </w:p>
        </w:tc>
      </w:tr>
    </w:tbl>
    <w:p w14:paraId="73505ED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u w:val="none"/>
          <w:lang w:val="en-US" w:eastAsia="zh-CN"/>
          <w14:textFill>
            <w14:solidFill>
              <w14:schemeClr w14:val="tx1"/>
            </w14:solidFill>
          </w14:textFill>
        </w:rPr>
        <w:t>说明：1.上述含包装、保险、运输、交货(看装卸费、搬运费)、售后、税费等费用。</w:t>
      </w:r>
    </w:p>
    <w:p w14:paraId="4EC97FB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1050" w:firstLineChars="500"/>
        <w:jc w:val="left"/>
        <w:textAlignment w:val="auto"/>
        <w:outlineLvl w:val="9"/>
        <w:rPr>
          <w:rFonts w:hint="default" w:asciiTheme="minorEastAsia" w:hAnsiTheme="minorEastAsia" w:eastAsiaTheme="minorEastAsia" w:cstheme="minorEastAsia"/>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u w:val="none"/>
          <w:lang w:val="en-US" w:eastAsia="zh-CN"/>
          <w14:textFill>
            <w14:solidFill>
              <w14:schemeClr w14:val="tx1"/>
            </w14:solidFill>
          </w14:textFill>
        </w:rPr>
        <w:t>2.自采购人发出成交通知书之日起，中标人应在2025年12月31日前提交交付物，并经采购人验收合格且开具发票后两个月内付款。</w:t>
      </w:r>
    </w:p>
    <w:p w14:paraId="3F1A20D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二、技术、商务承诺情况</w:t>
      </w:r>
    </w:p>
    <w:p w14:paraId="2EC26248">
      <w:pPr>
        <w:spacing w:line="440" w:lineRule="exact"/>
        <w:ind w:firstLine="420" w:firstLineChars="20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（满足/不满足）要求。（填写说明：报价单位须回复技术、商务承诺是否满足要求）</w:t>
      </w:r>
    </w:p>
    <w:p w14:paraId="239EFE30">
      <w:pPr>
        <w:spacing w:line="440" w:lineRule="exact"/>
        <w:ind w:firstLine="422" w:firstLineChars="2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三、交付、履约承诺情况</w:t>
      </w:r>
    </w:p>
    <w:p w14:paraId="75EB794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满足/不满足）要求。（填写说明：报价单位须回复技术、商务承诺是否满足要求）</w:t>
      </w:r>
    </w:p>
    <w:p w14:paraId="29A37BEC">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供应商需说明的其他事项（无）</w:t>
      </w:r>
    </w:p>
    <w:p w14:paraId="242275B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u w:val="single"/>
          <w:lang w:val="en-US" w:eastAsia="zh-CN"/>
        </w:rPr>
        <w:t xml:space="preserve">                                                                              ；</w:t>
      </w:r>
    </w:p>
    <w:p w14:paraId="3417CBD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2.</w:t>
      </w:r>
      <w:r>
        <w:rPr>
          <w:rFonts w:hint="eastAsia" w:asciiTheme="minorEastAsia" w:hAnsiTheme="minorEastAsia" w:eastAsiaTheme="minorEastAsia" w:cstheme="minorEastAsia"/>
          <w:color w:val="auto"/>
          <w:sz w:val="21"/>
          <w:szCs w:val="21"/>
          <w:highlight w:val="none"/>
          <w:u w:val="single"/>
          <w:lang w:val="en-US" w:eastAsia="zh-CN"/>
        </w:rPr>
        <w:t xml:space="preserve">                                                                              ；</w:t>
      </w:r>
    </w:p>
    <w:p w14:paraId="60B6A54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lang w:val="en-US" w:eastAsia="zh-CN"/>
        </w:rPr>
      </w:pPr>
      <w:r>
        <w:rPr>
          <w:rFonts w:hint="eastAsia" w:asciiTheme="minorEastAsia" w:hAnsiTheme="minorEastAsia" w:eastAsiaTheme="minorEastAsia" w:cstheme="minorEastAsia"/>
          <w:color w:val="auto"/>
          <w:sz w:val="21"/>
          <w:szCs w:val="21"/>
          <w:highlight w:val="none"/>
          <w:u w:val="none"/>
          <w:lang w:val="en-US" w:eastAsia="zh-CN"/>
        </w:rPr>
        <w:t>3.</w:t>
      </w:r>
      <w:r>
        <w:rPr>
          <w:rFonts w:hint="eastAsia" w:asciiTheme="minorEastAsia" w:hAnsiTheme="minorEastAsia" w:eastAsiaTheme="minorEastAsia" w:cstheme="minorEastAsia"/>
          <w:color w:val="auto"/>
          <w:sz w:val="21"/>
          <w:szCs w:val="21"/>
          <w:highlight w:val="none"/>
          <w:u w:val="single"/>
          <w:lang w:val="en-US" w:eastAsia="zh-CN"/>
        </w:rPr>
        <w:t xml:space="preserve">                                                                              。</w:t>
      </w:r>
    </w:p>
    <w:p w14:paraId="3C74138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五、联系方式</w:t>
      </w:r>
    </w:p>
    <w:p w14:paraId="4007B56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联系人</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；联系电话</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lang w:val="en-US" w:eastAsia="zh-CN"/>
        </w:rPr>
        <w:t xml:space="preserve">             </w:t>
      </w:r>
    </w:p>
    <w:p w14:paraId="6CA5E0D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center"/>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xml:space="preserve">       公司名称（盖章）     </w:t>
      </w:r>
    </w:p>
    <w:p w14:paraId="18E0D832">
      <w:pPr>
        <w:keepNext w:val="0"/>
        <w:keepLines w:val="0"/>
        <w:pageBreakBefore w:val="0"/>
        <w:widowControl w:val="0"/>
        <w:kinsoku/>
        <w:wordWrap/>
        <w:overflowPunct/>
        <w:topLinePunct w:val="0"/>
        <w:autoSpaceDE/>
        <w:autoSpaceDN/>
        <w:bidi w:val="0"/>
        <w:adjustRightInd/>
        <w:snapToGrid/>
        <w:spacing w:line="440" w:lineRule="exact"/>
        <w:ind w:left="4200" w:leftChars="2000"/>
        <w:jc w:val="left"/>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E38D6F"/>
    <w:multiLevelType w:val="singleLevel"/>
    <w:tmpl w:val="BDE38D6F"/>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C31DF"/>
    <w:rsid w:val="00261772"/>
    <w:rsid w:val="0036699B"/>
    <w:rsid w:val="00441FF6"/>
    <w:rsid w:val="00A17A7F"/>
    <w:rsid w:val="00D340B6"/>
    <w:rsid w:val="00D536A5"/>
    <w:rsid w:val="01052CD3"/>
    <w:rsid w:val="015075C7"/>
    <w:rsid w:val="01992957"/>
    <w:rsid w:val="01A34AAF"/>
    <w:rsid w:val="01D16793"/>
    <w:rsid w:val="020C3505"/>
    <w:rsid w:val="021B5217"/>
    <w:rsid w:val="02307EDB"/>
    <w:rsid w:val="02AC1C88"/>
    <w:rsid w:val="02F915FA"/>
    <w:rsid w:val="02F92B96"/>
    <w:rsid w:val="032A0A87"/>
    <w:rsid w:val="035D5DE9"/>
    <w:rsid w:val="0360636D"/>
    <w:rsid w:val="036935A3"/>
    <w:rsid w:val="036B1883"/>
    <w:rsid w:val="03A53BC6"/>
    <w:rsid w:val="03A722DA"/>
    <w:rsid w:val="03BC011A"/>
    <w:rsid w:val="040A5FDD"/>
    <w:rsid w:val="0448737D"/>
    <w:rsid w:val="04692055"/>
    <w:rsid w:val="04902920"/>
    <w:rsid w:val="04A63ACA"/>
    <w:rsid w:val="051468EF"/>
    <w:rsid w:val="051F7DF0"/>
    <w:rsid w:val="055F6C30"/>
    <w:rsid w:val="0598081B"/>
    <w:rsid w:val="05AF0655"/>
    <w:rsid w:val="05CF14D8"/>
    <w:rsid w:val="05F123EF"/>
    <w:rsid w:val="060668E5"/>
    <w:rsid w:val="06125E2B"/>
    <w:rsid w:val="06730345"/>
    <w:rsid w:val="067E48BD"/>
    <w:rsid w:val="067E55B8"/>
    <w:rsid w:val="06834979"/>
    <w:rsid w:val="068633D2"/>
    <w:rsid w:val="06925249"/>
    <w:rsid w:val="07080FDE"/>
    <w:rsid w:val="0708351A"/>
    <w:rsid w:val="072E7656"/>
    <w:rsid w:val="073C087D"/>
    <w:rsid w:val="075451A7"/>
    <w:rsid w:val="075B7ADB"/>
    <w:rsid w:val="0790215E"/>
    <w:rsid w:val="07BC254D"/>
    <w:rsid w:val="07C30522"/>
    <w:rsid w:val="07F836CF"/>
    <w:rsid w:val="0812791C"/>
    <w:rsid w:val="0830564D"/>
    <w:rsid w:val="084C1561"/>
    <w:rsid w:val="08521C88"/>
    <w:rsid w:val="085B11C8"/>
    <w:rsid w:val="0867677C"/>
    <w:rsid w:val="08C4197C"/>
    <w:rsid w:val="09041C45"/>
    <w:rsid w:val="09AA20C6"/>
    <w:rsid w:val="09BA6DF9"/>
    <w:rsid w:val="09D05E45"/>
    <w:rsid w:val="0A1569A5"/>
    <w:rsid w:val="0A3F0E84"/>
    <w:rsid w:val="0A8B49E7"/>
    <w:rsid w:val="0AA13877"/>
    <w:rsid w:val="0AD77164"/>
    <w:rsid w:val="0ADF50AA"/>
    <w:rsid w:val="0AED0F9D"/>
    <w:rsid w:val="0AF030FB"/>
    <w:rsid w:val="0B2232A1"/>
    <w:rsid w:val="0B404007"/>
    <w:rsid w:val="0B8228AE"/>
    <w:rsid w:val="0B83085A"/>
    <w:rsid w:val="0C1A6F03"/>
    <w:rsid w:val="0C657338"/>
    <w:rsid w:val="0C861073"/>
    <w:rsid w:val="0CA71430"/>
    <w:rsid w:val="0CB7053C"/>
    <w:rsid w:val="0CE84804"/>
    <w:rsid w:val="0CFC733B"/>
    <w:rsid w:val="0D12725F"/>
    <w:rsid w:val="0D5300AF"/>
    <w:rsid w:val="0D663136"/>
    <w:rsid w:val="0D8A786E"/>
    <w:rsid w:val="0D9C4150"/>
    <w:rsid w:val="0DEC0777"/>
    <w:rsid w:val="0DF76B42"/>
    <w:rsid w:val="0E0273B8"/>
    <w:rsid w:val="0E1A0D51"/>
    <w:rsid w:val="0E4550FD"/>
    <w:rsid w:val="0E6635A9"/>
    <w:rsid w:val="0E6B5E1C"/>
    <w:rsid w:val="0EBE24B1"/>
    <w:rsid w:val="0ED11171"/>
    <w:rsid w:val="0EE42A26"/>
    <w:rsid w:val="0EF34A1C"/>
    <w:rsid w:val="0F1627B4"/>
    <w:rsid w:val="0F6A5F59"/>
    <w:rsid w:val="0F8C4A7F"/>
    <w:rsid w:val="0F9B0482"/>
    <w:rsid w:val="0FEA54DE"/>
    <w:rsid w:val="0FEF3EBD"/>
    <w:rsid w:val="0FF00104"/>
    <w:rsid w:val="104A50C0"/>
    <w:rsid w:val="106F00DE"/>
    <w:rsid w:val="10A741B6"/>
    <w:rsid w:val="10B677B7"/>
    <w:rsid w:val="10BD743F"/>
    <w:rsid w:val="10F94A33"/>
    <w:rsid w:val="10FF5126"/>
    <w:rsid w:val="10FF6B59"/>
    <w:rsid w:val="111D7433"/>
    <w:rsid w:val="11826EC3"/>
    <w:rsid w:val="11837EEC"/>
    <w:rsid w:val="11982747"/>
    <w:rsid w:val="11B7413A"/>
    <w:rsid w:val="11F701A3"/>
    <w:rsid w:val="120264F6"/>
    <w:rsid w:val="1279373C"/>
    <w:rsid w:val="12933BDD"/>
    <w:rsid w:val="12C36177"/>
    <w:rsid w:val="12F756AE"/>
    <w:rsid w:val="13461D1D"/>
    <w:rsid w:val="13887570"/>
    <w:rsid w:val="13B37D7B"/>
    <w:rsid w:val="13BE1066"/>
    <w:rsid w:val="13EC61D4"/>
    <w:rsid w:val="140E57FC"/>
    <w:rsid w:val="14B26405"/>
    <w:rsid w:val="14C27361"/>
    <w:rsid w:val="153A37B3"/>
    <w:rsid w:val="1541713B"/>
    <w:rsid w:val="15483FEC"/>
    <w:rsid w:val="158C4EDB"/>
    <w:rsid w:val="15945804"/>
    <w:rsid w:val="15BC34ED"/>
    <w:rsid w:val="15DA10CA"/>
    <w:rsid w:val="164861BA"/>
    <w:rsid w:val="16504EA4"/>
    <w:rsid w:val="1678720E"/>
    <w:rsid w:val="16CE6B54"/>
    <w:rsid w:val="16F97E0A"/>
    <w:rsid w:val="17490896"/>
    <w:rsid w:val="175D1EDD"/>
    <w:rsid w:val="17EB518E"/>
    <w:rsid w:val="17F0196C"/>
    <w:rsid w:val="180A22A7"/>
    <w:rsid w:val="181C0061"/>
    <w:rsid w:val="182D3A23"/>
    <w:rsid w:val="18364876"/>
    <w:rsid w:val="184A63B2"/>
    <w:rsid w:val="185D6634"/>
    <w:rsid w:val="18792D8F"/>
    <w:rsid w:val="18913C5D"/>
    <w:rsid w:val="18C75302"/>
    <w:rsid w:val="18D904AE"/>
    <w:rsid w:val="18DC79C3"/>
    <w:rsid w:val="19117898"/>
    <w:rsid w:val="191375ED"/>
    <w:rsid w:val="195B35E0"/>
    <w:rsid w:val="199F27D8"/>
    <w:rsid w:val="19C82368"/>
    <w:rsid w:val="19DA380D"/>
    <w:rsid w:val="19E571BA"/>
    <w:rsid w:val="19F3668F"/>
    <w:rsid w:val="1A077592"/>
    <w:rsid w:val="1A104BF3"/>
    <w:rsid w:val="1A1E09B2"/>
    <w:rsid w:val="1A7B0269"/>
    <w:rsid w:val="1AC33FB7"/>
    <w:rsid w:val="1AC84B34"/>
    <w:rsid w:val="1AF35961"/>
    <w:rsid w:val="1B1F555D"/>
    <w:rsid w:val="1B561602"/>
    <w:rsid w:val="1BCD544B"/>
    <w:rsid w:val="1BFF2F2A"/>
    <w:rsid w:val="1C2463C0"/>
    <w:rsid w:val="1C3278A2"/>
    <w:rsid w:val="1C4F2BC3"/>
    <w:rsid w:val="1C854E61"/>
    <w:rsid w:val="1CB87552"/>
    <w:rsid w:val="1CC55619"/>
    <w:rsid w:val="1CD75E9E"/>
    <w:rsid w:val="1CDD7501"/>
    <w:rsid w:val="1D2D1991"/>
    <w:rsid w:val="1D671A74"/>
    <w:rsid w:val="1D6848B1"/>
    <w:rsid w:val="1D857AB8"/>
    <w:rsid w:val="1D955B57"/>
    <w:rsid w:val="1DB40BC2"/>
    <w:rsid w:val="1DDE14F9"/>
    <w:rsid w:val="1DFA46BD"/>
    <w:rsid w:val="1E32167D"/>
    <w:rsid w:val="1E553C29"/>
    <w:rsid w:val="1EAA6EA3"/>
    <w:rsid w:val="1EBA3005"/>
    <w:rsid w:val="1EBF4978"/>
    <w:rsid w:val="1EC65F2B"/>
    <w:rsid w:val="1ED5429A"/>
    <w:rsid w:val="1EEA2AE5"/>
    <w:rsid w:val="1EFD452C"/>
    <w:rsid w:val="1F001CB1"/>
    <w:rsid w:val="1F1E0604"/>
    <w:rsid w:val="1F394A1A"/>
    <w:rsid w:val="1F4C7B7C"/>
    <w:rsid w:val="1F5D1205"/>
    <w:rsid w:val="1F9B28EC"/>
    <w:rsid w:val="20233A0A"/>
    <w:rsid w:val="20714AAE"/>
    <w:rsid w:val="20A60D13"/>
    <w:rsid w:val="20A86920"/>
    <w:rsid w:val="20CC0CFF"/>
    <w:rsid w:val="20FC3450"/>
    <w:rsid w:val="211334B9"/>
    <w:rsid w:val="217C4225"/>
    <w:rsid w:val="21832BAA"/>
    <w:rsid w:val="21BC3288"/>
    <w:rsid w:val="21E15E19"/>
    <w:rsid w:val="222A6014"/>
    <w:rsid w:val="222D400C"/>
    <w:rsid w:val="224A54B1"/>
    <w:rsid w:val="22845402"/>
    <w:rsid w:val="22D63FD3"/>
    <w:rsid w:val="22E50B1B"/>
    <w:rsid w:val="22F37FF6"/>
    <w:rsid w:val="22FB6A43"/>
    <w:rsid w:val="2311115B"/>
    <w:rsid w:val="23270B9D"/>
    <w:rsid w:val="23332D20"/>
    <w:rsid w:val="233C17D3"/>
    <w:rsid w:val="233C218A"/>
    <w:rsid w:val="23655EB5"/>
    <w:rsid w:val="23A6032D"/>
    <w:rsid w:val="23C01687"/>
    <w:rsid w:val="23D61DCF"/>
    <w:rsid w:val="24011FC7"/>
    <w:rsid w:val="242238CD"/>
    <w:rsid w:val="24320B70"/>
    <w:rsid w:val="24466245"/>
    <w:rsid w:val="24C0590D"/>
    <w:rsid w:val="24F65BDA"/>
    <w:rsid w:val="2558697E"/>
    <w:rsid w:val="25640486"/>
    <w:rsid w:val="256B5F2C"/>
    <w:rsid w:val="257310D3"/>
    <w:rsid w:val="25804A91"/>
    <w:rsid w:val="25EA626C"/>
    <w:rsid w:val="25EC4553"/>
    <w:rsid w:val="261A3EF4"/>
    <w:rsid w:val="261F7870"/>
    <w:rsid w:val="26907ADB"/>
    <w:rsid w:val="269F6B5D"/>
    <w:rsid w:val="26B2175F"/>
    <w:rsid w:val="271F513D"/>
    <w:rsid w:val="275B2E00"/>
    <w:rsid w:val="276B09A0"/>
    <w:rsid w:val="27EB7834"/>
    <w:rsid w:val="28492804"/>
    <w:rsid w:val="28577BD0"/>
    <w:rsid w:val="285C363D"/>
    <w:rsid w:val="289A52B3"/>
    <w:rsid w:val="28A93AA7"/>
    <w:rsid w:val="28DD06E4"/>
    <w:rsid w:val="29240D31"/>
    <w:rsid w:val="29490A77"/>
    <w:rsid w:val="296E5E83"/>
    <w:rsid w:val="297577B0"/>
    <w:rsid w:val="297F66B8"/>
    <w:rsid w:val="29862181"/>
    <w:rsid w:val="29AF1BBE"/>
    <w:rsid w:val="29E34D42"/>
    <w:rsid w:val="29E95409"/>
    <w:rsid w:val="2A36189D"/>
    <w:rsid w:val="2A690897"/>
    <w:rsid w:val="2A7175FC"/>
    <w:rsid w:val="2AB35DB5"/>
    <w:rsid w:val="2ABF1539"/>
    <w:rsid w:val="2AD01847"/>
    <w:rsid w:val="2AD21A3A"/>
    <w:rsid w:val="2AFE0FB0"/>
    <w:rsid w:val="2B2B16AB"/>
    <w:rsid w:val="2B3D3DE8"/>
    <w:rsid w:val="2B3F49D4"/>
    <w:rsid w:val="2B454D0C"/>
    <w:rsid w:val="2B480004"/>
    <w:rsid w:val="2B6037FD"/>
    <w:rsid w:val="2B7E3134"/>
    <w:rsid w:val="2B8B1D17"/>
    <w:rsid w:val="2B9A10C7"/>
    <w:rsid w:val="2BED77C0"/>
    <w:rsid w:val="2C074D38"/>
    <w:rsid w:val="2C1A1E0C"/>
    <w:rsid w:val="2C6B6BA2"/>
    <w:rsid w:val="2C9C70A5"/>
    <w:rsid w:val="2CC91D13"/>
    <w:rsid w:val="2CCE70C7"/>
    <w:rsid w:val="2CD361DC"/>
    <w:rsid w:val="2CD85F2F"/>
    <w:rsid w:val="2D051540"/>
    <w:rsid w:val="2D3879B8"/>
    <w:rsid w:val="2D391F64"/>
    <w:rsid w:val="2D6B0EA3"/>
    <w:rsid w:val="2DD97F04"/>
    <w:rsid w:val="2DFF3ADD"/>
    <w:rsid w:val="2E1C79CC"/>
    <w:rsid w:val="2E2B32D6"/>
    <w:rsid w:val="2E392D33"/>
    <w:rsid w:val="2E536FE5"/>
    <w:rsid w:val="2E667816"/>
    <w:rsid w:val="2E791687"/>
    <w:rsid w:val="2E912BDE"/>
    <w:rsid w:val="2EA875B9"/>
    <w:rsid w:val="2ED42148"/>
    <w:rsid w:val="2EDF1EFA"/>
    <w:rsid w:val="2EFE3107"/>
    <w:rsid w:val="2F1B63D1"/>
    <w:rsid w:val="2F53760D"/>
    <w:rsid w:val="2F5F30A6"/>
    <w:rsid w:val="2F966180"/>
    <w:rsid w:val="2FB86AD7"/>
    <w:rsid w:val="2FC03B68"/>
    <w:rsid w:val="2FCC5EB5"/>
    <w:rsid w:val="2FDD356D"/>
    <w:rsid w:val="300A4FB0"/>
    <w:rsid w:val="300D7EEF"/>
    <w:rsid w:val="30125D53"/>
    <w:rsid w:val="309E271A"/>
    <w:rsid w:val="30A56E68"/>
    <w:rsid w:val="30E61555"/>
    <w:rsid w:val="31123409"/>
    <w:rsid w:val="313F00F2"/>
    <w:rsid w:val="315A52B0"/>
    <w:rsid w:val="319220FD"/>
    <w:rsid w:val="319758A2"/>
    <w:rsid w:val="319D15C6"/>
    <w:rsid w:val="31E13CC9"/>
    <w:rsid w:val="31F01B5A"/>
    <w:rsid w:val="321B25DE"/>
    <w:rsid w:val="323B4D05"/>
    <w:rsid w:val="324A3E43"/>
    <w:rsid w:val="325D59A4"/>
    <w:rsid w:val="326F7930"/>
    <w:rsid w:val="32AD478C"/>
    <w:rsid w:val="32C60B2E"/>
    <w:rsid w:val="32CF197A"/>
    <w:rsid w:val="32D373F3"/>
    <w:rsid w:val="32E77CD8"/>
    <w:rsid w:val="32EA4195"/>
    <w:rsid w:val="32F861B8"/>
    <w:rsid w:val="33010AEC"/>
    <w:rsid w:val="331421DE"/>
    <w:rsid w:val="33163F3D"/>
    <w:rsid w:val="331D4896"/>
    <w:rsid w:val="3321149D"/>
    <w:rsid w:val="333974B6"/>
    <w:rsid w:val="335B2396"/>
    <w:rsid w:val="338B5E95"/>
    <w:rsid w:val="33920A9F"/>
    <w:rsid w:val="33997B4D"/>
    <w:rsid w:val="33A459E2"/>
    <w:rsid w:val="34184422"/>
    <w:rsid w:val="3419414A"/>
    <w:rsid w:val="343D09E4"/>
    <w:rsid w:val="344158AC"/>
    <w:rsid w:val="344E6363"/>
    <w:rsid w:val="34520E23"/>
    <w:rsid w:val="347D51D4"/>
    <w:rsid w:val="34B87C7C"/>
    <w:rsid w:val="34BC0BA7"/>
    <w:rsid w:val="34F7189E"/>
    <w:rsid w:val="350E3C3F"/>
    <w:rsid w:val="3528599B"/>
    <w:rsid w:val="352C5572"/>
    <w:rsid w:val="353B717A"/>
    <w:rsid w:val="356A2E49"/>
    <w:rsid w:val="35742D7C"/>
    <w:rsid w:val="35F25969"/>
    <w:rsid w:val="365015FB"/>
    <w:rsid w:val="366B0578"/>
    <w:rsid w:val="367A5F64"/>
    <w:rsid w:val="36825B5E"/>
    <w:rsid w:val="36917E84"/>
    <w:rsid w:val="369D03B9"/>
    <w:rsid w:val="36AD4C2F"/>
    <w:rsid w:val="36EF37FF"/>
    <w:rsid w:val="37093174"/>
    <w:rsid w:val="371D7C60"/>
    <w:rsid w:val="377208C5"/>
    <w:rsid w:val="37765619"/>
    <w:rsid w:val="379F48CB"/>
    <w:rsid w:val="37A0201B"/>
    <w:rsid w:val="37BE13CA"/>
    <w:rsid w:val="37EE1745"/>
    <w:rsid w:val="381A2C58"/>
    <w:rsid w:val="381A5CE2"/>
    <w:rsid w:val="381F70F8"/>
    <w:rsid w:val="38924F5A"/>
    <w:rsid w:val="38AD2E41"/>
    <w:rsid w:val="38D45199"/>
    <w:rsid w:val="38D7009F"/>
    <w:rsid w:val="38EC6EED"/>
    <w:rsid w:val="394E0D6C"/>
    <w:rsid w:val="39502B2E"/>
    <w:rsid w:val="3953230A"/>
    <w:rsid w:val="397E04AE"/>
    <w:rsid w:val="39913760"/>
    <w:rsid w:val="3A7A3E35"/>
    <w:rsid w:val="3A92327C"/>
    <w:rsid w:val="3AAE4F47"/>
    <w:rsid w:val="3ABD0833"/>
    <w:rsid w:val="3ABF661E"/>
    <w:rsid w:val="3B1A4B3E"/>
    <w:rsid w:val="3B3048F1"/>
    <w:rsid w:val="3B3E6FAC"/>
    <w:rsid w:val="3BE82348"/>
    <w:rsid w:val="3C06070B"/>
    <w:rsid w:val="3C1444AC"/>
    <w:rsid w:val="3C274111"/>
    <w:rsid w:val="3C547E24"/>
    <w:rsid w:val="3C584DA1"/>
    <w:rsid w:val="3CCA20D8"/>
    <w:rsid w:val="3D941735"/>
    <w:rsid w:val="3DA64451"/>
    <w:rsid w:val="3DB24F3D"/>
    <w:rsid w:val="3DDE3DAC"/>
    <w:rsid w:val="3DFC5237"/>
    <w:rsid w:val="3E27562C"/>
    <w:rsid w:val="3E4D6FC1"/>
    <w:rsid w:val="3E6947CF"/>
    <w:rsid w:val="3E8A454C"/>
    <w:rsid w:val="3E987474"/>
    <w:rsid w:val="3E9C5D59"/>
    <w:rsid w:val="3ED360BC"/>
    <w:rsid w:val="3F710124"/>
    <w:rsid w:val="3FBB51A3"/>
    <w:rsid w:val="3FDF25E9"/>
    <w:rsid w:val="3FF07D85"/>
    <w:rsid w:val="3FF1642A"/>
    <w:rsid w:val="3FFE26F4"/>
    <w:rsid w:val="40282EED"/>
    <w:rsid w:val="403C1224"/>
    <w:rsid w:val="40831863"/>
    <w:rsid w:val="40894C4D"/>
    <w:rsid w:val="412679DC"/>
    <w:rsid w:val="41517F9D"/>
    <w:rsid w:val="416A3034"/>
    <w:rsid w:val="417D1029"/>
    <w:rsid w:val="41B456C4"/>
    <w:rsid w:val="42090E50"/>
    <w:rsid w:val="42441F00"/>
    <w:rsid w:val="425A1705"/>
    <w:rsid w:val="42E95491"/>
    <w:rsid w:val="42FF48FE"/>
    <w:rsid w:val="431C6421"/>
    <w:rsid w:val="434B0816"/>
    <w:rsid w:val="43576B7D"/>
    <w:rsid w:val="43C30956"/>
    <w:rsid w:val="43C75166"/>
    <w:rsid w:val="442A0023"/>
    <w:rsid w:val="44437104"/>
    <w:rsid w:val="44504F16"/>
    <w:rsid w:val="44537F59"/>
    <w:rsid w:val="44666BE9"/>
    <w:rsid w:val="446F62CC"/>
    <w:rsid w:val="44825D97"/>
    <w:rsid w:val="44986652"/>
    <w:rsid w:val="44B1746D"/>
    <w:rsid w:val="44B944D1"/>
    <w:rsid w:val="458C70A2"/>
    <w:rsid w:val="45A568D9"/>
    <w:rsid w:val="45BA1F04"/>
    <w:rsid w:val="461006F0"/>
    <w:rsid w:val="4619214D"/>
    <w:rsid w:val="46372D24"/>
    <w:rsid w:val="465763C5"/>
    <w:rsid w:val="46BA756A"/>
    <w:rsid w:val="46D8403F"/>
    <w:rsid w:val="47073246"/>
    <w:rsid w:val="472E48D7"/>
    <w:rsid w:val="4756428D"/>
    <w:rsid w:val="475A27A2"/>
    <w:rsid w:val="475B4DF8"/>
    <w:rsid w:val="476D4066"/>
    <w:rsid w:val="477026E0"/>
    <w:rsid w:val="47872991"/>
    <w:rsid w:val="479D546F"/>
    <w:rsid w:val="47A077D0"/>
    <w:rsid w:val="47C70685"/>
    <w:rsid w:val="47F22F39"/>
    <w:rsid w:val="48056A58"/>
    <w:rsid w:val="481529AD"/>
    <w:rsid w:val="483D0495"/>
    <w:rsid w:val="48467A91"/>
    <w:rsid w:val="487C6301"/>
    <w:rsid w:val="48892517"/>
    <w:rsid w:val="488B79F3"/>
    <w:rsid w:val="490F6373"/>
    <w:rsid w:val="494738A9"/>
    <w:rsid w:val="495449CB"/>
    <w:rsid w:val="49597175"/>
    <w:rsid w:val="49A40931"/>
    <w:rsid w:val="49A67127"/>
    <w:rsid w:val="49FA51AE"/>
    <w:rsid w:val="4A2475AE"/>
    <w:rsid w:val="4A7C7998"/>
    <w:rsid w:val="4A8243E2"/>
    <w:rsid w:val="4B044BE2"/>
    <w:rsid w:val="4B164BF7"/>
    <w:rsid w:val="4B232A63"/>
    <w:rsid w:val="4B2A6D26"/>
    <w:rsid w:val="4B3819D9"/>
    <w:rsid w:val="4B386B1F"/>
    <w:rsid w:val="4B3B31B0"/>
    <w:rsid w:val="4B434BDF"/>
    <w:rsid w:val="4B533EB2"/>
    <w:rsid w:val="4B675CF1"/>
    <w:rsid w:val="4B9D3C8C"/>
    <w:rsid w:val="4B9E5377"/>
    <w:rsid w:val="4BA91423"/>
    <w:rsid w:val="4BBC7A8D"/>
    <w:rsid w:val="4BF471C5"/>
    <w:rsid w:val="4BF943BB"/>
    <w:rsid w:val="4C3118A2"/>
    <w:rsid w:val="4C491E5A"/>
    <w:rsid w:val="4CD13956"/>
    <w:rsid w:val="4CDB3F00"/>
    <w:rsid w:val="4CE34EB6"/>
    <w:rsid w:val="4CEB77DA"/>
    <w:rsid w:val="4D036CAF"/>
    <w:rsid w:val="4D6A28CB"/>
    <w:rsid w:val="4D830DAC"/>
    <w:rsid w:val="4D8E0BDE"/>
    <w:rsid w:val="4D9A6DB9"/>
    <w:rsid w:val="4DC4743A"/>
    <w:rsid w:val="4DD557B0"/>
    <w:rsid w:val="4DF60BDA"/>
    <w:rsid w:val="4E245FAE"/>
    <w:rsid w:val="4E312DA4"/>
    <w:rsid w:val="4E41544D"/>
    <w:rsid w:val="4E464A84"/>
    <w:rsid w:val="4E526F74"/>
    <w:rsid w:val="4E537667"/>
    <w:rsid w:val="4E6148F7"/>
    <w:rsid w:val="4E6536C4"/>
    <w:rsid w:val="4E7724EA"/>
    <w:rsid w:val="4EC46589"/>
    <w:rsid w:val="4ECD720D"/>
    <w:rsid w:val="4F0405C9"/>
    <w:rsid w:val="4F461CC5"/>
    <w:rsid w:val="4F4D396E"/>
    <w:rsid w:val="4FA7036F"/>
    <w:rsid w:val="4FAF700C"/>
    <w:rsid w:val="4FDE262D"/>
    <w:rsid w:val="500314A7"/>
    <w:rsid w:val="5003382A"/>
    <w:rsid w:val="50375193"/>
    <w:rsid w:val="503E1FCA"/>
    <w:rsid w:val="50461890"/>
    <w:rsid w:val="504C1BA2"/>
    <w:rsid w:val="504E2748"/>
    <w:rsid w:val="50BA7557"/>
    <w:rsid w:val="50BB01DA"/>
    <w:rsid w:val="50C638D6"/>
    <w:rsid w:val="50E21ACE"/>
    <w:rsid w:val="50F93B86"/>
    <w:rsid w:val="51027B61"/>
    <w:rsid w:val="5140543F"/>
    <w:rsid w:val="517347C8"/>
    <w:rsid w:val="51E555A2"/>
    <w:rsid w:val="51EA1147"/>
    <w:rsid w:val="524819E6"/>
    <w:rsid w:val="5260187D"/>
    <w:rsid w:val="528F6EA6"/>
    <w:rsid w:val="52B8787C"/>
    <w:rsid w:val="52C83255"/>
    <w:rsid w:val="52EA4D85"/>
    <w:rsid w:val="530E44DA"/>
    <w:rsid w:val="534862D9"/>
    <w:rsid w:val="53497A9A"/>
    <w:rsid w:val="5360134E"/>
    <w:rsid w:val="53664FB3"/>
    <w:rsid w:val="5387554D"/>
    <w:rsid w:val="53960E6A"/>
    <w:rsid w:val="53C8196B"/>
    <w:rsid w:val="53E41DB4"/>
    <w:rsid w:val="53F26B45"/>
    <w:rsid w:val="54335E5C"/>
    <w:rsid w:val="549D6646"/>
    <w:rsid w:val="54AF5969"/>
    <w:rsid w:val="54B56893"/>
    <w:rsid w:val="54BA789D"/>
    <w:rsid w:val="551301F0"/>
    <w:rsid w:val="554E3A38"/>
    <w:rsid w:val="555D0437"/>
    <w:rsid w:val="55A10730"/>
    <w:rsid w:val="55A72832"/>
    <w:rsid w:val="55AB2EE4"/>
    <w:rsid w:val="563F281B"/>
    <w:rsid w:val="566F1222"/>
    <w:rsid w:val="568446D1"/>
    <w:rsid w:val="56865BE8"/>
    <w:rsid w:val="56B317A5"/>
    <w:rsid w:val="56C52B5D"/>
    <w:rsid w:val="57234AF5"/>
    <w:rsid w:val="574A510A"/>
    <w:rsid w:val="575751C1"/>
    <w:rsid w:val="578454DF"/>
    <w:rsid w:val="57A0057A"/>
    <w:rsid w:val="57A54DD5"/>
    <w:rsid w:val="57C559F6"/>
    <w:rsid w:val="57FA22BB"/>
    <w:rsid w:val="58A34B5E"/>
    <w:rsid w:val="58CB312B"/>
    <w:rsid w:val="58D9172E"/>
    <w:rsid w:val="58F16EE8"/>
    <w:rsid w:val="59032417"/>
    <w:rsid w:val="591D4EAF"/>
    <w:rsid w:val="59272A43"/>
    <w:rsid w:val="593747CE"/>
    <w:rsid w:val="59454223"/>
    <w:rsid w:val="595906C0"/>
    <w:rsid w:val="5960038C"/>
    <w:rsid w:val="597611C4"/>
    <w:rsid w:val="59A20FEB"/>
    <w:rsid w:val="59B54BD9"/>
    <w:rsid w:val="59C07E99"/>
    <w:rsid w:val="59F15C04"/>
    <w:rsid w:val="5A3E01A8"/>
    <w:rsid w:val="5A605ED4"/>
    <w:rsid w:val="5AA13442"/>
    <w:rsid w:val="5AAE67C0"/>
    <w:rsid w:val="5ADD7B90"/>
    <w:rsid w:val="5B1F7022"/>
    <w:rsid w:val="5B2F6628"/>
    <w:rsid w:val="5B4336C7"/>
    <w:rsid w:val="5B53316D"/>
    <w:rsid w:val="5B7F122D"/>
    <w:rsid w:val="5BA40A1E"/>
    <w:rsid w:val="5BCA1444"/>
    <w:rsid w:val="5BCA2F69"/>
    <w:rsid w:val="5BD74586"/>
    <w:rsid w:val="5C00101B"/>
    <w:rsid w:val="5C5E119E"/>
    <w:rsid w:val="5CC9755E"/>
    <w:rsid w:val="5CD0066D"/>
    <w:rsid w:val="5CD75CFE"/>
    <w:rsid w:val="5D215347"/>
    <w:rsid w:val="5D2A7474"/>
    <w:rsid w:val="5D5E347F"/>
    <w:rsid w:val="5D6A291B"/>
    <w:rsid w:val="5D890C96"/>
    <w:rsid w:val="5D917FF8"/>
    <w:rsid w:val="5D9B7793"/>
    <w:rsid w:val="5E233FBF"/>
    <w:rsid w:val="5E2576CD"/>
    <w:rsid w:val="5E702CEC"/>
    <w:rsid w:val="5E7C0E23"/>
    <w:rsid w:val="5EA97A3D"/>
    <w:rsid w:val="5EB15C86"/>
    <w:rsid w:val="5ECA6034"/>
    <w:rsid w:val="5EFB19E8"/>
    <w:rsid w:val="5F237C04"/>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1072DE6"/>
    <w:rsid w:val="61164C50"/>
    <w:rsid w:val="614F61F8"/>
    <w:rsid w:val="617B1C9D"/>
    <w:rsid w:val="61981D70"/>
    <w:rsid w:val="61C439FA"/>
    <w:rsid w:val="61CE507B"/>
    <w:rsid w:val="61E728D6"/>
    <w:rsid w:val="61EF5133"/>
    <w:rsid w:val="620930F5"/>
    <w:rsid w:val="62173821"/>
    <w:rsid w:val="622307EE"/>
    <w:rsid w:val="626342D1"/>
    <w:rsid w:val="626559D3"/>
    <w:rsid w:val="626B432C"/>
    <w:rsid w:val="63146E6D"/>
    <w:rsid w:val="63696824"/>
    <w:rsid w:val="63C10D97"/>
    <w:rsid w:val="63C75ED9"/>
    <w:rsid w:val="63D11A20"/>
    <w:rsid w:val="63E6019D"/>
    <w:rsid w:val="6430755C"/>
    <w:rsid w:val="6431190B"/>
    <w:rsid w:val="64367A85"/>
    <w:rsid w:val="645F4F0D"/>
    <w:rsid w:val="64695B5E"/>
    <w:rsid w:val="646E21D5"/>
    <w:rsid w:val="647D794E"/>
    <w:rsid w:val="647E0C7E"/>
    <w:rsid w:val="648C03F1"/>
    <w:rsid w:val="64AA310F"/>
    <w:rsid w:val="64B2314C"/>
    <w:rsid w:val="64C86861"/>
    <w:rsid w:val="64E20D10"/>
    <w:rsid w:val="65467B84"/>
    <w:rsid w:val="656B3FC6"/>
    <w:rsid w:val="658F5BB8"/>
    <w:rsid w:val="65BF100D"/>
    <w:rsid w:val="65DA1AC6"/>
    <w:rsid w:val="65DB41B5"/>
    <w:rsid w:val="65DE1C89"/>
    <w:rsid w:val="65ED6758"/>
    <w:rsid w:val="65EE308C"/>
    <w:rsid w:val="660437C1"/>
    <w:rsid w:val="66153F7B"/>
    <w:rsid w:val="66670035"/>
    <w:rsid w:val="667A22D3"/>
    <w:rsid w:val="66911095"/>
    <w:rsid w:val="66C7396A"/>
    <w:rsid w:val="66F47A75"/>
    <w:rsid w:val="67240821"/>
    <w:rsid w:val="67265308"/>
    <w:rsid w:val="67456B62"/>
    <w:rsid w:val="676475B1"/>
    <w:rsid w:val="682942F3"/>
    <w:rsid w:val="688F1BA0"/>
    <w:rsid w:val="68AB3B96"/>
    <w:rsid w:val="68AB5173"/>
    <w:rsid w:val="68CF1655"/>
    <w:rsid w:val="68D21289"/>
    <w:rsid w:val="68F00547"/>
    <w:rsid w:val="68F84251"/>
    <w:rsid w:val="6986402B"/>
    <w:rsid w:val="698C3790"/>
    <w:rsid w:val="69966862"/>
    <w:rsid w:val="69A10D94"/>
    <w:rsid w:val="69A92343"/>
    <w:rsid w:val="69BF4E9F"/>
    <w:rsid w:val="69D65C3D"/>
    <w:rsid w:val="69DC76D7"/>
    <w:rsid w:val="69E61105"/>
    <w:rsid w:val="69FC2319"/>
    <w:rsid w:val="6A1859A9"/>
    <w:rsid w:val="6A41119E"/>
    <w:rsid w:val="6A6416BC"/>
    <w:rsid w:val="6A652369"/>
    <w:rsid w:val="6A6B53FF"/>
    <w:rsid w:val="6A8B5F11"/>
    <w:rsid w:val="6A9036B8"/>
    <w:rsid w:val="6ADC6E06"/>
    <w:rsid w:val="6AF538FA"/>
    <w:rsid w:val="6B103298"/>
    <w:rsid w:val="6B17564A"/>
    <w:rsid w:val="6B715BAF"/>
    <w:rsid w:val="6B8B3DF7"/>
    <w:rsid w:val="6BF27B47"/>
    <w:rsid w:val="6C110E17"/>
    <w:rsid w:val="6C112F6C"/>
    <w:rsid w:val="6C2708F2"/>
    <w:rsid w:val="6C490D2F"/>
    <w:rsid w:val="6C82470C"/>
    <w:rsid w:val="6CBB3210"/>
    <w:rsid w:val="6CCF46FE"/>
    <w:rsid w:val="6CE83EE8"/>
    <w:rsid w:val="6D0836E2"/>
    <w:rsid w:val="6D42667C"/>
    <w:rsid w:val="6D46511E"/>
    <w:rsid w:val="6D875DC9"/>
    <w:rsid w:val="6D9B48E4"/>
    <w:rsid w:val="6D9E7027"/>
    <w:rsid w:val="6DBF7C53"/>
    <w:rsid w:val="6E12125B"/>
    <w:rsid w:val="6E640393"/>
    <w:rsid w:val="6E8B1F5C"/>
    <w:rsid w:val="6E934195"/>
    <w:rsid w:val="6E954457"/>
    <w:rsid w:val="6EB6197B"/>
    <w:rsid w:val="6EDA2C9A"/>
    <w:rsid w:val="6EDA6A71"/>
    <w:rsid w:val="6EDF5A03"/>
    <w:rsid w:val="6EEC7185"/>
    <w:rsid w:val="6F13656B"/>
    <w:rsid w:val="6F16595B"/>
    <w:rsid w:val="6F293B03"/>
    <w:rsid w:val="6F96567B"/>
    <w:rsid w:val="6FCF5335"/>
    <w:rsid w:val="6FDD1E5B"/>
    <w:rsid w:val="70343BCF"/>
    <w:rsid w:val="707A66C4"/>
    <w:rsid w:val="708151EA"/>
    <w:rsid w:val="70F87367"/>
    <w:rsid w:val="71095FD4"/>
    <w:rsid w:val="71096A30"/>
    <w:rsid w:val="7140764A"/>
    <w:rsid w:val="714A3FDC"/>
    <w:rsid w:val="7154029E"/>
    <w:rsid w:val="716B75F7"/>
    <w:rsid w:val="71A830A3"/>
    <w:rsid w:val="71B71858"/>
    <w:rsid w:val="71BD4504"/>
    <w:rsid w:val="71C614F8"/>
    <w:rsid w:val="72063630"/>
    <w:rsid w:val="72170C58"/>
    <w:rsid w:val="723D3ED5"/>
    <w:rsid w:val="725C0C0D"/>
    <w:rsid w:val="7292018E"/>
    <w:rsid w:val="72945FFF"/>
    <w:rsid w:val="72B93937"/>
    <w:rsid w:val="72C41547"/>
    <w:rsid w:val="72F17306"/>
    <w:rsid w:val="73085912"/>
    <w:rsid w:val="73696B97"/>
    <w:rsid w:val="739946F0"/>
    <w:rsid w:val="73D53CDE"/>
    <w:rsid w:val="73E51C1F"/>
    <w:rsid w:val="740C0775"/>
    <w:rsid w:val="740C2E8C"/>
    <w:rsid w:val="747932C9"/>
    <w:rsid w:val="747F2524"/>
    <w:rsid w:val="7499313E"/>
    <w:rsid w:val="749C7286"/>
    <w:rsid w:val="74A94359"/>
    <w:rsid w:val="74AB130E"/>
    <w:rsid w:val="74C91B20"/>
    <w:rsid w:val="74EC20A2"/>
    <w:rsid w:val="752D6294"/>
    <w:rsid w:val="7543356F"/>
    <w:rsid w:val="757A53EF"/>
    <w:rsid w:val="75952926"/>
    <w:rsid w:val="75A1642C"/>
    <w:rsid w:val="765B6397"/>
    <w:rsid w:val="76614049"/>
    <w:rsid w:val="768A341C"/>
    <w:rsid w:val="76FA7507"/>
    <w:rsid w:val="77686DDD"/>
    <w:rsid w:val="778D2E4C"/>
    <w:rsid w:val="778F0849"/>
    <w:rsid w:val="77BB02EC"/>
    <w:rsid w:val="77D26432"/>
    <w:rsid w:val="77F630ED"/>
    <w:rsid w:val="7863320D"/>
    <w:rsid w:val="7872426F"/>
    <w:rsid w:val="78E90945"/>
    <w:rsid w:val="78EE6C97"/>
    <w:rsid w:val="792E7F32"/>
    <w:rsid w:val="7951288A"/>
    <w:rsid w:val="7973270F"/>
    <w:rsid w:val="79855155"/>
    <w:rsid w:val="798A0262"/>
    <w:rsid w:val="79D844FD"/>
    <w:rsid w:val="7A284234"/>
    <w:rsid w:val="7A447A33"/>
    <w:rsid w:val="7A816C87"/>
    <w:rsid w:val="7A8E697E"/>
    <w:rsid w:val="7B3518EB"/>
    <w:rsid w:val="7B35614B"/>
    <w:rsid w:val="7B513D99"/>
    <w:rsid w:val="7BA258DC"/>
    <w:rsid w:val="7BCB1412"/>
    <w:rsid w:val="7BD11C6F"/>
    <w:rsid w:val="7C0410BC"/>
    <w:rsid w:val="7C113E9E"/>
    <w:rsid w:val="7C3E4C06"/>
    <w:rsid w:val="7C492F6E"/>
    <w:rsid w:val="7C657CBD"/>
    <w:rsid w:val="7C6C04D3"/>
    <w:rsid w:val="7D1A7CA4"/>
    <w:rsid w:val="7D3E33A5"/>
    <w:rsid w:val="7D975BC1"/>
    <w:rsid w:val="7D977F48"/>
    <w:rsid w:val="7DBF6346"/>
    <w:rsid w:val="7DEC7618"/>
    <w:rsid w:val="7E0004E7"/>
    <w:rsid w:val="7E80479B"/>
    <w:rsid w:val="7E9C4A70"/>
    <w:rsid w:val="7EC07239"/>
    <w:rsid w:val="7F042CA5"/>
    <w:rsid w:val="7F4A021E"/>
    <w:rsid w:val="7FAD6879"/>
    <w:rsid w:val="7FE177E2"/>
    <w:rsid w:val="7FEC4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619</Words>
  <Characters>649</Characters>
  <Lines>0</Lines>
  <Paragraphs>0</Paragraphs>
  <TotalTime>0</TotalTime>
  <ScaleCrop>false</ScaleCrop>
  <LinksUpToDate>false</LinksUpToDate>
  <CharactersWithSpaces>949</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来我的鱼塘</cp:lastModifiedBy>
  <cp:lastPrinted>2025-06-06T06:47:00Z</cp:lastPrinted>
  <dcterms:modified xsi:type="dcterms:W3CDTF">2025-12-06T12:00:04Z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2582F3DCD5C54EF48D6730811DF6A129</vt:lpwstr>
  </property>
  <property fmtid="{D5CDD505-2E9C-101B-9397-08002B2CF9AE}" pid="4" name="KSOTemplateDocerSaveRecord">
    <vt:lpwstr>eyJoZGlkIjoiZDgyZTRjODY4MTEzYmFhOGQwMGEyNTFlOGI2NjJhNzAiLCJ1c2VySWQiOiIzMDcwOTEzNDMifQ==</vt:lpwstr>
  </property>
</Properties>
</file>