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uppressAutoHyphens/>
        <w:spacing w:line="360" w:lineRule="auto"/>
        <w:ind w:left="0" w:leftChars="0" w:firstLine="420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评分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标准</w:t>
      </w:r>
    </w:p>
    <w:p>
      <w:pPr>
        <w:numPr>
          <w:ilvl w:val="0"/>
          <w:numId w:val="2"/>
        </w:numPr>
        <w:suppressAutoHyphens/>
        <w:spacing w:line="360" w:lineRule="auto"/>
        <w:ind w:left="425" w:leftChars="0" w:hanging="425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商务技术评审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（满分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0分）</w:t>
      </w:r>
    </w:p>
    <w:tbl>
      <w:tblPr>
        <w:tblStyle w:val="6"/>
        <w:tblW w:w="86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91"/>
        <w:gridCol w:w="1074"/>
        <w:gridCol w:w="4634"/>
        <w:gridCol w:w="741"/>
        <w:gridCol w:w="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uppressAutoHyphens/>
              <w:spacing w:line="24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791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评审要素</w:t>
            </w:r>
          </w:p>
        </w:tc>
        <w:tc>
          <w:tcPr>
            <w:tcW w:w="1074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详细评审项</w:t>
            </w:r>
          </w:p>
        </w:tc>
        <w:tc>
          <w:tcPr>
            <w:tcW w:w="4634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评审标准</w:t>
            </w:r>
          </w:p>
        </w:tc>
        <w:tc>
          <w:tcPr>
            <w:tcW w:w="1389" w:type="dxa"/>
            <w:gridSpan w:val="2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uppressAutoHyphens/>
              <w:spacing w:line="24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791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074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634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分项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7" w:hRule="atLeast"/>
          <w:jc w:val="center"/>
        </w:trPr>
        <w:tc>
          <w:tcPr>
            <w:tcW w:w="729" w:type="dxa"/>
            <w:vAlign w:val="center"/>
          </w:tcPr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791" w:type="dxa"/>
            <w:vMerge w:val="restart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商务技术</w:t>
            </w:r>
          </w:p>
        </w:tc>
        <w:tc>
          <w:tcPr>
            <w:tcW w:w="1074" w:type="dxa"/>
            <w:vAlign w:val="center"/>
          </w:tcPr>
          <w:p>
            <w:pPr>
              <w:suppressAutoHyphens/>
              <w:spacing w:line="240" w:lineRule="auto"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企业质量管理机制</w:t>
            </w:r>
          </w:p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634" w:type="dxa"/>
            <w:vAlign w:val="center"/>
          </w:tcPr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根据各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提供的企业质量管理机制证明材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料，横向比较所有有效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情况：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jc w:val="left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质量管理体系认证(10分)</w:t>
            </w:r>
          </w:p>
          <w:p>
            <w:pPr>
              <w:numPr>
                <w:numId w:val="0"/>
              </w:numPr>
              <w:suppressAutoHyphens/>
              <w:spacing w:line="240" w:lineRule="auto"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具有质量管理体系认证证书（ISO9001）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得10分；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质量管理体系、机制及措施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10分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）</w:t>
            </w:r>
          </w:p>
          <w:p>
            <w:pPr>
              <w:numPr>
                <w:numId w:val="0"/>
              </w:num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具有完备的企业质量管理体系、机制及措施，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得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分；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具有一般的企业质量管理体系、机制及措施，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得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分；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企业质量管理体系、机制及措施不齐全，得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分；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未建立企业质量管理体系、机制及措施不得分。</w:t>
            </w: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0" w:hRule="atLeast"/>
          <w:jc w:val="center"/>
        </w:trPr>
        <w:tc>
          <w:tcPr>
            <w:tcW w:w="729" w:type="dxa"/>
            <w:vAlign w:val="center"/>
          </w:tcPr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791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公司盈利情况</w:t>
            </w:r>
          </w:p>
        </w:tc>
        <w:tc>
          <w:tcPr>
            <w:tcW w:w="46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成立 3 年及以上的响应人：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连续三年盈利，得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分；两年盈利，得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分；一年盈利，得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分；无盈利得 0 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备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注：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1.净利润值大于 0 为盈利，截止时间在当年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月 30 日及以前，未出具上年度财务报表时可上传前一年度财务报表；6 月 30 日以后，应上传上年度财务报表，未按年份和时间要求提供财务报表得 0 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2.新成立满两年的响应人，若连续两年盈利，得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分；1 年盈利，得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Cs w:val="21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3.新成立不满两年的响应人，本项得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4.非营利法人取通过初评的响应人得分平均值。</w:t>
            </w: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6" w:hRule="atLeast"/>
          <w:jc w:val="center"/>
        </w:trPr>
        <w:tc>
          <w:tcPr>
            <w:tcW w:w="729" w:type="dxa"/>
            <w:vAlign w:val="center"/>
          </w:tcPr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791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1074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sz w:val="21"/>
                <w:szCs w:val="21"/>
              </w:rPr>
              <w:t>业绩情况</w:t>
            </w:r>
            <w:bookmarkEnd w:id="0"/>
          </w:p>
        </w:tc>
        <w:tc>
          <w:tcPr>
            <w:tcW w:w="4634" w:type="dxa"/>
            <w:vAlign w:val="center"/>
          </w:tcPr>
          <w:p>
            <w:pPr>
              <w:pStyle w:val="3"/>
              <w:spacing w:after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提供2022年1月1日至投标截止日前所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代理的智能设备相关专利</w:t>
            </w:r>
            <w:r>
              <w:rPr>
                <w:rFonts w:hint="eastAsia" w:ascii="宋体" w:hAnsi="宋体" w:eastAsia="宋体" w:cs="宋体"/>
                <w:szCs w:val="21"/>
              </w:rPr>
              <w:t>的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证明材料</w:t>
            </w:r>
            <w:r>
              <w:rPr>
                <w:rFonts w:hint="eastAsia" w:ascii="宋体" w:hAnsi="宋体" w:eastAsia="宋体" w:cs="宋体"/>
                <w:szCs w:val="21"/>
              </w:rPr>
              <w:t>。要求提供合同（应包含封面页、服务内容页、盖章签字页等页面）等证明材料。</w:t>
            </w:r>
          </w:p>
          <w:p>
            <w:pPr>
              <w:pStyle w:val="3"/>
              <w:spacing w:after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合同数量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份及以下，得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分；</w:t>
            </w:r>
          </w:p>
          <w:p>
            <w:pPr>
              <w:pStyle w:val="3"/>
              <w:spacing w:after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合同数量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份，得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0 分；</w:t>
            </w:r>
          </w:p>
          <w:p>
            <w:pPr>
              <w:pStyle w:val="3"/>
              <w:spacing w:after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合同数量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份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及以上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分；</w:t>
            </w:r>
          </w:p>
          <w:p>
            <w:pPr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若所提供合同证明材料与上述要求无关，则得0分。</w:t>
            </w: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729" w:type="dxa"/>
            <w:vAlign w:val="center"/>
          </w:tcPr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791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1074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项目负责人能力</w:t>
            </w:r>
          </w:p>
        </w:tc>
        <w:tc>
          <w:tcPr>
            <w:tcW w:w="463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拟委派本项目的项目负责人：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1、具有本科及以上学历的，得5分</w:t>
            </w:r>
            <w:r>
              <w:rPr>
                <w:rFonts w:hint="eastAsia"/>
              </w:rPr>
              <w:t>；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2、具有专利代理相关证书的，得10分；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3、作为项目负责人，每参与一个专利申报的，得5分，累计不超过15分</w:t>
            </w:r>
            <w:r>
              <w:rPr>
                <w:rFonts w:hint="eastAsia"/>
              </w:rPr>
              <w:t>；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若提供的证书与上述要求无关，则</w:t>
            </w:r>
            <w:r>
              <w:rPr>
                <w:rFonts w:hint="eastAsia"/>
                <w:lang w:val="en-US" w:eastAsia="zh-CN"/>
              </w:rPr>
              <w:t>不得分</w:t>
            </w:r>
            <w:r>
              <w:rPr>
                <w:rFonts w:hint="eastAsia"/>
              </w:rPr>
              <w:t>。</w:t>
            </w: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8" w:type="dxa"/>
            <w:gridSpan w:val="4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741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64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100</w:t>
            </w:r>
          </w:p>
        </w:tc>
      </w:tr>
    </w:tbl>
    <w:p>
      <w:pPr>
        <w:numPr>
          <w:ilvl w:val="0"/>
          <w:numId w:val="2"/>
        </w:numPr>
        <w:suppressAutoHyphens/>
        <w:spacing w:line="360" w:lineRule="auto"/>
        <w:ind w:left="425" w:leftChars="0" w:hanging="425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价格评审（满分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0分）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7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价格分计算方法名称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both"/>
            </w:pPr>
            <w:r>
              <w:rPr>
                <w:b w:val="0"/>
              </w:rPr>
              <w:t>单边法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评标基准价计算方法</w:t>
            </w:r>
          </w:p>
        </w:tc>
        <w:tc>
          <w:tcPr>
            <w:tcW w:w="7371" w:type="dxa"/>
            <w:vAlign w:val="top"/>
          </w:tcPr>
          <w:p>
            <w:pPr>
              <w:spacing w:line="400" w:lineRule="exact"/>
            </w:pPr>
            <w:r>
              <w:rPr>
                <w:b w:val="0"/>
              </w:rPr>
              <w:t>1、进入价格分计算的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取技术商务加权总分排名前BP%的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，按比例HP%、LP%分别去掉最高、最低价格后（当排名前BP%的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个数少于等于L个时，不去最高最低价），计算平均价作为Y平均。</w:t>
            </w:r>
          </w:p>
          <w:p>
            <w:pPr>
              <w:spacing w:line="400" w:lineRule="exact"/>
            </w:pPr>
            <w:r>
              <w:rPr>
                <w:b w:val="0"/>
              </w:rPr>
              <w:t>2、计算评标基准价，Y基准＝Y平均×（1－X），X为下浮率，Y基准按四舍五入法保留两位小数。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价格分计算公式</w:t>
            </w:r>
          </w:p>
        </w:tc>
        <w:tc>
          <w:tcPr>
            <w:tcW w:w="7371" w:type="dxa"/>
            <w:vAlign w:val="top"/>
          </w:tcPr>
          <w:p>
            <w:pPr>
              <w:spacing w:line="400" w:lineRule="exact"/>
            </w:pPr>
            <w:r>
              <w:rPr>
                <w:b w:val="0"/>
              </w:rPr>
              <w:t>1、Yi为某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的投标价格；Qi为计算得分，按四舍五入法保留两位小数。</w:t>
            </w:r>
          </w:p>
          <w:p>
            <w:pPr>
              <w:spacing w:line="400" w:lineRule="exact"/>
            </w:pPr>
            <w:r>
              <w:rPr>
                <w:b w:val="0"/>
              </w:rPr>
              <w:t>2、当Yi＞Y基准，Qi＝报价满分－（Yi－Y基准）/Y基准×报价满分×RH。</w:t>
            </w:r>
          </w:p>
          <w:p>
            <w:pPr>
              <w:spacing w:line="400" w:lineRule="exact"/>
            </w:pPr>
            <w:r>
              <w:rPr>
                <w:b w:val="0"/>
              </w:rPr>
              <w:t>3、当Yi=Y基准，Qi=报价满分。</w:t>
            </w:r>
          </w:p>
          <w:p>
            <w:pPr>
              <w:spacing w:line="400" w:lineRule="exact"/>
            </w:pPr>
            <w:r>
              <w:rPr>
                <w:b w:val="0"/>
              </w:rPr>
              <w:t>4、当Yi＜Y基准，Qi＝报价满分－（Y基准－Yi）/Y基准×报价满分×RL。</w:t>
            </w:r>
          </w:p>
          <w:p>
            <w:pPr>
              <w:spacing w:line="400" w:lineRule="exact"/>
            </w:pPr>
            <w:r>
              <w:rPr>
                <w:b w:val="0"/>
              </w:rPr>
              <w:t>5、当Qi＜0，按Qi=0分计。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进入价格评分厂家数量</w:t>
            </w:r>
          </w:p>
        </w:tc>
        <w:tc>
          <w:tcPr>
            <w:tcW w:w="7371" w:type="dxa"/>
            <w:vAlign w:val="top"/>
          </w:tcPr>
          <w:p>
            <w:pPr>
              <w:spacing w:line="400" w:lineRule="exact"/>
            </w:pPr>
            <w:r>
              <w:rPr>
                <w:b w:val="0"/>
              </w:rPr>
              <w:t>本次不设置技术商务末位淘汰。进入</w:t>
            </w:r>
            <w:r>
              <w:rPr>
                <w:rFonts w:hint="eastAsia"/>
                <w:b w:val="0"/>
                <w:lang w:val="en-US" w:eastAsia="zh-CN"/>
              </w:rPr>
              <w:t>整体评审</w:t>
            </w:r>
            <w:r>
              <w:rPr>
                <w:b w:val="0"/>
              </w:rPr>
              <w:t>范围的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全部进入价格评分。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下浮率</w:t>
            </w:r>
          </w:p>
        </w:tc>
        <w:tc>
          <w:tcPr>
            <w:tcW w:w="7371" w:type="dxa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b w:val="0"/>
                <w:lang w:val="en-US" w:eastAsia="zh-CN"/>
              </w:rPr>
              <w:t>5</w:t>
            </w:r>
            <w:r>
              <w:rPr>
                <w:b w:val="0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RL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 w:val="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RH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b w:val="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BP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HP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LP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L</w:t>
            </w:r>
          </w:p>
        </w:tc>
        <w:tc>
          <w:tcPr>
            <w:tcW w:w="737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6</w:t>
            </w:r>
          </w:p>
        </w:tc>
      </w:tr>
    </w:tbl>
    <w:p>
      <w:pPr>
        <w:pStyle w:val="8"/>
        <w:ind w:left="0" w:leftChars="0" w:firstLine="0" w:firstLineChars="0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2"/>
        </w:numPr>
        <w:suppressAutoHyphens/>
        <w:spacing w:line="360" w:lineRule="auto"/>
        <w:ind w:left="425" w:leftChars="0" w:hanging="425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综合得分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计算方法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。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4639"/>
        <w:gridCol w:w="1476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6" w:type="pct"/>
            <w:vMerge w:val="restar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722" w:type="pct"/>
            <w:vMerge w:val="restar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品类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/标的/标包</w:t>
            </w:r>
          </w:p>
        </w:tc>
        <w:tc>
          <w:tcPr>
            <w:tcW w:w="1820" w:type="pct"/>
            <w:gridSpan w:val="2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分值权重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456" w:type="pct"/>
            <w:vMerge w:val="continue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722" w:type="pct"/>
            <w:vMerge w:val="continue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66" w:type="pc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商务技术分</w:t>
            </w:r>
          </w:p>
        </w:tc>
        <w:tc>
          <w:tcPr>
            <w:tcW w:w="954" w:type="pc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价格分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56" w:type="pct"/>
            <w:vAlign w:val="center"/>
          </w:tcPr>
          <w:p>
            <w:pPr>
              <w:autoSpaceDE w:val="0"/>
              <w:autoSpaceDN w:val="0"/>
              <w:adjustRightInd w:val="0"/>
              <w:spacing w:before="48"/>
              <w:ind w:right="-20" w:rightChars="0"/>
              <w:jc w:val="center"/>
              <w:outlineLvl w:val="9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722" w:type="pct"/>
            <w:vAlign w:val="center"/>
          </w:tcPr>
          <w:p>
            <w:pPr>
              <w:spacing w:beforeLines="0" w:afterLines="0"/>
              <w:jc w:val="left"/>
              <w:outlineLvl w:val="9"/>
              <w:rPr>
                <w:rFonts w:hint="eastAsia" w:ascii="Times New Roman" w:hAnsi="Times New Roman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广西博联信息通信技术有限责任公司软件研发部</w:t>
            </w:r>
          </w:p>
          <w:p>
            <w:pPr>
              <w:spacing w:beforeLines="0" w:afterLines="0"/>
              <w:jc w:val="left"/>
              <w:outlineLvl w:val="9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2025年智能巡检机器人发明专利技术服务零星采购项目</w:t>
            </w:r>
            <w:bookmarkStart w:id="1" w:name="_GoBack"/>
            <w:bookmarkEnd w:id="1"/>
          </w:p>
        </w:tc>
        <w:tc>
          <w:tcPr>
            <w:tcW w:w="866" w:type="pc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Cs w:val="21"/>
                <w:highlight w:val="none"/>
                <w:lang w:val="en-US" w:eastAsia="zh-CN"/>
              </w:rPr>
              <w:t>60%</w:t>
            </w:r>
          </w:p>
        </w:tc>
        <w:tc>
          <w:tcPr>
            <w:tcW w:w="954" w:type="pct"/>
            <w:vAlign w:val="center"/>
          </w:tcPr>
          <w:p>
            <w:pPr>
              <w:spacing w:beforeLines="0" w:afterLine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Cs w:val="21"/>
                <w:highlight w:val="none"/>
                <w:lang w:val="en-US" w:eastAsia="zh-CN"/>
              </w:rPr>
              <w:t>40%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line="360" w:lineRule="auto"/>
        <w:rPr>
          <w:rFonts w:hint="eastAsia" w:asciiTheme="minorEastAsia" w:hAnsiTheme="minorEastAsia" w:eastAsiaTheme="minorEastAsia" w:cstheme="minorEastAsia"/>
          <w:b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综合得分 = 商务技术得分×60%+价格得分×40%。  </w:t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综合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得分最高者即为第一中标候选人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 xml:space="preserve">。  </w:t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最高综合得分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相同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，则商务技术得分较高者确定为第一中标候选人。  </w:t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若最高综合得分与商务技术得分均相同，则报价时间最早者确定为第一中标候选人。</w:t>
      </w:r>
    </w:p>
    <w:p>
      <w:pPr>
        <w:rPr>
          <w:rFonts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A0395C"/>
    <w:multiLevelType w:val="singleLevel"/>
    <w:tmpl w:val="BCA0395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A027B75"/>
    <w:multiLevelType w:val="singleLevel"/>
    <w:tmpl w:val="FA027B7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CC0B0E2"/>
    <w:multiLevelType w:val="singleLevel"/>
    <w:tmpl w:val="FCC0B0E2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2B5D7D68"/>
    <w:multiLevelType w:val="singleLevel"/>
    <w:tmpl w:val="2B5D7D6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4B947681"/>
    <w:multiLevelType w:val="multilevel"/>
    <w:tmpl w:val="4B947681"/>
    <w:lvl w:ilvl="0" w:tentative="0">
      <w:start w:val="1"/>
      <w:numFmt w:val="decimal"/>
      <w:lvlText w:val="1.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0YjBjYjQxZjQ1YjU2M2M1OTI2MGZiMDFjZjZhNTIifQ=="/>
  </w:docVars>
  <w:rsids>
    <w:rsidRoot w:val="5EA0643A"/>
    <w:rsid w:val="00092E77"/>
    <w:rsid w:val="06FE6993"/>
    <w:rsid w:val="08B515A9"/>
    <w:rsid w:val="0A8177B2"/>
    <w:rsid w:val="0D4414D9"/>
    <w:rsid w:val="0EA248C1"/>
    <w:rsid w:val="140825FF"/>
    <w:rsid w:val="17D829F0"/>
    <w:rsid w:val="19857A0E"/>
    <w:rsid w:val="1C333380"/>
    <w:rsid w:val="1D58241F"/>
    <w:rsid w:val="20B97E50"/>
    <w:rsid w:val="22AC0D36"/>
    <w:rsid w:val="24F90429"/>
    <w:rsid w:val="28110042"/>
    <w:rsid w:val="2C011FFC"/>
    <w:rsid w:val="300149CF"/>
    <w:rsid w:val="30FC7BB9"/>
    <w:rsid w:val="313C085F"/>
    <w:rsid w:val="31F0085A"/>
    <w:rsid w:val="35C408CE"/>
    <w:rsid w:val="365F40C1"/>
    <w:rsid w:val="37D01886"/>
    <w:rsid w:val="389E7B36"/>
    <w:rsid w:val="3BB310BD"/>
    <w:rsid w:val="41435AA0"/>
    <w:rsid w:val="43545CBC"/>
    <w:rsid w:val="452A6789"/>
    <w:rsid w:val="459D4988"/>
    <w:rsid w:val="46190056"/>
    <w:rsid w:val="46A6494D"/>
    <w:rsid w:val="478F3E7B"/>
    <w:rsid w:val="50071381"/>
    <w:rsid w:val="51325B7B"/>
    <w:rsid w:val="57AD2CF5"/>
    <w:rsid w:val="5BA7597F"/>
    <w:rsid w:val="5BFE2BDC"/>
    <w:rsid w:val="5EA0643A"/>
    <w:rsid w:val="61EA20BF"/>
    <w:rsid w:val="624371BB"/>
    <w:rsid w:val="69134F5A"/>
    <w:rsid w:val="6F396219"/>
    <w:rsid w:val="703B5882"/>
    <w:rsid w:val="70765D6C"/>
    <w:rsid w:val="71BC15B8"/>
    <w:rsid w:val="71E5266B"/>
    <w:rsid w:val="762322A2"/>
    <w:rsid w:val="76694477"/>
    <w:rsid w:val="7725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  <w:rPr>
      <w:kern w:val="2"/>
      <w:sz w:val="21"/>
    </w:rPr>
  </w:style>
  <w:style w:type="paragraph" w:styleId="4">
    <w:name w:val="Title"/>
    <w:basedOn w:val="1"/>
    <w:next w:val="3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1198</Words>
  <Characters>1301</Characters>
  <Lines>0</Lines>
  <Paragraphs>0</Paragraphs>
  <TotalTime>6</TotalTime>
  <ScaleCrop>false</ScaleCrop>
  <LinksUpToDate>false</LinksUpToDate>
  <CharactersWithSpaces>1351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2025-07-18T04:37:00Z</dcterms:created>
  <dc:creator>ava</dc:creator>
  <cp:lastModifiedBy>CD15020CBC2D495E9324EF401AC7990D</cp:lastModifiedBy>
  <dcterms:modified xsi:type="dcterms:W3CDTF">2025-12-17T02:49:05Z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B6D84B2A333745CB9631E1D34ECE642E</vt:lpwstr>
  </property>
  <property fmtid="{D5CDD505-2E9C-101B-9397-08002B2CF9AE}" pid="4" name="KSOTemplateDocerSaveRecord">
    <vt:lpwstr>eyJoZGlkIjoiYzY2OGUzZDhjNDJmOWFiOWFhNDlkNzUzZDQzZmNjMGIiLCJ1c2VySWQiOiI0NTcxNTQ5NjcifQ==</vt:lpwstr>
  </property>
</Properties>
</file>