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jc w:val="center"/>
        <w:outlineLvl w:val="9"/>
        <w:rPr>
          <w:rFonts w:hint="eastAsia"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  <w:bookmarkStart w:id="0" w:name="_Toc501202059"/>
      <w:r>
        <w:rPr>
          <w:rFonts w:hint="eastAsia"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  <w:t>广西博联信息通信技术有限责任公司软件研发部</w:t>
      </w:r>
    </w:p>
    <w:p>
      <w:pPr>
        <w:pStyle w:val="11"/>
        <w:jc w:val="center"/>
        <w:outlineLvl w:val="0"/>
        <w:rPr>
          <w:rFonts w:hint="eastAsia" w:ascii="宋体" w:hAnsi="宋体" w:eastAsia="宋体" w:cs="宋体"/>
          <w:color w:val="000000" w:themeColor="text1"/>
          <w:kern w:val="2"/>
          <w:sz w:val="32"/>
          <w:szCs w:val="32"/>
          <w:highlight w:val="none"/>
          <w:u w:val="singl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  <w:t>2025年智能巡检机器人发明专利技术服务</w:t>
      </w:r>
      <w:r>
        <w:rPr>
          <w:rFonts w:hint="eastAsia"/>
          <w:color w:val="000000" w:themeColor="text1"/>
          <w:sz w:val="32"/>
          <w:szCs w:val="32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零星</w:t>
      </w:r>
      <w:r>
        <w:rPr>
          <w:rFonts w:hint="eastAsia"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kern w:val="2"/>
          <w:sz w:val="32"/>
          <w:szCs w:val="32"/>
          <w:highlight w:val="none"/>
          <w:u w:val="single"/>
          <w:lang w:val="en-US" w:eastAsia="zh-CN" w:bidi="ar-SA"/>
          <w14:textFill>
            <w14:solidFill>
              <w14:schemeClr w14:val="tx1"/>
            </w14:solidFill>
          </w14:textFill>
        </w:rPr>
        <w:t>服务要求</w:t>
      </w:r>
    </w:p>
    <w:p>
      <w:pPr>
        <w:pStyle w:val="11"/>
        <w:outlineLvl w:val="0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lang w:val="en-US" w:eastAsia="zh-CN"/>
        </w:rPr>
        <w:t>1</w:t>
      </w:r>
      <w:r>
        <w:rPr>
          <w:rFonts w:hint="eastAsia" w:ascii="宋体" w:hAnsi="宋体" w:eastAsia="宋体" w:cs="宋体"/>
        </w:rPr>
        <w:t>、概述</w:t>
      </w:r>
      <w:bookmarkEnd w:id="0"/>
    </w:p>
    <w:p>
      <w:pPr>
        <w:adjustRightInd w:val="0"/>
        <w:snapToGrid w:val="0"/>
        <w:spacing w:before="156"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本服务要求适用于广西博联信息通信技术有限责任公司（以下简称：采购人）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u w:val="single"/>
          <w14:textFill>
            <w14:solidFill>
              <w14:schemeClr w14:val="tx1"/>
            </w14:solidFill>
          </w14:textFill>
        </w:rPr>
        <w:t>广西博联信息通信技术有限责任公司软件研发部2025年智能巡检机器人发明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专利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u w:val="single"/>
          <w14:textFill>
            <w14:solidFill>
              <w14:schemeClr w14:val="tx1"/>
            </w14:solidFill>
          </w14:textFill>
        </w:rPr>
        <w:t>技术服务零星采购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（以下简称：本项目），本服务要求的最终解释权归采购人。</w:t>
      </w:r>
    </w:p>
    <w:p>
      <w:pPr>
        <w:pStyle w:val="12"/>
        <w:spacing w:line="360" w:lineRule="auto"/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本服务要求提出了本项目需求的广度、深度和相应的技术指标要求，可供报价人编写技术响应文件之用。</w:t>
      </w:r>
    </w:p>
    <w:p>
      <w:pPr>
        <w:pStyle w:val="12"/>
        <w:spacing w:line="360" w:lineRule="auto"/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报价人应保证所提供的所有资料真实、完整、准确无误，否则采购人将有权取消报价人的供货资格，由此产生的一切后果由报价人承担。</w:t>
      </w:r>
    </w:p>
    <w:p>
      <w:pPr>
        <w:pStyle w:val="12"/>
        <w:spacing w:line="360" w:lineRule="auto"/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4.本服务要求中带“★”符号为必要事项要求。报价人要特别加以注意，必须完全满足这些要求。</w:t>
      </w:r>
    </w:p>
    <w:p>
      <w:pPr>
        <w:pStyle w:val="11"/>
        <w:spacing w:line="360" w:lineRule="auto"/>
        <w:outlineLvl w:val="0"/>
        <w:rPr>
          <w:rFonts w:hint="eastAsia" w:ascii="宋体" w:hAnsi="宋体" w:eastAsia="宋体" w:cs="宋体"/>
        </w:rPr>
      </w:pPr>
      <w:bookmarkStart w:id="1" w:name="_Toc501202060"/>
      <w:r>
        <w:rPr>
          <w:rFonts w:hint="eastAsia" w:ascii="宋体" w:hAnsi="宋体" w:eastAsia="宋体" w:cs="宋体"/>
          <w:lang w:val="en-US" w:eastAsia="zh-CN"/>
        </w:rPr>
        <w:t>2</w:t>
      </w:r>
      <w:r>
        <w:rPr>
          <w:rFonts w:hint="eastAsia" w:ascii="宋体" w:hAnsi="宋体" w:eastAsia="宋体" w:cs="宋体"/>
        </w:rPr>
        <w:t>、定义</w:t>
      </w:r>
      <w:bookmarkEnd w:id="1"/>
    </w:p>
    <w:p>
      <w:pPr>
        <w:pStyle w:val="12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24"/>
        </w:rPr>
        <w:t>：广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</w:rPr>
        <w:t>西博联信息通信技术有限责任公司。</w:t>
      </w:r>
    </w:p>
    <w:p>
      <w:pPr>
        <w:pStyle w:val="12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本项目服务提供单位</w:t>
      </w:r>
    </w:p>
    <w:p>
      <w:pPr>
        <w:pStyle w:val="11"/>
        <w:spacing w:line="360" w:lineRule="auto"/>
        <w:outlineLvl w:val="0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bookmarkStart w:id="2" w:name="_Toc501202061"/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采购范围</w:t>
      </w:r>
      <w:bookmarkEnd w:id="2"/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和内容</w:t>
      </w:r>
    </w:p>
    <w:p>
      <w:pPr>
        <w:spacing w:line="360" w:lineRule="auto"/>
        <w:ind w:left="158" w:leftChars="75" w:firstLine="480" w:firstLineChars="200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bookmarkStart w:id="3" w:name="_Toc501202062"/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本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采购范围和内容如下。</w:t>
      </w:r>
    </w:p>
    <w:tbl>
      <w:tblPr>
        <w:tblStyle w:val="8"/>
        <w:tblW w:w="447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4386"/>
        <w:gridCol w:w="988"/>
        <w:gridCol w:w="15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采购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内容</w:t>
            </w:r>
          </w:p>
        </w:tc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智能巡检机器人发明专利技术服务</w:t>
            </w:r>
          </w:p>
        </w:tc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</w:tbl>
    <w:p>
      <w:pPr>
        <w:spacing w:line="360" w:lineRule="auto"/>
        <w:ind w:firstLine="0" w:firstLineChars="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firstLine="480" w:firstLineChars="200"/>
        <w:jc w:val="both"/>
        <w:rPr>
          <w:rFonts w:hint="default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本项目服务期：合同签订之日起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18个月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内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bookmarkEnd w:id="3"/>
    <w:p>
      <w:pPr>
        <w:bidi w:val="0"/>
        <w:rPr>
          <w:rFonts w:hint="eastAsia" w:ascii="宋体" w:hAnsi="宋体" w:cs="宋体"/>
        </w:rPr>
      </w:pPr>
      <w:bookmarkStart w:id="4" w:name="_Toc299720409"/>
      <w:bookmarkStart w:id="5" w:name="_Toc300816580"/>
    </w:p>
    <w:bookmarkEnd w:id="4"/>
    <w:bookmarkEnd w:id="5"/>
    <w:p>
      <w:pPr>
        <w:pStyle w:val="11"/>
        <w:spacing w:line="360" w:lineRule="auto"/>
        <w:outlineLvl w:val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、服务内容</w:t>
      </w:r>
    </w:p>
    <w:p>
      <w:pPr>
        <w:pStyle w:val="4"/>
        <w:numPr>
          <w:ilvl w:val="0"/>
          <w:numId w:val="2"/>
        </w:numPr>
        <w:spacing w:before="0" w:after="0" w:line="360" w:lineRule="auto"/>
        <w:ind w:left="425" w:hanging="42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智能巡检机器人发明专利技术服务</w:t>
      </w:r>
    </w:p>
    <w:p>
      <w:pPr>
        <w:pStyle w:val="5"/>
        <w:numPr>
          <w:ilvl w:val="0"/>
          <w:numId w:val="0"/>
        </w:numPr>
        <w:spacing w:before="0" w:after="0" w:line="360" w:lineRule="auto"/>
        <w:outlineLvl w:val="2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4.1.1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★</w:t>
      </w:r>
      <w:r>
        <w:rPr>
          <w:rFonts w:hint="eastAsia"/>
          <w:sz w:val="24"/>
          <w:szCs w:val="24"/>
          <w:lang w:val="en-US" w:eastAsia="zh-CN"/>
        </w:rPr>
        <w:t>协助开展技术深度挖掘与方案构建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安排具备智能巡检经验的专利代理师，基于</w:t>
      </w:r>
      <w:r>
        <w:rPr>
          <w:rFonts w:hint="eastAsia"/>
          <w:b/>
          <w:bCs/>
          <w:sz w:val="24"/>
          <w:szCs w:val="24"/>
          <w:lang w:val="en-US" w:eastAsia="zh-CN"/>
        </w:rPr>
        <w:t>机器人巡检的电力智能巡检系统</w:t>
      </w:r>
      <w:r>
        <w:rPr>
          <w:rFonts w:hint="eastAsia"/>
          <w:sz w:val="24"/>
          <w:szCs w:val="24"/>
          <w:lang w:val="en-US" w:eastAsia="zh-CN"/>
        </w:rPr>
        <w:t xml:space="preserve">（详见《附件1 </w:t>
      </w:r>
      <w:bookmarkStart w:id="10" w:name="_GoBack"/>
      <w:bookmarkEnd w:id="10"/>
      <w:r>
        <w:rPr>
          <w:rFonts w:hint="eastAsia"/>
          <w:sz w:val="24"/>
          <w:szCs w:val="24"/>
          <w:lang w:val="en-US" w:eastAsia="zh-CN"/>
        </w:rPr>
        <w:t>系统基本信息》）与采购方技术人员进行不少于2次技术访谈，围绕机器人智能巡检主题，引导挖掘可申报专利的技术细节。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协助采购方构建完整的、可实施的、具备创造性的技术方案，形成可用于专利申报的交底材料。</w:t>
      </w:r>
    </w:p>
    <w:p>
      <w:pPr>
        <w:pStyle w:val="5"/>
        <w:numPr>
          <w:ilvl w:val="0"/>
          <w:numId w:val="0"/>
        </w:numPr>
        <w:spacing w:before="0" w:after="0" w:line="360" w:lineRule="auto"/>
        <w:outlineLvl w:val="2"/>
        <w:rPr>
          <w:rFonts w:hint="eastAsia"/>
          <w:b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4.1.2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★</w:t>
      </w:r>
      <w:r>
        <w:rPr>
          <w:rFonts w:hint="eastAsia"/>
          <w:b/>
          <w:sz w:val="24"/>
          <w:szCs w:val="24"/>
          <w:lang w:val="en-US" w:eastAsia="zh-CN"/>
        </w:rPr>
        <w:t>开展专利检索与创新点提炼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针对挖掘出的技术方向，在中国国家知识产权局数据库中进行检索，分析现有专利技术空白，提炼具备授权前景的核心创新点，提出专利申报建议。</w:t>
      </w:r>
    </w:p>
    <w:p>
      <w:pPr>
        <w:pStyle w:val="5"/>
        <w:numPr>
          <w:ilvl w:val="0"/>
          <w:numId w:val="0"/>
        </w:numPr>
        <w:spacing w:before="0" w:after="0" w:line="360" w:lineRule="auto"/>
        <w:outlineLvl w:val="2"/>
        <w:rPr>
          <w:rFonts w:hint="default"/>
          <w:b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4.1.3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★</w:t>
      </w:r>
      <w:r>
        <w:rPr>
          <w:rFonts w:hint="eastAsia"/>
          <w:b/>
          <w:sz w:val="24"/>
          <w:szCs w:val="24"/>
          <w:lang w:val="en-US" w:eastAsia="zh-CN"/>
        </w:rPr>
        <w:t>协助发明专利文件撰写与提交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协助编写和修订符合《专利法》及《专利审查指南》的申请文件，包括但不限于：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权利要求书；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说明书及摘要；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其他材料，如示意图、流程图等；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通过国家知识产权局正式提交申请，缴纳申请费、审查费等费用，并获取受理通知书。</w:t>
      </w:r>
    </w:p>
    <w:p>
      <w:pPr>
        <w:pStyle w:val="5"/>
        <w:numPr>
          <w:ilvl w:val="0"/>
          <w:numId w:val="0"/>
        </w:numPr>
        <w:spacing w:before="0" w:after="0" w:line="360" w:lineRule="auto"/>
        <w:outlineLvl w:val="2"/>
        <w:rPr>
          <w:rFonts w:hint="default"/>
          <w:b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4.1.3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★</w:t>
      </w:r>
      <w:r>
        <w:rPr>
          <w:rFonts w:hint="eastAsia"/>
          <w:b/>
          <w:sz w:val="24"/>
          <w:szCs w:val="24"/>
          <w:lang w:val="en-US" w:eastAsia="zh-CN"/>
        </w:rPr>
        <w:t>获取专利文件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缴纳专利登记费等费用，跟进专利证书的获取，并提交给采购方。</w:t>
      </w:r>
    </w:p>
    <w:p>
      <w:pPr>
        <w:pStyle w:val="11"/>
        <w:numPr>
          <w:ilvl w:val="0"/>
          <w:numId w:val="0"/>
        </w:numPr>
        <w:spacing w:line="360" w:lineRule="auto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5.项目质量安全保障要求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1.</w:t>
      </w:r>
      <w:r>
        <w:rPr>
          <w:rFonts w:hint="eastAsia" w:ascii="宋体" w:hAnsi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cs="宋体"/>
          <w:sz w:val="24"/>
          <w:highlight w:val="none"/>
        </w:rPr>
        <w:t>应严格遵守协议中关于项目中的若干技术质量规定，制定严格的质量安全措施。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2.由于</w:t>
      </w:r>
      <w:r>
        <w:rPr>
          <w:rFonts w:hint="eastAsia" w:ascii="宋体" w:hAnsi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cs="宋体"/>
          <w:sz w:val="24"/>
          <w:highlight w:val="none"/>
        </w:rPr>
        <w:t>质量安全措施不力造成研究质量安全事故的责任，以及由此发生的费用和损失，由</w:t>
      </w:r>
      <w:r>
        <w:rPr>
          <w:rFonts w:hint="eastAsia" w:ascii="宋体" w:hAnsi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cs="宋体"/>
          <w:sz w:val="24"/>
          <w:highlight w:val="none"/>
        </w:rPr>
        <w:t>承担。</w:t>
      </w:r>
    </w:p>
    <w:p>
      <w:pPr>
        <w:pStyle w:val="11"/>
        <w:numPr>
          <w:ilvl w:val="0"/>
          <w:numId w:val="0"/>
        </w:numPr>
        <w:spacing w:line="360" w:lineRule="auto"/>
        <w:outlineLvl w:val="0"/>
        <w:rPr>
          <w:rFonts w:hint="eastAsia" w:ascii="宋体" w:hAnsi="宋体" w:eastAsia="宋体" w:cs="宋体"/>
          <w:sz w:val="28"/>
          <w:highlight w:val="none"/>
          <w:lang w:val="en-US" w:eastAsia="zh-CN"/>
        </w:rPr>
      </w:pPr>
      <w:r>
        <w:rPr>
          <w:rFonts w:hint="eastAsia" w:cs="宋体"/>
          <w:sz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lang w:val="en-US" w:eastAsia="zh-CN"/>
        </w:rPr>
        <w:t>、</w:t>
      </w:r>
      <w:r>
        <w:rPr>
          <w:rFonts w:hint="eastAsia" w:ascii="宋体" w:hAnsi="宋体" w:eastAsia="宋体" w:cs="宋体"/>
          <w:sz w:val="28"/>
          <w:highlight w:val="none"/>
          <w:lang w:val="en-US" w:eastAsia="zh-CN"/>
        </w:rPr>
        <w:t>其他要求</w:t>
      </w:r>
    </w:p>
    <w:p>
      <w:pPr>
        <w:outlineLvl w:val="1"/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</w:pPr>
      <w:bookmarkStart w:id="6" w:name="_Toc22581"/>
      <w:r>
        <w:rPr>
          <w:rFonts w:hint="eastAsia" w:ascii="宋体" w:hAnsi="宋体" w:cs="宋体"/>
          <w:b/>
          <w:bCs/>
          <w:sz w:val="28"/>
          <w:szCs w:val="36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.1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的责任</w:t>
      </w:r>
      <w:bookmarkEnd w:id="6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要求</w:t>
      </w:r>
    </w:p>
    <w:p>
      <w:pPr>
        <w:numPr>
          <w:ilvl w:val="0"/>
          <w:numId w:val="4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sz w:val="24"/>
          <w:szCs w:val="22"/>
          <w:highlight w:val="none"/>
        </w:rPr>
        <w:t>按照合同约定，</w:t>
      </w:r>
      <w:r>
        <w:rPr>
          <w:rFonts w:hint="eastAsia" w:ascii="宋体" w:hAnsi="宋体" w:cs="宋体"/>
          <w:sz w:val="24"/>
          <w:szCs w:val="22"/>
          <w:highlight w:val="none"/>
          <w:lang w:val="en-US" w:eastAsia="zh-CN"/>
        </w:rPr>
        <w:t>协助采购人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完成</w:t>
      </w:r>
      <w:r>
        <w:rPr>
          <w:rFonts w:hint="eastAsia" w:ascii="宋体" w:hAnsi="宋体" w:cs="宋体"/>
          <w:sz w:val="24"/>
          <w:szCs w:val="22"/>
          <w:highlight w:val="none"/>
          <w:lang w:val="en-US" w:eastAsia="zh-CN"/>
        </w:rPr>
        <w:t>专利申报的服务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工作。</w:t>
      </w:r>
    </w:p>
    <w:p>
      <w:pPr>
        <w:numPr>
          <w:ilvl w:val="0"/>
          <w:numId w:val="4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sz w:val="24"/>
          <w:szCs w:val="22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负责在整个</w:t>
      </w:r>
      <w:r>
        <w:rPr>
          <w:rFonts w:hint="eastAsia" w:ascii="宋体" w:hAnsi="宋体" w:cs="宋体"/>
          <w:sz w:val="24"/>
          <w:szCs w:val="22"/>
          <w:highlight w:val="none"/>
          <w:lang w:val="en-US" w:eastAsia="zh-CN"/>
        </w:rPr>
        <w:t>专利申报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过程中保证</w:t>
      </w:r>
      <w:r>
        <w:rPr>
          <w:rFonts w:hint="eastAsia" w:ascii="宋体" w:hAnsi="宋体" w:cs="宋体"/>
          <w:sz w:val="24"/>
          <w:szCs w:val="22"/>
          <w:highlight w:val="none"/>
          <w:lang w:val="en-US" w:eastAsia="zh-CN"/>
        </w:rPr>
        <w:t>申报材料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的质量</w:t>
      </w:r>
      <w:r>
        <w:rPr>
          <w:rFonts w:hint="eastAsia" w:ascii="宋体" w:hAnsi="宋体" w:cs="宋体"/>
          <w:sz w:val="24"/>
          <w:szCs w:val="22"/>
          <w:highlight w:val="none"/>
          <w:lang w:eastAsia="zh-CN"/>
        </w:rPr>
        <w:t>，</w:t>
      </w:r>
      <w:r>
        <w:rPr>
          <w:rFonts w:hint="eastAsia" w:ascii="宋体" w:hAnsi="宋体" w:cs="宋体"/>
          <w:sz w:val="24"/>
          <w:szCs w:val="22"/>
          <w:highlight w:val="none"/>
          <w:lang w:val="en-US" w:eastAsia="zh-CN"/>
        </w:rPr>
        <w:t>处理专利申报过程中相关问题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。若由于</w:t>
      </w:r>
      <w:r>
        <w:rPr>
          <w:rFonts w:hint="eastAsia" w:ascii="宋体" w:hAnsi="宋体" w:eastAsia="宋体" w:cs="宋体"/>
          <w:sz w:val="24"/>
          <w:szCs w:val="22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自身原因出现了</w:t>
      </w:r>
      <w:r>
        <w:rPr>
          <w:rFonts w:hint="eastAsia" w:ascii="宋体" w:hAnsi="宋体" w:cs="宋体"/>
          <w:sz w:val="24"/>
          <w:szCs w:val="22"/>
          <w:highlight w:val="none"/>
          <w:lang w:val="en-US" w:eastAsia="zh-CN"/>
        </w:rPr>
        <w:t>专利申报问题，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由</w:t>
      </w:r>
      <w:r>
        <w:rPr>
          <w:rFonts w:hint="eastAsia" w:ascii="宋体" w:hAnsi="宋体" w:eastAsia="宋体" w:cs="宋体"/>
          <w:sz w:val="24"/>
          <w:szCs w:val="22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负责。</w:t>
      </w:r>
    </w:p>
    <w:p>
      <w:pPr>
        <w:numPr>
          <w:ilvl w:val="0"/>
          <w:numId w:val="4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sz w:val="24"/>
          <w:szCs w:val="22"/>
          <w:highlight w:val="none"/>
        </w:rPr>
        <w:t>本项目不得转让或分包，如违约转让或分包，由</w:t>
      </w:r>
      <w:r>
        <w:rPr>
          <w:rFonts w:hint="eastAsia" w:ascii="宋体" w:hAnsi="宋体" w:eastAsia="宋体" w:cs="宋体"/>
          <w:sz w:val="24"/>
          <w:szCs w:val="22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承担违约责任。</w:t>
      </w:r>
    </w:p>
    <w:p>
      <w:pPr>
        <w:outlineLvl w:val="1"/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</w:pPr>
      <w:bookmarkStart w:id="7" w:name="_Toc8439"/>
      <w:r>
        <w:rPr>
          <w:rFonts w:hint="eastAsia" w:ascii="宋体" w:hAnsi="宋体" w:cs="宋体"/>
          <w:b/>
          <w:bCs/>
          <w:sz w:val="28"/>
          <w:szCs w:val="36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.</w:t>
      </w:r>
      <w:bookmarkEnd w:id="7"/>
      <w:bookmarkStart w:id="8" w:name="_Toc14590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项目</w:t>
      </w:r>
      <w:bookmarkEnd w:id="8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进度要求</w:t>
      </w:r>
    </w:p>
    <w:p>
      <w:pPr>
        <w:numPr>
          <w:ilvl w:val="0"/>
          <w:numId w:val="5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highlight w:val="none"/>
        </w:rPr>
        <w:t>必须按照协议书约定的结束日期或经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highlight w:val="none"/>
        </w:rPr>
        <w:t>同意顺延的计划完成项目。</w:t>
      </w:r>
    </w:p>
    <w:p>
      <w:pPr>
        <w:numPr>
          <w:ilvl w:val="0"/>
          <w:numId w:val="5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因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highlight w:val="none"/>
        </w:rPr>
        <w:t>原因不能按照协议书约定的完成日期或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highlight w:val="none"/>
        </w:rPr>
        <w:t>同意顺延的工期完成的，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highlight w:val="none"/>
        </w:rPr>
        <w:t>承担违约责任。</w:t>
      </w:r>
    </w:p>
    <w:p>
      <w:pPr>
        <w:pStyle w:val="2"/>
        <w:rPr>
          <w:rFonts w:hint="eastAsia"/>
          <w:highlight w:val="none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3130"/>
        <w:gridCol w:w="4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vAlign w:val="center"/>
          </w:tcPr>
          <w:p>
            <w:pPr>
              <w:pStyle w:val="2"/>
              <w:jc w:val="both"/>
              <w:rPr>
                <w:rFonts w:hint="eastAsia" w:eastAsia="宋体"/>
                <w:b/>
                <w:bCs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130" w:type="dxa"/>
            <w:vAlign w:val="center"/>
          </w:tcPr>
          <w:p>
            <w:pPr>
              <w:pStyle w:val="2"/>
              <w:jc w:val="both"/>
              <w:rPr>
                <w:rFonts w:hint="default" w:eastAsia="宋体"/>
                <w:b/>
                <w:bCs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highlight w:val="none"/>
                <w:vertAlign w:val="baseline"/>
                <w:lang w:val="en-US" w:eastAsia="zh-CN"/>
              </w:rPr>
              <w:t>完成时间</w:t>
            </w:r>
          </w:p>
        </w:tc>
        <w:tc>
          <w:tcPr>
            <w:tcW w:w="4568" w:type="dxa"/>
            <w:vAlign w:val="center"/>
          </w:tcPr>
          <w:p>
            <w:pPr>
              <w:pStyle w:val="2"/>
              <w:jc w:val="both"/>
              <w:rPr>
                <w:rFonts w:hint="default" w:eastAsia="宋体"/>
                <w:b/>
                <w:bCs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highlight w:val="none"/>
                <w:vertAlign w:val="baseline"/>
                <w:lang w:val="en-US" w:eastAsia="zh-CN"/>
              </w:rPr>
              <w:t>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</w:tcPr>
          <w:p>
            <w:pPr>
              <w:pStyle w:val="2"/>
              <w:rPr>
                <w:rFonts w:hint="eastAsia" w:eastAsia="宋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130" w:type="dxa"/>
          </w:tcPr>
          <w:p>
            <w:pPr>
              <w:pStyle w:val="2"/>
              <w:rPr>
                <w:rFonts w:hint="default"/>
                <w:highlight w:val="none"/>
                <w:vertAlign w:val="baseline"/>
                <w:lang w:val="en-US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合同签订后1个月内</w:t>
            </w:r>
          </w:p>
        </w:tc>
        <w:tc>
          <w:tcPr>
            <w:tcW w:w="4568" w:type="dxa"/>
          </w:tcPr>
          <w:p>
            <w:pPr>
              <w:pStyle w:val="2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协助开展技术深度挖掘与方案构建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</w:tcPr>
          <w:p>
            <w:pPr>
              <w:pStyle w:val="2"/>
              <w:rPr>
                <w:rFonts w:hint="eastAsia" w:eastAsia="宋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130" w:type="dxa"/>
          </w:tcPr>
          <w:p>
            <w:pPr>
              <w:pStyle w:val="2"/>
              <w:rPr>
                <w:rFonts w:hint="eastAsia"/>
                <w:highlight w:val="none"/>
                <w:vertAlign w:val="baseline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合同签订后1个月内</w:t>
            </w:r>
          </w:p>
        </w:tc>
        <w:tc>
          <w:tcPr>
            <w:tcW w:w="4568" w:type="dxa"/>
          </w:tcPr>
          <w:p>
            <w:pPr>
              <w:pStyle w:val="2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开展专利检索与创新点提炼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</w:tcPr>
          <w:p>
            <w:pPr>
              <w:pStyle w:val="2"/>
              <w:rPr>
                <w:rFonts w:hint="eastAsia" w:eastAsia="宋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3130" w:type="dxa"/>
          </w:tcPr>
          <w:p>
            <w:pPr>
              <w:pStyle w:val="2"/>
              <w:rPr>
                <w:rFonts w:hint="eastAsia"/>
                <w:highlight w:val="none"/>
                <w:vertAlign w:val="baseline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合同签订后1个月内</w:t>
            </w:r>
          </w:p>
        </w:tc>
        <w:tc>
          <w:tcPr>
            <w:tcW w:w="4568" w:type="dxa"/>
          </w:tcPr>
          <w:p>
            <w:pPr>
              <w:pStyle w:val="2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协助发明专利文件撰写与提交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</w:tcPr>
          <w:p>
            <w:pPr>
              <w:pStyle w:val="2"/>
              <w:rPr>
                <w:rFonts w:hint="eastAsia" w:eastAsia="宋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3130" w:type="dxa"/>
          </w:tcPr>
          <w:p>
            <w:pPr>
              <w:pStyle w:val="2"/>
              <w:rPr>
                <w:rFonts w:hint="default" w:eastAsia="宋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合同签订后2个月内</w:t>
            </w:r>
          </w:p>
        </w:tc>
        <w:tc>
          <w:tcPr>
            <w:tcW w:w="4568" w:type="dxa"/>
          </w:tcPr>
          <w:p>
            <w:pPr>
              <w:pStyle w:val="2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协助获取专利受理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</w:tcPr>
          <w:p>
            <w:pPr>
              <w:pStyle w:val="2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3130" w:type="dxa"/>
            <w:shd w:val="clear" w:color="auto" w:fill="auto"/>
            <w:vAlign w:val="top"/>
          </w:tcPr>
          <w:p>
            <w:pPr>
              <w:pStyle w:val="2"/>
              <w:rPr>
                <w:rFonts w:hint="eastAsia" w:ascii="Times New Roman" w:hAnsi="Times New Roman" w:eastAsia="宋体" w:cs="Times New Roman"/>
                <w:kern w:val="2"/>
                <w:sz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合同签订后18个月内</w:t>
            </w:r>
          </w:p>
        </w:tc>
        <w:tc>
          <w:tcPr>
            <w:tcW w:w="4568" w:type="dxa"/>
            <w:shd w:val="clear" w:color="auto" w:fill="auto"/>
            <w:vAlign w:val="top"/>
          </w:tcPr>
          <w:p>
            <w:pPr>
              <w:pStyle w:val="2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公告授权、获取专利证书</w:t>
            </w:r>
          </w:p>
        </w:tc>
      </w:tr>
    </w:tbl>
    <w:p>
      <w:pPr>
        <w:pStyle w:val="2"/>
        <w:rPr>
          <w:rFonts w:hint="eastAsia"/>
        </w:rPr>
      </w:pPr>
    </w:p>
    <w:p>
      <w:pPr>
        <w:outlineLvl w:val="1"/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</w:pPr>
      <w:bookmarkStart w:id="9" w:name="_Toc7601"/>
      <w:r>
        <w:rPr>
          <w:rFonts w:hint="eastAsia" w:ascii="宋体" w:hAnsi="宋体" w:cs="宋体"/>
          <w:b/>
          <w:bCs/>
          <w:sz w:val="28"/>
          <w:szCs w:val="36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.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项目验收</w:t>
      </w:r>
      <w:bookmarkEnd w:id="9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要求</w:t>
      </w:r>
    </w:p>
    <w:p>
      <w:pPr>
        <w:numPr>
          <w:ilvl w:val="0"/>
          <w:numId w:val="6"/>
        </w:numPr>
        <w:bidi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当项目达到合同条款约定的验收条件时，报价人应首先进行认真的自检，并在验收前三个工作日以书面形式通知采购人组织验收。通知应包括验收的内容、时间和地点。报价人应准备完整的验收材料（包括但不限于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申报材料</w:t>
      </w:r>
      <w:r>
        <w:rPr>
          <w:rFonts w:hint="eastAsia" w:ascii="宋体" w:hAnsi="宋体" w:eastAsia="宋体" w:cs="宋体"/>
          <w:sz w:val="24"/>
          <w:szCs w:val="24"/>
        </w:rPr>
        <w:t>、技术文档、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受理通知书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专利证书</w:t>
      </w:r>
      <w:r>
        <w:rPr>
          <w:rFonts w:hint="eastAsia" w:ascii="宋体" w:hAnsi="宋体" w:eastAsia="宋体" w:cs="宋体"/>
          <w:sz w:val="24"/>
          <w:szCs w:val="24"/>
        </w:rPr>
        <w:t>及相关支撑材料等），并承担相关费用。</w:t>
      </w:r>
    </w:p>
    <w:p>
      <w:pPr>
        <w:numPr>
          <w:ilvl w:val="0"/>
          <w:numId w:val="6"/>
        </w:numPr>
        <w:bidi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项目验收标准为：</w:t>
      </w:r>
    </w:p>
    <w:p>
      <w:pPr>
        <w:numPr>
          <w:ilvl w:val="0"/>
          <w:numId w:val="7"/>
        </w:numPr>
        <w:bidi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技术文档规范</w:t>
      </w:r>
      <w:r>
        <w:rPr>
          <w:rFonts w:hint="eastAsia" w:ascii="宋体" w:hAnsi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齐全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>
      <w:pPr>
        <w:numPr>
          <w:ilvl w:val="0"/>
          <w:numId w:val="7"/>
        </w:numPr>
        <w:bidi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申报材料、技术文档等</w:t>
      </w:r>
      <w:r>
        <w:rPr>
          <w:rFonts w:hint="eastAsia" w:ascii="宋体" w:hAnsi="宋体" w:eastAsia="宋体" w:cs="宋体"/>
          <w:sz w:val="24"/>
          <w:szCs w:val="24"/>
        </w:rPr>
        <w:t>内容完整、真实、准确且质量达标；</w:t>
      </w:r>
    </w:p>
    <w:p>
      <w:pPr>
        <w:numPr>
          <w:ilvl w:val="0"/>
          <w:numId w:val="7"/>
        </w:numPr>
        <w:bidi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整理形成的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材料</w:t>
      </w:r>
      <w:r>
        <w:rPr>
          <w:rFonts w:hint="eastAsia" w:ascii="宋体" w:hAnsi="宋体" w:eastAsia="宋体" w:cs="宋体"/>
          <w:sz w:val="24"/>
          <w:szCs w:val="24"/>
        </w:rPr>
        <w:t>内容严格基于项目、符合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专利申报</w:t>
      </w:r>
      <w:r>
        <w:rPr>
          <w:rFonts w:hint="eastAsia" w:ascii="宋体" w:hAnsi="宋体" w:eastAsia="宋体" w:cs="宋体"/>
          <w:sz w:val="24"/>
          <w:szCs w:val="24"/>
        </w:rPr>
        <w:t>格式规范。</w:t>
      </w:r>
    </w:p>
    <w:p>
      <w:pPr>
        <w:numPr>
          <w:ilvl w:val="0"/>
          <w:numId w:val="0"/>
        </w:numPr>
        <w:bidi w:val="0"/>
        <w:spacing w:line="360" w:lineRule="auto"/>
        <w:ind w:leftChars="0" w:firstLine="480" w:firstLineChars="200"/>
        <w:rPr>
          <w:rFonts w:hint="eastAsia" w:ascii="宋体" w:hAnsi="宋体" w:cs="宋体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验收过程需确认所有成果内容真实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有效</w:t>
      </w:r>
      <w:r>
        <w:rPr>
          <w:rFonts w:hint="eastAsia" w:ascii="宋体" w:hAnsi="宋体" w:eastAsia="宋体" w:cs="宋体"/>
          <w:sz w:val="24"/>
          <w:szCs w:val="24"/>
        </w:rPr>
        <w:t>，无学术不端行为，署名权及知识产权归属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归属于采购人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D10D46"/>
    <w:multiLevelType w:val="multilevel"/>
    <w:tmpl w:val="96D10D46"/>
    <w:lvl w:ilvl="0" w:tentative="0">
      <w:start w:val="1"/>
      <w:numFmt w:val="decimal"/>
      <w:suff w:val="space"/>
      <w:lvlText w:val="5.%1"/>
      <w:lvlJc w:val="left"/>
      <w:pPr>
        <w:tabs>
          <w:tab w:val="left" w:pos="0"/>
        </w:tabs>
        <w:ind w:left="0" w:firstLine="0"/>
      </w:pPr>
      <w:rPr>
        <w:rFonts w:hint="default" w:ascii="Calibri" w:hAnsi="Calibri" w:cs="Calibri"/>
      </w:rPr>
    </w:lvl>
    <w:lvl w:ilvl="1" w:tentative="0">
      <w:start w:val="1"/>
      <w:numFmt w:val="decimal"/>
      <w:isLgl/>
      <w:suff w:val="space"/>
      <w:lvlText w:val="5.%2"/>
      <w:lvlJc w:val="left"/>
      <w:pPr>
        <w:tabs>
          <w:tab w:val="left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szCs w:val="0"/>
        <w:u w:val="none"/>
        <w:vertAlign w:val="baseline"/>
      </w:rPr>
    </w:lvl>
    <w:lvl w:ilvl="2" w:tentative="0">
      <w:start w:val="1"/>
      <w:numFmt w:val="decimal"/>
      <w:pStyle w:val="13"/>
      <w:suff w:val="space"/>
      <w:lvlText w:val="4.%3"/>
      <w:lvlJc w:val="left"/>
      <w:pPr>
        <w:tabs>
          <w:tab w:val="left" w:pos="0"/>
        </w:tabs>
        <w:ind w:left="0" w:firstLine="0"/>
      </w:pPr>
      <w:rPr>
        <w:rFonts w:hint="default" w:ascii="Calibri" w:hAnsi="Calibri" w:cs="Calibri"/>
        <w:b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abstractNum w:abstractNumId="1">
    <w:nsid w:val="B6D66C1B"/>
    <w:multiLevelType w:val="singleLevel"/>
    <w:tmpl w:val="B6D66C1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D1DF7303"/>
    <w:multiLevelType w:val="multilevel"/>
    <w:tmpl w:val="D1DF7303"/>
    <w:lvl w:ilvl="0" w:tentative="0">
      <w:start w:val="1"/>
      <w:numFmt w:val="decimal"/>
      <w:lvlText w:val="4.%1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3">
    <w:nsid w:val="F06E60AA"/>
    <w:multiLevelType w:val="singleLevel"/>
    <w:tmpl w:val="F06E60AA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109FE0A5"/>
    <w:multiLevelType w:val="singleLevel"/>
    <w:tmpl w:val="109FE0A5"/>
    <w:lvl w:ilvl="0" w:tentative="0">
      <w:start w:val="1"/>
      <w:numFmt w:val="decimal"/>
      <w:suff w:val="nothing"/>
      <w:lvlText w:val="（%1）"/>
      <w:lvlJc w:val="left"/>
    </w:lvl>
  </w:abstractNum>
  <w:abstractNum w:abstractNumId="5">
    <w:nsid w:val="4651AC3F"/>
    <w:multiLevelType w:val="singleLevel"/>
    <w:tmpl w:val="4651AC3F"/>
    <w:lvl w:ilvl="0" w:tentative="0">
      <w:start w:val="1"/>
      <w:numFmt w:val="decimal"/>
      <w:suff w:val="nothing"/>
      <w:lvlText w:val="（%1）"/>
      <w:lvlJc w:val="left"/>
    </w:lvl>
  </w:abstractNum>
  <w:abstractNum w:abstractNumId="6">
    <w:nsid w:val="64972C91"/>
    <w:multiLevelType w:val="singleLevel"/>
    <w:tmpl w:val="64972C91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83C80"/>
    <w:rsid w:val="034B2E38"/>
    <w:rsid w:val="039B28A3"/>
    <w:rsid w:val="03A72764"/>
    <w:rsid w:val="041B4810"/>
    <w:rsid w:val="04702B56"/>
    <w:rsid w:val="050A0DD5"/>
    <w:rsid w:val="05A56F81"/>
    <w:rsid w:val="060A6FDB"/>
    <w:rsid w:val="066C1A43"/>
    <w:rsid w:val="06F3181D"/>
    <w:rsid w:val="08DD2784"/>
    <w:rsid w:val="091268D2"/>
    <w:rsid w:val="09712B17"/>
    <w:rsid w:val="0A40746F"/>
    <w:rsid w:val="0A685DF7"/>
    <w:rsid w:val="0A8F7AAE"/>
    <w:rsid w:val="0A922065"/>
    <w:rsid w:val="0BE33B85"/>
    <w:rsid w:val="0C670CE3"/>
    <w:rsid w:val="0CBE5160"/>
    <w:rsid w:val="0DF625B5"/>
    <w:rsid w:val="0EC60A77"/>
    <w:rsid w:val="0EE505E5"/>
    <w:rsid w:val="0F037349"/>
    <w:rsid w:val="0F7E3477"/>
    <w:rsid w:val="102313C5"/>
    <w:rsid w:val="107202AA"/>
    <w:rsid w:val="111F09A5"/>
    <w:rsid w:val="12965764"/>
    <w:rsid w:val="12BF7A30"/>
    <w:rsid w:val="13385187"/>
    <w:rsid w:val="13897791"/>
    <w:rsid w:val="13A520F1"/>
    <w:rsid w:val="13D6108B"/>
    <w:rsid w:val="143B7F8E"/>
    <w:rsid w:val="15DB2014"/>
    <w:rsid w:val="15E6711C"/>
    <w:rsid w:val="17286CD0"/>
    <w:rsid w:val="17836BED"/>
    <w:rsid w:val="17C62542"/>
    <w:rsid w:val="18950986"/>
    <w:rsid w:val="18E73256"/>
    <w:rsid w:val="19C808E7"/>
    <w:rsid w:val="19ED2D17"/>
    <w:rsid w:val="19FE1C71"/>
    <w:rsid w:val="1A885C21"/>
    <w:rsid w:val="1ABE7B7B"/>
    <w:rsid w:val="1C0263AC"/>
    <w:rsid w:val="1C6B4699"/>
    <w:rsid w:val="1C9200C2"/>
    <w:rsid w:val="1CF218F5"/>
    <w:rsid w:val="1D3249F5"/>
    <w:rsid w:val="1E5F5CBE"/>
    <w:rsid w:val="1E6432D4"/>
    <w:rsid w:val="201E15E0"/>
    <w:rsid w:val="22615013"/>
    <w:rsid w:val="227F48FF"/>
    <w:rsid w:val="22804455"/>
    <w:rsid w:val="23204EEC"/>
    <w:rsid w:val="23C30383"/>
    <w:rsid w:val="25096983"/>
    <w:rsid w:val="27AF0600"/>
    <w:rsid w:val="27F60D15"/>
    <w:rsid w:val="291B1D32"/>
    <w:rsid w:val="29C72969"/>
    <w:rsid w:val="2ADC78A8"/>
    <w:rsid w:val="2BA967CA"/>
    <w:rsid w:val="2C0003B4"/>
    <w:rsid w:val="2C2E2CD8"/>
    <w:rsid w:val="2F5A0F01"/>
    <w:rsid w:val="3005243D"/>
    <w:rsid w:val="309D0C13"/>
    <w:rsid w:val="30B706BA"/>
    <w:rsid w:val="30E91417"/>
    <w:rsid w:val="31EE28F9"/>
    <w:rsid w:val="32654377"/>
    <w:rsid w:val="326C1CFE"/>
    <w:rsid w:val="34ED6160"/>
    <w:rsid w:val="356C76A9"/>
    <w:rsid w:val="35887450"/>
    <w:rsid w:val="37150D55"/>
    <w:rsid w:val="372F13FA"/>
    <w:rsid w:val="37515F68"/>
    <w:rsid w:val="381435CC"/>
    <w:rsid w:val="39762F7A"/>
    <w:rsid w:val="39817709"/>
    <w:rsid w:val="39C724E9"/>
    <w:rsid w:val="39DF3CFF"/>
    <w:rsid w:val="3A4735DB"/>
    <w:rsid w:val="3C184597"/>
    <w:rsid w:val="3C26613B"/>
    <w:rsid w:val="3C53008C"/>
    <w:rsid w:val="3D0F19B9"/>
    <w:rsid w:val="3E131268"/>
    <w:rsid w:val="3E8135D7"/>
    <w:rsid w:val="3EDE4585"/>
    <w:rsid w:val="3F4D24D3"/>
    <w:rsid w:val="3F9D1F6A"/>
    <w:rsid w:val="3FF95D7C"/>
    <w:rsid w:val="401C5365"/>
    <w:rsid w:val="40534AFF"/>
    <w:rsid w:val="413F7AA0"/>
    <w:rsid w:val="41C757A4"/>
    <w:rsid w:val="42DC297D"/>
    <w:rsid w:val="43A2687D"/>
    <w:rsid w:val="44586B88"/>
    <w:rsid w:val="44967C16"/>
    <w:rsid w:val="46C6602A"/>
    <w:rsid w:val="47131FD0"/>
    <w:rsid w:val="47226FD9"/>
    <w:rsid w:val="47471B82"/>
    <w:rsid w:val="47541888"/>
    <w:rsid w:val="4851401A"/>
    <w:rsid w:val="491F5EC6"/>
    <w:rsid w:val="4A8561FD"/>
    <w:rsid w:val="4B474778"/>
    <w:rsid w:val="4BA555CD"/>
    <w:rsid w:val="4BC418CB"/>
    <w:rsid w:val="4C1B70D7"/>
    <w:rsid w:val="4D2910C1"/>
    <w:rsid w:val="4D3857A8"/>
    <w:rsid w:val="4FDF0F5F"/>
    <w:rsid w:val="512C4F59"/>
    <w:rsid w:val="51703763"/>
    <w:rsid w:val="51890380"/>
    <w:rsid w:val="51FE4E43"/>
    <w:rsid w:val="53133D6A"/>
    <w:rsid w:val="545033D7"/>
    <w:rsid w:val="55286102"/>
    <w:rsid w:val="558F6181"/>
    <w:rsid w:val="563461C0"/>
    <w:rsid w:val="5711540D"/>
    <w:rsid w:val="573F2C2B"/>
    <w:rsid w:val="57F875D8"/>
    <w:rsid w:val="59C117E6"/>
    <w:rsid w:val="59ED3759"/>
    <w:rsid w:val="59F74948"/>
    <w:rsid w:val="5A1924BD"/>
    <w:rsid w:val="5A5752C7"/>
    <w:rsid w:val="5B1A7364"/>
    <w:rsid w:val="5B490B80"/>
    <w:rsid w:val="5B7E7929"/>
    <w:rsid w:val="5BB22BCA"/>
    <w:rsid w:val="5C2A62A9"/>
    <w:rsid w:val="5C4401FB"/>
    <w:rsid w:val="5DB0643F"/>
    <w:rsid w:val="5DF272AD"/>
    <w:rsid w:val="5F990328"/>
    <w:rsid w:val="60FA4DF7"/>
    <w:rsid w:val="6241413E"/>
    <w:rsid w:val="624B2155"/>
    <w:rsid w:val="629E66A9"/>
    <w:rsid w:val="64B90B25"/>
    <w:rsid w:val="64EF09EB"/>
    <w:rsid w:val="65136487"/>
    <w:rsid w:val="6597225C"/>
    <w:rsid w:val="65C41AE8"/>
    <w:rsid w:val="67E2654F"/>
    <w:rsid w:val="686A10DA"/>
    <w:rsid w:val="6A2B3BF1"/>
    <w:rsid w:val="6AD21E41"/>
    <w:rsid w:val="6AF12BB7"/>
    <w:rsid w:val="6B962A4C"/>
    <w:rsid w:val="6BF42CC8"/>
    <w:rsid w:val="6CAE4CE7"/>
    <w:rsid w:val="6E79493C"/>
    <w:rsid w:val="6FD11419"/>
    <w:rsid w:val="70CE5958"/>
    <w:rsid w:val="70FD7FEB"/>
    <w:rsid w:val="71092E34"/>
    <w:rsid w:val="71676020"/>
    <w:rsid w:val="7191527F"/>
    <w:rsid w:val="719374FA"/>
    <w:rsid w:val="71A55C17"/>
    <w:rsid w:val="7279614B"/>
    <w:rsid w:val="731E31D8"/>
    <w:rsid w:val="74246EF2"/>
    <w:rsid w:val="74DB0D29"/>
    <w:rsid w:val="74EB205D"/>
    <w:rsid w:val="75492FD8"/>
    <w:rsid w:val="755A5A0C"/>
    <w:rsid w:val="75E53D52"/>
    <w:rsid w:val="76290B75"/>
    <w:rsid w:val="76856AB9"/>
    <w:rsid w:val="77185B7F"/>
    <w:rsid w:val="773C1FA3"/>
    <w:rsid w:val="77EF2BD0"/>
    <w:rsid w:val="78497340"/>
    <w:rsid w:val="786079EA"/>
    <w:rsid w:val="78B96EEE"/>
    <w:rsid w:val="79451194"/>
    <w:rsid w:val="79A24CA6"/>
    <w:rsid w:val="7AB94F83"/>
    <w:rsid w:val="7C4A508F"/>
    <w:rsid w:val="7CD76680"/>
    <w:rsid w:val="7CE00FA6"/>
    <w:rsid w:val="7DD854A0"/>
    <w:rsid w:val="7E6D4A02"/>
    <w:rsid w:val="7ED625F7"/>
    <w:rsid w:val="7F440412"/>
    <w:rsid w:val="7FF5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6">
    <w:name w:val="Normal Indent"/>
    <w:basedOn w:val="1"/>
    <w:qFormat/>
    <w:uiPriority w:val="0"/>
    <w:pPr>
      <w:ind w:firstLine="624"/>
      <w:jc w:val="left"/>
    </w:pPr>
  </w:style>
  <w:style w:type="paragraph" w:styleId="7">
    <w:name w:val="table of figures"/>
    <w:basedOn w:val="1"/>
    <w:next w:val="1"/>
    <w:unhideWhenUsed/>
    <w:qFormat/>
    <w:uiPriority w:val="99"/>
    <w:pPr>
      <w:spacing w:line="400" w:lineRule="exact"/>
      <w:ind w:left="200" w:leftChars="200" w:hanging="200" w:hangingChars="200"/>
    </w:pPr>
    <w:rPr>
      <w:rFonts w:ascii="Calibri" w:hAnsi="Calibri" w:cs="黑体"/>
      <w:sz w:val="28"/>
      <w:szCs w:val="22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B2"/>
    <w:basedOn w:val="4"/>
    <w:qFormat/>
    <w:uiPriority w:val="0"/>
    <w:pPr>
      <w:spacing w:before="0" w:after="0" w:line="360" w:lineRule="auto"/>
    </w:pPr>
    <w:rPr>
      <w:rFonts w:ascii="宋体" w:hAnsi="宋体" w:eastAsia="宋体" w:cs="宋体"/>
      <w:sz w:val="28"/>
      <w:szCs w:val="28"/>
    </w:rPr>
  </w:style>
  <w:style w:type="paragraph" w:customStyle="1" w:styleId="12">
    <w:name w:val="缩正文"/>
    <w:basedOn w:val="1"/>
    <w:qFormat/>
    <w:uiPriority w:val="0"/>
    <w:pPr>
      <w:ind w:firstLine="420" w:firstLineChars="200"/>
    </w:pPr>
    <w:rPr>
      <w:rFonts w:ascii="宋体" w:hAnsi="宋体" w:eastAsia="宋体" w:cs="宋体"/>
      <w:szCs w:val="21"/>
    </w:rPr>
  </w:style>
  <w:style w:type="paragraph" w:customStyle="1" w:styleId="13">
    <w:name w:val="样式1"/>
    <w:basedOn w:val="1"/>
    <w:qFormat/>
    <w:uiPriority w:val="0"/>
    <w:pPr>
      <w:numPr>
        <w:ilvl w:val="2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1455</Words>
  <Characters>1497</Characters>
  <Lines>0</Lines>
  <Paragraphs>0</Paragraphs>
  <TotalTime>7</TotalTime>
  <ScaleCrop>false</ScaleCrop>
  <LinksUpToDate>false</LinksUpToDate>
  <CharactersWithSpaces>1504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2025-05-20T08:41:00Z</dcterms:created>
  <dc:creator>NESX</dc:creator>
  <cp:lastModifiedBy>CD15020CBC2D495E9324EF401AC7990D</cp:lastModifiedBy>
  <dcterms:modified xsi:type="dcterms:W3CDTF">2025-12-17T02:37:27Z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eyJoZGlkIjoiNWVjOGE4MjAwN2IyNTFlOTE0NDQ4ODU5YTg1NzViZTUiLCJ1c2VySWQiOiI3NTE2ODQ0NDMifQ==</vt:lpwstr>
  </property>
  <property fmtid="{D5CDD505-2E9C-101B-9397-08002B2CF9AE}" pid="4" name="ICV">
    <vt:lpwstr>6BFBB036046640529B4D504113D66FF8_13</vt:lpwstr>
  </property>
</Properties>
</file>