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F66BCB">
      <w:pPr>
        <w:keepNext w:val="0"/>
        <w:keepLines w:val="0"/>
        <w:widowControl/>
        <w:suppressLineNumbers w:val="0"/>
        <w:jc w:val="center"/>
        <w:rPr>
          <w:rFonts w:ascii="黑体" w:hAnsi="宋体" w:eastAsia="黑体" w:cs="黑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ascii="黑体" w:hAnsi="宋体" w:eastAsia="黑体" w:cs="黑体"/>
          <w:color w:val="000000"/>
          <w:kern w:val="0"/>
          <w:sz w:val="28"/>
          <w:szCs w:val="28"/>
          <w:lang w:val="en-US" w:eastAsia="zh-CN" w:bidi="ar"/>
        </w:rPr>
        <w:t>云南电网有限责任公司2026年绿化服务类框架采购（公开招标）</w:t>
      </w:r>
    </w:p>
    <w:p w14:paraId="1D572ECD">
      <w:pPr>
        <w:keepNext w:val="0"/>
        <w:keepLines w:val="0"/>
        <w:widowControl/>
        <w:suppressLineNumbers w:val="0"/>
        <w:jc w:val="center"/>
        <w:rPr>
          <w:rFonts w:hint="default"/>
          <w:lang w:val="en-US"/>
        </w:rPr>
      </w:pPr>
      <w:r>
        <w:rPr>
          <w:rFonts w:hint="eastAsia" w:ascii="黑体" w:hAnsi="宋体" w:eastAsia="黑体" w:cs="黑体"/>
          <w:color w:val="000000"/>
          <w:kern w:val="0"/>
          <w:sz w:val="28"/>
          <w:szCs w:val="28"/>
          <w:lang w:val="en-US" w:eastAsia="zh-CN" w:bidi="ar"/>
        </w:rPr>
        <w:t>提疑文件</w:t>
      </w:r>
    </w:p>
    <w:p w14:paraId="11744DE4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招标文件合同模板中“6.1.1”提到甲方为乙方无偿提供绿化用水，请贵司明确绿化整治时及绿化质保期内的水费是否由甲方承担，如绿化整治时所产生的电费由哪方承担，请贵司明确？</w:t>
      </w:r>
    </w:p>
    <w:p w14:paraId="1106DAD2"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/>
          <w:lang w:val="en-US"/>
        </w:rPr>
      </w:pPr>
      <w:r>
        <w:drawing>
          <wp:inline distT="0" distB="0" distL="114300" distR="114300">
            <wp:extent cx="3876675" cy="121920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4D4B9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如绿化整治苗木分批种植完成，质保期是否也分批计算，请贵司明确？</w:t>
      </w:r>
    </w:p>
    <w:p w14:paraId="745ED866"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因绿植采购及地被植物、乔木类、灌木类植物质保期不同，每个植物类质保到期是否需要与贵司签署移交单，请贵司明确？</w:t>
      </w:r>
      <w:bookmarkStart w:id="0" w:name="_GoBack"/>
      <w:bookmarkEnd w:id="0"/>
    </w:p>
    <w:p w14:paraId="2C5A8F8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3、招标文件合同模板中“第十一条其他约定”中约定考核评分在 90 分以上的每月全额支付，如未达到90分，是否需整改到90分才全额支付，请贵司明确？</w:t>
      </w:r>
      <w:r>
        <w:drawing>
          <wp:inline distT="0" distB="0" distL="114300" distR="114300">
            <wp:extent cx="5272405" cy="1332865"/>
            <wp:effectExtent l="0" t="0" r="444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33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5FEC1">
      <w:pPr>
        <w:keepNext w:val="0"/>
        <w:keepLines w:val="0"/>
        <w:widowControl/>
        <w:suppressLineNumbers w:val="0"/>
        <w:jc w:val="left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3FB660"/>
    <w:multiLevelType w:val="singleLevel"/>
    <w:tmpl w:val="383FB66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F7008B"/>
    <w:rsid w:val="06F467BE"/>
    <w:rsid w:val="1A340257"/>
    <w:rsid w:val="358B64CA"/>
    <w:rsid w:val="4E4F4B83"/>
    <w:rsid w:val="5C1C445A"/>
    <w:rsid w:val="6DF7008B"/>
    <w:rsid w:val="7522548F"/>
    <w:rsid w:val="77236A7A"/>
    <w:rsid w:val="7DDB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2025-12-22T08:18:00Z</dcterms:created>
  <dc:creator>DELL</dc:creator>
  <cp:lastModifiedBy>DELL</cp:lastModifiedBy>
  <dcterms:modified xsi:type="dcterms:W3CDTF">2025-12-22T08:48:34Z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1BA5DEBA61374A47884363D3DB59DCD4_11</vt:lpwstr>
  </property>
  <property fmtid="{D5CDD505-2E9C-101B-9397-08002B2CF9AE}" pid="4" name="KSOTemplateDocerSaveRecord">
    <vt:lpwstr>eyJoZGlkIjoiZjA5ODc0YmQyNWFhNTVhNzkzODE2NDc3NTk5YjEzZjgiLCJ1c2VySWQiOiIzMTkxNjE0OTYifQ==</vt:lpwstr>
  </property>
</Properties>
</file>