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DE353F">
      <w:pPr>
        <w:spacing w:beforeLines="200" w:line="360" w:lineRule="auto"/>
        <w:rPr>
          <w:rFonts w:asciiTheme="minorEastAsia" w:hAnsiTheme="minorEastAsia" w:eastAsiaTheme="minorEastAsia"/>
        </w:rPr>
      </w:pPr>
      <w:r>
        <w:rPr>
          <w:rFonts w:asciiTheme="minorEastAsia" w:hAnsiTheme="minorEastAsia" w:eastAsiaTheme="minorEastAsia"/>
          <w:b/>
          <w:sz w:val="5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-1139190</wp:posOffset>
            </wp:positionH>
            <wp:positionV relativeFrom="paragraph">
              <wp:posOffset>-955040</wp:posOffset>
            </wp:positionV>
            <wp:extent cx="8915400" cy="2736850"/>
            <wp:effectExtent l="0" t="0" r="0" b="6350"/>
            <wp:wrapTight wrapText="bothSides">
              <wp:wrapPolygon>
                <wp:start x="-23" y="0"/>
                <wp:lineTo x="-23" y="21525"/>
                <wp:lineTo x="21600" y="21525"/>
                <wp:lineTo x="21600" y="0"/>
                <wp:lineTo x="-23" y="0"/>
              </wp:wrapPolygon>
            </wp:wrapTight>
            <wp:docPr id="2" name="Picture 68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68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0968056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eastAsia" w:asciiTheme="minorEastAsia" w:hAnsiTheme="minorEastAsia" w:eastAsiaTheme="minorEastAsia"/>
          <w:b/>
          <w:bCs/>
          <w:sz w:val="44"/>
          <w:szCs w:val="44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河源</w:t>
      </w:r>
      <w:r>
        <w:rPr>
          <w:rFonts w:hint="eastAsia" w:asciiTheme="minorEastAsia" w:hAnsiTheme="minorEastAsia" w:eastAsiaTheme="minorEastAsia"/>
          <w:b/>
          <w:bCs/>
          <w:sz w:val="44"/>
          <w:szCs w:val="44"/>
        </w:rPr>
        <w:t>供电局</w:t>
      </w:r>
    </w:p>
    <w:p w14:paraId="387B4CEC">
      <w:pPr>
        <w:tabs>
          <w:tab w:val="left" w:pos="480"/>
        </w:tabs>
        <w:adjustRightInd w:val="0"/>
        <w:snapToGrid w:val="0"/>
        <w:spacing w:line="360" w:lineRule="auto"/>
        <w:jc w:val="center"/>
        <w:rPr>
          <w:rFonts w:hint="default" w:asciiTheme="minorEastAsia" w:hAnsiTheme="minorEastAsia" w:eastAsiaTheme="minorEastAsia"/>
          <w:b/>
          <w:bCs/>
          <w:sz w:val="44"/>
          <w:szCs w:val="44"/>
          <w:lang w:val="en-US"/>
        </w:rPr>
      </w:pPr>
      <w:r>
        <w:rPr>
          <w:rFonts w:hint="eastAsia" w:asciiTheme="minorEastAsia" w:hAnsiTheme="minorEastAsia" w:eastAsiaTheme="minorEastAsia"/>
          <w:b/>
          <w:bCs/>
          <w:sz w:val="44"/>
          <w:szCs w:val="44"/>
          <w:lang w:val="en-US" w:eastAsia="zh-CN"/>
        </w:rPr>
        <w:t>AI带电接火机器人所需材料采购</w:t>
      </w:r>
    </w:p>
    <w:p w14:paraId="0C7A0796">
      <w:pPr>
        <w:pStyle w:val="3"/>
        <w:spacing w:line="360" w:lineRule="auto"/>
        <w:ind w:right="210"/>
        <w:jc w:val="center"/>
        <w:rPr>
          <w:rFonts w:asciiTheme="minorEastAsia" w:hAnsiTheme="minorEastAsia" w:eastAsiaTheme="minorEastAsia"/>
          <w:sz w:val="44"/>
          <w:szCs w:val="44"/>
        </w:rPr>
      </w:pPr>
      <w:bookmarkStart w:id="0" w:name="_Toc490828342"/>
      <w:bookmarkStart w:id="1" w:name="_Toc490836508"/>
      <w:bookmarkStart w:id="2" w:name="_Toc490992882"/>
      <w:bookmarkStart w:id="3" w:name="_Toc490833902"/>
      <w:bookmarkStart w:id="4" w:name="_Toc490828824"/>
      <w:bookmarkStart w:id="5" w:name="_Toc529463209"/>
      <w:bookmarkStart w:id="6" w:name="_Toc490836987"/>
      <w:bookmarkStart w:id="7" w:name="_Toc490993917"/>
      <w:bookmarkStart w:id="8" w:name="_Toc490836685"/>
      <w:bookmarkStart w:id="9" w:name="_Toc490827275"/>
      <w:bookmarkStart w:id="10" w:name="_Toc490993881"/>
      <w:bookmarkStart w:id="11" w:name="_Toc490994883"/>
      <w:bookmarkStart w:id="12" w:name="_Toc490836196"/>
      <w:r>
        <w:rPr>
          <w:rFonts w:asciiTheme="minorEastAsia" w:hAnsiTheme="minorEastAsia" w:eastAsiaTheme="minorEastAsia"/>
          <w:sz w:val="44"/>
          <w:szCs w:val="44"/>
        </w:rPr>
        <w:t>技术</w:t>
      </w:r>
      <w:r>
        <w:rPr>
          <w:rFonts w:hint="eastAsia" w:asciiTheme="minorEastAsia" w:hAnsiTheme="minorEastAsia" w:eastAsiaTheme="minorEastAsia"/>
          <w:sz w:val="44"/>
          <w:szCs w:val="44"/>
        </w:rPr>
        <w:t>规范书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67A83B90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1BA2E5C5">
      <w:pPr>
        <w:spacing w:beforeLines="200"/>
        <w:rPr>
          <w:rFonts w:asciiTheme="minorEastAsia" w:hAnsiTheme="minorEastAsia" w:eastAsiaTheme="minorEastAsia"/>
          <w:b/>
          <w:sz w:val="52"/>
          <w:szCs w:val="22"/>
        </w:rPr>
      </w:pPr>
    </w:p>
    <w:p w14:paraId="62045D7E">
      <w:pPr>
        <w:jc w:val="center"/>
        <w:rPr>
          <w:rFonts w:hint="eastAsia"/>
          <w:b/>
          <w:sz w:val="30"/>
          <w:szCs w:val="30"/>
          <w:lang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河源</w:t>
      </w:r>
      <w:r>
        <w:rPr>
          <w:rFonts w:hint="eastAsia"/>
          <w:b/>
          <w:sz w:val="30"/>
          <w:szCs w:val="30"/>
          <w:lang w:eastAsia="zh-CN"/>
        </w:rPr>
        <w:t>供电局</w:t>
      </w:r>
    </w:p>
    <w:p w14:paraId="7214FF85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  <w:lang w:eastAsia="zh-CN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十二</w:t>
      </w:r>
      <w:r>
        <w:rPr>
          <w:b/>
          <w:sz w:val="30"/>
          <w:szCs w:val="30"/>
        </w:rPr>
        <w:t>月</w:t>
      </w:r>
    </w:p>
    <w:p w14:paraId="08A7FC21">
      <w:pPr>
        <w:jc w:val="center"/>
        <w:rPr>
          <w:rFonts w:hint="default" w:eastAsia="宋体"/>
          <w:b/>
          <w:sz w:val="30"/>
          <w:szCs w:val="30"/>
          <w:lang w:val="en-US" w:eastAsia="zh-CN"/>
        </w:rPr>
      </w:pPr>
      <w:r>
        <w:rPr>
          <w:rFonts w:hint="eastAsia"/>
          <w:b/>
          <w:sz w:val="30"/>
          <w:szCs w:val="30"/>
          <w:lang w:val="en-US" w:eastAsia="zh-CN"/>
        </w:rPr>
        <w:t>项目负责人：</w:t>
      </w:r>
      <w:r>
        <w:rPr>
          <w:rFonts w:hint="eastAsia"/>
          <w:b/>
          <w:sz w:val="30"/>
          <w:szCs w:val="30"/>
          <w:u w:val="single"/>
          <w:lang w:val="en-US" w:eastAsia="zh-CN"/>
        </w:rPr>
        <w:t xml:space="preserve">       </w:t>
      </w:r>
      <w:r>
        <w:rPr>
          <w:rFonts w:hint="eastAsia"/>
          <w:b/>
          <w:sz w:val="30"/>
          <w:szCs w:val="30"/>
          <w:lang w:val="en-US" w:eastAsia="zh-CN"/>
        </w:rPr>
        <w:t>（签名）</w:t>
      </w:r>
    </w:p>
    <w:p w14:paraId="5C56A226">
      <w:pPr>
        <w:rPr>
          <w:rFonts w:hint="eastAsia"/>
        </w:rPr>
      </w:pPr>
      <w:bookmarkStart w:id="13" w:name="_Toc490993882"/>
    </w:p>
    <w:p w14:paraId="7E00F269">
      <w:pPr>
        <w:pStyle w:val="21"/>
        <w:rPr>
          <w:rFonts w:hint="eastAsia"/>
        </w:rPr>
      </w:pPr>
    </w:p>
    <w:p w14:paraId="439477E9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4" w:name="_Toc529463210"/>
      <w:r>
        <w:rPr>
          <w:rFonts w:hint="eastAsia"/>
          <w:sz w:val="32"/>
          <w:szCs w:val="32"/>
        </w:rPr>
        <w:t>1.总则</w:t>
      </w:r>
      <w:bookmarkEnd w:id="13"/>
      <w:bookmarkEnd w:id="14"/>
    </w:p>
    <w:p w14:paraId="51C97074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本技术规范书适用于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AI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带电接火机器人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所需材料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。</w:t>
      </w:r>
    </w:p>
    <w:p w14:paraId="503F359C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1.1本技术规范书规定了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AI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带电接火机器人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所需材料的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界限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技术要求、安全要求等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具体内容。</w:t>
      </w:r>
    </w:p>
    <w:p w14:paraId="0C28B12B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rPr>
          <w:rFonts w:hint="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1.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本技术规范书提出的技术要求。除技术规范书中规定的技术参数和要求外，其余均遵循最新版本的国家标准（GB）、电力行业标准（DL）、IEC标准和国际单位（SI）。</w:t>
      </w:r>
    </w:p>
    <w:p w14:paraId="0E2C642E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sz w:val="32"/>
          <w:szCs w:val="32"/>
        </w:rPr>
      </w:pPr>
      <w:bookmarkStart w:id="15" w:name="_Toc490993883"/>
      <w:bookmarkStart w:id="16" w:name="_Toc529463211"/>
      <w:r>
        <w:rPr>
          <w:rFonts w:hint="eastAsia"/>
          <w:sz w:val="32"/>
          <w:szCs w:val="32"/>
        </w:rPr>
        <w:t>2.</w:t>
      </w:r>
      <w:bookmarkEnd w:id="15"/>
      <w:bookmarkStart w:id="17" w:name="_Toc351722589"/>
      <w:bookmarkStart w:id="18" w:name="_Toc476060462"/>
      <w:bookmarkStart w:id="19" w:name="_Toc445396910"/>
      <w:r>
        <w:rPr>
          <w:rFonts w:hint="eastAsia"/>
          <w:sz w:val="32"/>
          <w:szCs w:val="32"/>
        </w:rPr>
        <w:t>项目目标</w:t>
      </w:r>
      <w:bookmarkEnd w:id="16"/>
      <w:bookmarkEnd w:id="17"/>
      <w:bookmarkEnd w:id="18"/>
      <w:bookmarkEnd w:id="19"/>
    </w:p>
    <w:p w14:paraId="61CF059D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szCs w:val="24"/>
        </w:rPr>
      </w:pPr>
      <w:bookmarkStart w:id="20" w:name="_Toc351722590"/>
      <w:bookmarkStart w:id="21" w:name="_Toc291690055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本项目是针对一种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可以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>自动上线、在导线上行走、绝缘导线剥皮、AI自动接引流线作业的带电接火机器人</w:t>
      </w:r>
      <w:r>
        <w:rPr>
          <w:rFonts w:hint="eastAsia" w:ascii="宋体" w:hAnsi="宋体"/>
          <w:sz w:val="24"/>
          <w:lang w:eastAsia="zh-CN"/>
        </w:rPr>
        <w:t>，</w:t>
      </w:r>
      <w:r>
        <w:rPr>
          <w:rFonts w:hint="eastAsia" w:ascii="宋体" w:hAnsi="宋体"/>
          <w:sz w:val="24"/>
          <w:lang w:val="en-US" w:eastAsia="zh-CN"/>
        </w:rPr>
        <w:t>采购其所需的材料，确保带电接火机器人能够正常运行，</w:t>
      </w:r>
      <w:r>
        <w:rPr>
          <w:rFonts w:hint="eastAsia" w:ascii="宋体" w:hAnsi="宋体" w:eastAsia="宋体" w:cs="Times New Roman"/>
          <w:sz w:val="24"/>
          <w:szCs w:val="24"/>
        </w:rPr>
        <w:t>能够满足电力系统中线路施工和维护的多种需求</w:t>
      </w:r>
      <w:r>
        <w:rPr>
          <w:rFonts w:hint="eastAsia" w:ascii="宋体" w:hAnsi="宋体" w:eastAsia="宋体" w:cs="Times New Roman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Times New Roman"/>
          <w:sz w:val="24"/>
          <w:szCs w:val="24"/>
          <w:lang w:val="en-US" w:eastAsia="zh-CN"/>
        </w:rPr>
        <w:t>提升作业人员的工作效率和线路运行安全</w:t>
      </w:r>
      <w:r>
        <w:rPr>
          <w:rFonts w:hint="eastAsia" w:ascii="宋体" w:hAnsi="宋体" w:eastAsia="宋体" w:cs="Times New Roman"/>
          <w:sz w:val="24"/>
          <w:szCs w:val="24"/>
        </w:rPr>
        <w:t>。</w:t>
      </w:r>
    </w:p>
    <w:p w14:paraId="63B2819A">
      <w:pPr>
        <w:pStyle w:val="3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60" w:lineRule="exact"/>
        <w:textAlignment w:val="auto"/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</w:pPr>
      <w:bookmarkStart w:id="22" w:name="_Toc8978"/>
      <w:bookmarkStart w:id="23" w:name="_Toc11752"/>
      <w:bookmarkStart w:id="24" w:name="_Toc470168814"/>
      <w:bookmarkStart w:id="25" w:name="_Toc114177936"/>
      <w:bookmarkStart w:id="26" w:name="_Toc15654"/>
      <w:r>
        <w:rPr>
          <w:rFonts w:hint="eastAsia" w:cs="宋体"/>
          <w:sz w:val="32"/>
          <w:szCs w:val="32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. 供货需求</w:t>
      </w:r>
      <w:bookmarkEnd w:id="22"/>
      <w:bookmarkEnd w:id="23"/>
      <w:bookmarkEnd w:id="24"/>
      <w:bookmarkEnd w:id="25"/>
      <w:bookmarkEnd w:id="26"/>
    </w:p>
    <w:p w14:paraId="33CCB1F1">
      <w:pPr>
        <w:adjustRightInd w:val="0"/>
        <w:snapToGrid w:val="0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所需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材料明细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见表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  <w:highlight w:val="none"/>
        </w:rPr>
        <w:t>: 供货范围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</w:p>
    <w:p w14:paraId="147BA08C">
      <w:pPr>
        <w:jc w:val="center"/>
        <w:rPr>
          <w:rFonts w:eastAsia="宋体"/>
          <w:color w:val="auto"/>
          <w:sz w:val="24"/>
          <w:szCs w:val="24"/>
          <w:highlight w:val="none"/>
        </w:rPr>
      </w:pPr>
      <w:r>
        <w:rPr>
          <w:rFonts w:eastAsia="宋体"/>
          <w:color w:val="auto"/>
          <w:sz w:val="24"/>
          <w:szCs w:val="24"/>
          <w:highlight w:val="none"/>
        </w:rPr>
        <w:t>表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eastAsia="宋体"/>
          <w:color w:val="auto"/>
          <w:sz w:val="24"/>
          <w:szCs w:val="24"/>
          <w:highlight w:val="none"/>
        </w:rPr>
        <w:t xml:space="preserve"> 供货范围</w:t>
      </w:r>
    </w:p>
    <w:tbl>
      <w:tblPr>
        <w:tblStyle w:val="23"/>
        <w:tblW w:w="87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55"/>
        <w:gridCol w:w="2035"/>
        <w:gridCol w:w="1748"/>
        <w:gridCol w:w="1014"/>
        <w:gridCol w:w="2899"/>
      </w:tblGrid>
      <w:tr w14:paraId="1696A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93" w:hRule="atLeast"/>
          <w:tblHeader/>
          <w:jc w:val="center"/>
        </w:trPr>
        <w:tc>
          <w:tcPr>
            <w:tcW w:w="1055" w:type="dxa"/>
            <w:noWrap w:val="0"/>
            <w:vAlign w:val="center"/>
          </w:tcPr>
          <w:p w14:paraId="05136424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035" w:type="dxa"/>
            <w:noWrap w:val="0"/>
            <w:vAlign w:val="center"/>
          </w:tcPr>
          <w:p w14:paraId="7DE7B2EB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1748" w:type="dxa"/>
            <w:noWrap w:val="0"/>
            <w:vAlign w:val="center"/>
          </w:tcPr>
          <w:p w14:paraId="6E9D5313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型号规格</w:t>
            </w:r>
          </w:p>
        </w:tc>
        <w:tc>
          <w:tcPr>
            <w:tcW w:w="1014" w:type="dxa"/>
            <w:noWrap w:val="0"/>
            <w:vAlign w:val="center"/>
          </w:tcPr>
          <w:p w14:paraId="014AB631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2899" w:type="dxa"/>
            <w:noWrap w:val="0"/>
            <w:vAlign w:val="center"/>
          </w:tcPr>
          <w:p w14:paraId="4674B81F">
            <w:pPr>
              <w:jc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项目</w:t>
            </w:r>
            <w:r>
              <w:rPr>
                <w:rFonts w:hint="eastAsia" w:ascii="Times New Roman" w:hAnsi="Times New Roman"/>
                <w:color w:val="auto"/>
                <w:sz w:val="24"/>
                <w:szCs w:val="24"/>
                <w:highlight w:val="none"/>
                <w:lang w:val="en-US" w:eastAsia="zh-CN"/>
              </w:rPr>
              <w:t>需求</w:t>
            </w:r>
            <w:r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  <w:t>数量</w:t>
            </w:r>
          </w:p>
        </w:tc>
      </w:tr>
      <w:tr w14:paraId="1525E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09412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035" w:type="dxa"/>
            <w:noWrap w:val="0"/>
            <w:vAlign w:val="center"/>
          </w:tcPr>
          <w:p w14:paraId="5A3CC8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拉线线夹</w:t>
            </w:r>
          </w:p>
        </w:tc>
        <w:tc>
          <w:tcPr>
            <w:tcW w:w="1748" w:type="dxa"/>
            <w:noWrap w:val="0"/>
            <w:vAlign w:val="center"/>
          </w:tcPr>
          <w:p w14:paraId="33E6A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开模定制，适配LGJ50-300</w:t>
            </w:r>
          </w:p>
        </w:tc>
        <w:tc>
          <w:tcPr>
            <w:tcW w:w="1014" w:type="dxa"/>
            <w:noWrap w:val="0"/>
            <w:vAlign w:val="center"/>
          </w:tcPr>
          <w:p w14:paraId="2BF92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72B55B1F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F4521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20327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035" w:type="dxa"/>
            <w:noWrap w:val="0"/>
            <w:vAlign w:val="center"/>
          </w:tcPr>
          <w:p w14:paraId="1EB32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并沟线夹</w:t>
            </w:r>
          </w:p>
        </w:tc>
        <w:tc>
          <w:tcPr>
            <w:tcW w:w="1748" w:type="dxa"/>
            <w:noWrap w:val="0"/>
            <w:vAlign w:val="center"/>
          </w:tcPr>
          <w:p w14:paraId="250E8A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开模定制，适配LGJ50-300</w:t>
            </w:r>
          </w:p>
        </w:tc>
        <w:tc>
          <w:tcPr>
            <w:tcW w:w="1014" w:type="dxa"/>
            <w:noWrap w:val="0"/>
            <w:vAlign w:val="center"/>
          </w:tcPr>
          <w:p w14:paraId="59EA24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21603749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</w:tr>
      <w:tr w14:paraId="5EAC0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6E6D1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035" w:type="dxa"/>
            <w:noWrap w:val="0"/>
            <w:vAlign w:val="center"/>
          </w:tcPr>
          <w:p w14:paraId="5A45BF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绝缘牵引绳</w:t>
            </w:r>
          </w:p>
        </w:tc>
        <w:tc>
          <w:tcPr>
            <w:tcW w:w="1748" w:type="dxa"/>
            <w:noWrap w:val="0"/>
            <w:vAlign w:val="center"/>
          </w:tcPr>
          <w:p w14:paraId="64347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直径2mm；长50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m；</w:t>
            </w:r>
          </w:p>
        </w:tc>
        <w:tc>
          <w:tcPr>
            <w:tcW w:w="1014" w:type="dxa"/>
            <w:noWrap w:val="0"/>
            <w:vAlign w:val="center"/>
          </w:tcPr>
          <w:p w14:paraId="2697BC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2899" w:type="dxa"/>
            <w:noWrap w:val="0"/>
            <w:vAlign w:val="center"/>
          </w:tcPr>
          <w:p w14:paraId="06F742CC">
            <w:pPr>
              <w:widowControl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1030B7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389F44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35" w:type="dxa"/>
            <w:noWrap w:val="0"/>
            <w:vAlign w:val="center"/>
          </w:tcPr>
          <w:p w14:paraId="0148F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铁氟龙胶带</w:t>
            </w:r>
          </w:p>
        </w:tc>
        <w:tc>
          <w:tcPr>
            <w:tcW w:w="1748" w:type="dxa"/>
            <w:noWrap w:val="0"/>
            <w:vAlign w:val="center"/>
          </w:tcPr>
          <w:p w14:paraId="6870F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厚0.13mm*宽30mm*长10m</w:t>
            </w:r>
          </w:p>
        </w:tc>
        <w:tc>
          <w:tcPr>
            <w:tcW w:w="1014" w:type="dxa"/>
            <w:noWrap w:val="0"/>
            <w:vAlign w:val="center"/>
          </w:tcPr>
          <w:p w14:paraId="7F7AB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2899" w:type="dxa"/>
            <w:noWrap w:val="0"/>
            <w:vAlign w:val="center"/>
          </w:tcPr>
          <w:p w14:paraId="0FDDCD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38CAE4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28313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035" w:type="dxa"/>
            <w:noWrap w:val="0"/>
            <w:vAlign w:val="center"/>
          </w:tcPr>
          <w:p w14:paraId="019B19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走线轮</w:t>
            </w:r>
          </w:p>
        </w:tc>
        <w:tc>
          <w:tcPr>
            <w:tcW w:w="1748" w:type="dxa"/>
            <w:noWrap w:val="0"/>
            <w:vAlign w:val="center"/>
          </w:tcPr>
          <w:p w14:paraId="12057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60mm</w:t>
            </w:r>
          </w:p>
        </w:tc>
        <w:tc>
          <w:tcPr>
            <w:tcW w:w="1014" w:type="dxa"/>
            <w:noWrap w:val="0"/>
            <w:vAlign w:val="center"/>
          </w:tcPr>
          <w:p w14:paraId="06954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899" w:type="dxa"/>
            <w:noWrap w:val="0"/>
            <w:vAlign w:val="center"/>
          </w:tcPr>
          <w:p w14:paraId="6FB2AA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  <w:tr w14:paraId="77B62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50" w:hRule="atLeast"/>
          <w:jc w:val="center"/>
        </w:trPr>
        <w:tc>
          <w:tcPr>
            <w:tcW w:w="1055" w:type="dxa"/>
            <w:noWrap w:val="0"/>
            <w:vAlign w:val="center"/>
          </w:tcPr>
          <w:p w14:paraId="04936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35" w:type="dxa"/>
            <w:noWrap w:val="0"/>
            <w:vAlign w:val="center"/>
          </w:tcPr>
          <w:p w14:paraId="3EB351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卷扬带</w:t>
            </w:r>
          </w:p>
        </w:tc>
        <w:tc>
          <w:tcPr>
            <w:tcW w:w="1748" w:type="dxa"/>
            <w:noWrap w:val="0"/>
            <w:vAlign w:val="center"/>
          </w:tcPr>
          <w:p w14:paraId="5EF6AC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30米</w:t>
            </w:r>
          </w:p>
        </w:tc>
        <w:tc>
          <w:tcPr>
            <w:tcW w:w="1014" w:type="dxa"/>
            <w:noWrap w:val="0"/>
            <w:vAlign w:val="center"/>
          </w:tcPr>
          <w:p w14:paraId="17BF9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卷</w:t>
            </w:r>
          </w:p>
        </w:tc>
        <w:tc>
          <w:tcPr>
            <w:tcW w:w="2899" w:type="dxa"/>
            <w:noWrap w:val="0"/>
            <w:vAlign w:val="center"/>
          </w:tcPr>
          <w:p w14:paraId="292C27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eastAsia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</w:tr>
    </w:tbl>
    <w:p w14:paraId="3C18139E">
      <w:pPr>
        <w:spacing w:line="360" w:lineRule="auto"/>
        <w:ind w:firstLine="480" w:firstLineChars="200"/>
        <w:rPr>
          <w:rFonts w:hint="default" w:ascii="宋体" w:hAnsi="宋体" w:eastAsia="宋体" w:cs="Times New Roman"/>
          <w:sz w:val="24"/>
          <w:szCs w:val="24"/>
          <w:lang w:val="en-US" w:eastAsia="zh-CN"/>
        </w:rPr>
      </w:pPr>
    </w:p>
    <w:p w14:paraId="70ECBA09">
      <w:pPr>
        <w:pStyle w:val="3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lang w:eastAsia="zh-CN"/>
        </w:rPr>
      </w:pPr>
      <w:bookmarkStart w:id="27" w:name="_Toc445396911"/>
      <w:bookmarkStart w:id="28" w:name="_Toc529463212"/>
      <w:bookmarkStart w:id="29" w:name="_Toc476060463"/>
      <w:r>
        <w:rPr>
          <w:rFonts w:hint="eastAsia"/>
          <w:sz w:val="32"/>
          <w:szCs w:val="32"/>
          <w:lang w:val="en-US" w:eastAsia="zh-CN"/>
        </w:rPr>
        <w:t>3.</w:t>
      </w:r>
      <w:r>
        <w:rPr>
          <w:rFonts w:hint="eastAsia"/>
          <w:sz w:val="32"/>
          <w:szCs w:val="32"/>
        </w:rPr>
        <w:t>服务</w:t>
      </w:r>
      <w:bookmarkEnd w:id="20"/>
      <w:bookmarkEnd w:id="21"/>
      <w:bookmarkEnd w:id="27"/>
      <w:bookmarkEnd w:id="28"/>
      <w:bookmarkEnd w:id="29"/>
      <w:r>
        <w:rPr>
          <w:rFonts w:hint="eastAsia"/>
          <w:sz w:val="32"/>
          <w:szCs w:val="32"/>
          <w:lang w:eastAsia="zh-CN"/>
        </w:rPr>
        <w:t>要求</w:t>
      </w:r>
    </w:p>
    <w:p w14:paraId="26929AFC">
      <w:pPr>
        <w:pStyle w:val="46"/>
        <w:widowControl/>
        <w:numPr>
          <w:ilvl w:val="0"/>
          <w:numId w:val="0"/>
        </w:numPr>
        <w:shd w:val="clear" w:color="auto" w:fill="FFFFFF"/>
        <w:tabs>
          <w:tab w:val="left" w:pos="0"/>
        </w:tabs>
        <w:spacing w:before="105" w:beforeAutospacing="0" w:after="105" w:afterAutospacing="0"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本服务要求中标单位做好所需配件材料供应时效和质量控制，并配合完成适配</w:t>
      </w:r>
      <w:bookmarkStart w:id="30" w:name="_Toc490993885"/>
      <w:bookmarkStart w:id="31" w:name="_Toc529463214"/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。</w:t>
      </w:r>
    </w:p>
    <w:p w14:paraId="006366CC">
      <w:pPr>
        <w:pStyle w:val="3"/>
        <w:pageBreakBefore w:val="0"/>
        <w:numPr>
          <w:ilvl w:val="0"/>
          <w:numId w:val="2"/>
        </w:numPr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技术要求</w:t>
      </w:r>
      <w:bookmarkEnd w:id="30"/>
      <w:bookmarkEnd w:id="31"/>
    </w:p>
    <w:p w14:paraId="5BF05E61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适配AI带电接火机器人；</w:t>
      </w:r>
    </w:p>
    <w:p w14:paraId="373749FD">
      <w:pPr>
        <w:pStyle w:val="46"/>
        <w:numPr>
          <w:ilvl w:val="0"/>
          <w:numId w:val="3"/>
        </w:numPr>
        <w:shd w:val="clear" w:color="auto" w:fill="FFFFFF"/>
        <w:tabs>
          <w:tab w:val="left" w:pos="0"/>
        </w:tabs>
        <w:spacing w:before="105" w:beforeAutospacing="0" w:after="105" w:afterAutospacing="0" w:line="435" w:lineRule="atLeast"/>
        <w:ind w:left="0" w:leftChars="0" w:firstLine="403" w:firstLineChars="0"/>
        <w:rPr>
          <w:rFonts w:hint="eastAsia" w:asciiTheme="minorEastAsia" w:hAnsiTheme="minorEastAsia" w:eastAsiaTheme="minorEastAsia" w:cstheme="minorEastAsia"/>
          <w:sz w:val="24"/>
          <w:szCs w:val="32"/>
        </w:rPr>
      </w:pP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 xml:space="preserve"> 规格偏差不大于±5%。</w:t>
      </w:r>
      <w:bookmarkStart w:id="32" w:name="_GoBack"/>
      <w:bookmarkEnd w:id="32"/>
    </w:p>
    <w:p w14:paraId="6E857EC1">
      <w:pPr>
        <w:pStyle w:val="3"/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  <w:lang w:val="en-US" w:eastAsia="zh-CN"/>
        </w:rPr>
        <w:t>5</w:t>
      </w:r>
      <w:r>
        <w:rPr>
          <w:rFonts w:hint="eastAsia"/>
          <w:sz w:val="32"/>
          <w:szCs w:val="32"/>
        </w:rPr>
        <w:t>.</w:t>
      </w:r>
      <w:r>
        <w:rPr>
          <w:rFonts w:hint="eastAsia"/>
          <w:sz w:val="32"/>
          <w:szCs w:val="32"/>
          <w:lang w:eastAsia="zh-CN"/>
        </w:rPr>
        <w:t>安全责任</w:t>
      </w:r>
      <w:r>
        <w:rPr>
          <w:rFonts w:hint="eastAsia"/>
          <w:sz w:val="32"/>
          <w:szCs w:val="32"/>
        </w:rPr>
        <w:t>要求</w:t>
      </w:r>
    </w:p>
    <w:p w14:paraId="478C3CE0">
      <w:pPr>
        <w:pageBreakBefore w:val="0"/>
        <w:kinsoku/>
        <w:wordWrap/>
        <w:overflowPunct/>
        <w:autoSpaceDE/>
        <w:autoSpaceDN/>
        <w:bidi w:val="0"/>
        <w:spacing w:line="560" w:lineRule="exact"/>
        <w:ind w:right="0" w:rightChars="0" w:firstLine="480" w:firstLineChars="200"/>
        <w:contextualSpacing/>
        <w:rPr>
          <w:rFonts w:hint="default" w:asciiTheme="minorEastAsia" w:hAnsiTheme="minorEastAsia" w:eastAsiaTheme="minorEastAsia" w:cstheme="minorEastAsia"/>
          <w:kern w:val="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在</w:t>
      </w:r>
      <w:r>
        <w:rPr>
          <w:rFonts w:hint="eastAsia" w:asciiTheme="minorEastAsia" w:hAnsiTheme="minorEastAsia" w:eastAsiaTheme="minorEastAsia" w:cstheme="minorEastAsia"/>
          <w:sz w:val="24"/>
          <w:szCs w:val="32"/>
          <w:lang w:val="en-US" w:eastAsia="zh-CN"/>
        </w:rPr>
        <w:t>AI带电接火机器人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所需材料供应过程中，需要供应符合技术要求、质量要求的优质材料，确保材料满足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质量和安全要求</w:t>
      </w:r>
      <w:r>
        <w:rPr>
          <w:rFonts w:hint="eastAsia" w:asciiTheme="minorEastAsia" w:hAnsiTheme="minorEastAsia" w:eastAsiaTheme="minorEastAsia" w:cstheme="minorEastAsia"/>
          <w:kern w:val="0"/>
          <w:sz w:val="24"/>
          <w:lang w:val="en-US" w:eastAsia="zh-CN"/>
        </w:rPr>
        <w:t>。</w:t>
      </w:r>
    </w:p>
    <w:sectPr>
      <w:headerReference r:id="rId3" w:type="default"/>
      <w:footerReference r:id="rId4" w:type="default"/>
      <w:pgSz w:w="11906" w:h="16838"/>
      <w:pgMar w:top="1670" w:right="1800" w:bottom="1440" w:left="1800" w:header="1135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122A34">
    <w:pPr>
      <w:pStyle w:val="41"/>
      <w:rPr>
        <w:sz w:val="21"/>
        <w:szCs w:val="21"/>
      </w:rPr>
    </w:pPr>
    <w:r>
      <w:rPr>
        <w:rFonts w:hint="eastAsia"/>
      </w:rPr>
      <w:t xml:space="preserve"> </w:t>
    </w:r>
    <w:r>
      <w:t xml:space="preserve">                     </w:t>
    </w:r>
    <w:r>
      <w:rPr>
        <w:sz w:val="21"/>
        <w:szCs w:val="21"/>
      </w:rPr>
      <w:t xml:space="preserve"> </w:t>
    </w:r>
    <w:r>
      <w:rPr>
        <w:sz w:val="21"/>
        <w:szCs w:val="21"/>
        <w:lang w:val="zh-CN"/>
      </w:rPr>
      <w:t xml:space="preserve">~ </w:t>
    </w:r>
    <w:r>
      <w:rPr>
        <w:rFonts w:asciiTheme="minorHAnsi" w:hAnsiTheme="minorHAnsi" w:eastAsiaTheme="minorEastAsia" w:cstheme="minorBidi"/>
        <w:sz w:val="21"/>
        <w:szCs w:val="21"/>
      </w:rPr>
      <w:fldChar w:fldCharType="begin"/>
    </w:r>
    <w:r>
      <w:rPr>
        <w:sz w:val="21"/>
        <w:szCs w:val="21"/>
      </w:rPr>
      <w:instrText xml:space="preserve">PAGE    \* MERGEFORMAT</w:instrText>
    </w:r>
    <w:r>
      <w:rPr>
        <w:rFonts w:asciiTheme="minorHAnsi" w:hAnsiTheme="minorHAnsi" w:eastAsiaTheme="minorEastAsia" w:cstheme="minorBidi"/>
        <w:sz w:val="21"/>
        <w:szCs w:val="21"/>
      </w:rPr>
      <w:fldChar w:fldCharType="separate"/>
    </w:r>
    <w:r>
      <w:rPr>
        <w:sz w:val="21"/>
        <w:szCs w:val="21"/>
        <w:lang w:val="zh-CN"/>
      </w:rPr>
      <w:t>1</w:t>
    </w:r>
    <w:r>
      <w:rPr>
        <w:sz w:val="21"/>
        <w:szCs w:val="21"/>
      </w:rPr>
      <w:fldChar w:fldCharType="end"/>
    </w:r>
    <w:r>
      <w:rPr>
        <w:sz w:val="21"/>
        <w:szCs w:val="21"/>
        <w:lang w:val="zh-CN"/>
      </w:rPr>
      <w:t xml:space="preserve"> ~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B435DF">
    <w:pPr>
      <w:pStyle w:val="1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5CBF1A"/>
    <w:multiLevelType w:val="singleLevel"/>
    <w:tmpl w:val="8A5CBF1A"/>
    <w:lvl w:ilvl="0" w:tentative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6C603DE"/>
    <w:multiLevelType w:val="singleLevel"/>
    <w:tmpl w:val="C6C603DE"/>
    <w:lvl w:ilvl="0" w:tentative="0">
      <w:start w:val="1"/>
      <w:numFmt w:val="decimal"/>
      <w:suff w:val="nothing"/>
      <w:lvlText w:val="4.%1"/>
      <w:lvlJc w:val="left"/>
      <w:pPr>
        <w:ind w:left="0" w:firstLine="403"/>
      </w:pPr>
      <w:rPr>
        <w:rFonts w:hint="default"/>
      </w:rPr>
    </w:lvl>
  </w:abstractNum>
  <w:abstractNum w:abstractNumId="2">
    <w:nsid w:val="00000013"/>
    <w:multiLevelType w:val="multilevel"/>
    <w:tmpl w:val="00000013"/>
    <w:lvl w:ilvl="0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 w:ascii="黑体" w:hAnsi="Times New Roman" w:eastAsia="黑体"/>
        <w:b/>
        <w:i w:val="0"/>
        <w:sz w:val="28"/>
      </w:rPr>
    </w:lvl>
    <w:lvl w:ilvl="1" w:tentative="0">
      <w:start w:val="1"/>
      <w:numFmt w:val="decimal"/>
      <w:pStyle w:val="35"/>
      <w:lvlText w:val="%1%2"/>
      <w:lvlJc w:val="left"/>
      <w:pPr>
        <w:tabs>
          <w:tab w:val="left" w:pos="360"/>
        </w:tabs>
        <w:ind w:left="0" w:firstLine="0"/>
      </w:pPr>
      <w:rPr>
        <w:rFonts w:hint="eastAsia" w:ascii="黑体" w:hAnsi="Times New Roman" w:eastAsia="黑体"/>
        <w:b/>
        <w:i w:val="0"/>
        <w:sz w:val="20"/>
      </w:rPr>
    </w:lvl>
    <w:lvl w:ilvl="2" w:tentative="0">
      <w:start w:val="1"/>
      <w:numFmt w:val="decimal"/>
      <w:pStyle w:val="34"/>
      <w:lvlText w:val="%1%2.%3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3" w:tentative="0">
      <w:start w:val="1"/>
      <w:numFmt w:val="decimal"/>
      <w:lvlText w:val="%1%2.%3.%4"/>
      <w:lvlJc w:val="left"/>
      <w:pPr>
        <w:tabs>
          <w:tab w:val="left" w:pos="72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4" w:tentative="0">
      <w:start w:val="1"/>
      <w:numFmt w:val="decimal"/>
      <w:lvlText w:val="%2.%3.%4.%5"/>
      <w:lvlJc w:val="left"/>
      <w:pPr>
        <w:tabs>
          <w:tab w:val="left" w:pos="108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5" w:tentative="0">
      <w:start w:val="1"/>
      <w:numFmt w:val="decimal"/>
      <w:lvlText w:val="%2.%3.%4.%5.%6"/>
      <w:lvlJc w:val="left"/>
      <w:pPr>
        <w:tabs>
          <w:tab w:val="left" w:pos="1021"/>
        </w:tabs>
        <w:ind w:left="1021" w:hanging="1021"/>
      </w:pPr>
      <w:rPr>
        <w:rFonts w:hint="eastAsia" w:ascii="黑体" w:hAnsi="Times New Roman" w:eastAsia="黑体"/>
        <w:b/>
        <w:i w:val="0"/>
        <w:sz w:val="21"/>
      </w:rPr>
    </w:lvl>
    <w:lvl w:ilvl="6" w:tentative="0">
      <w:start w:val="1"/>
      <w:numFmt w:val="decimal"/>
      <w:lvlRestart w:val="5"/>
      <w:lvlText w:val="%2.%3.%4.%5.%6.%7"/>
      <w:lvlJc w:val="left"/>
      <w:pPr>
        <w:tabs>
          <w:tab w:val="left" w:pos="1440"/>
        </w:tabs>
        <w:ind w:left="0" w:firstLine="0"/>
      </w:pPr>
      <w:rPr>
        <w:rFonts w:hint="eastAsia" w:ascii="黑体" w:hAnsi="Times New Roman" w:eastAsia="黑体"/>
        <w:b/>
        <w:i w:val="0"/>
        <w:sz w:val="21"/>
      </w:rPr>
    </w:lvl>
    <w:lvl w:ilvl="7" w:tentative="0">
      <w:start w:val="1"/>
      <w:numFmt w:val="decimal"/>
      <w:lvlRestart w:val="5"/>
      <w:lvlText w:val="图 %2.0.%5 -%8"/>
      <w:lvlJc w:val="left"/>
      <w:pPr>
        <w:tabs>
          <w:tab w:val="left" w:pos="1440"/>
        </w:tabs>
        <w:ind w:left="0" w:firstLine="0"/>
      </w:pPr>
      <w:rPr>
        <w:rFonts w:hint="eastAsia" w:ascii="黑体" w:eastAsia="黑体"/>
        <w:b/>
        <w:i w:val="0"/>
        <w:sz w:val="21"/>
      </w:rPr>
    </w:lvl>
    <w:lvl w:ilvl="8" w:tentative="0">
      <w:start w:val="1"/>
      <w:numFmt w:val="decimal"/>
      <w:lvlRestart w:val="6"/>
      <w:lvlText w:val="      %9)"/>
      <w:lvlJc w:val="left"/>
      <w:pPr>
        <w:tabs>
          <w:tab w:val="left" w:pos="1080"/>
        </w:tabs>
        <w:ind w:left="0" w:firstLine="0"/>
      </w:pPr>
      <w:rPr>
        <w:rFonts w:hint="eastAsia" w:ascii="黑体" w:hAnsi="华文细黑" w:eastAsia="黑体"/>
        <w:b/>
        <w:i w:val="0"/>
        <w:sz w:val="21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NotTrackMoves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180014"/>
    <w:rsid w:val="000130DC"/>
    <w:rsid w:val="00013BEA"/>
    <w:rsid w:val="00017942"/>
    <w:rsid w:val="0002391A"/>
    <w:rsid w:val="00050526"/>
    <w:rsid w:val="00076B1C"/>
    <w:rsid w:val="00085CFF"/>
    <w:rsid w:val="000A7712"/>
    <w:rsid w:val="000D737C"/>
    <w:rsid w:val="00107F72"/>
    <w:rsid w:val="00132756"/>
    <w:rsid w:val="00172B95"/>
    <w:rsid w:val="001859E9"/>
    <w:rsid w:val="00185AA2"/>
    <w:rsid w:val="001A6D90"/>
    <w:rsid w:val="001C2E12"/>
    <w:rsid w:val="001C72F7"/>
    <w:rsid w:val="001D2314"/>
    <w:rsid w:val="001D3301"/>
    <w:rsid w:val="002100E8"/>
    <w:rsid w:val="00225A3C"/>
    <w:rsid w:val="00247834"/>
    <w:rsid w:val="00262BDA"/>
    <w:rsid w:val="00273884"/>
    <w:rsid w:val="00290A6F"/>
    <w:rsid w:val="00290F7D"/>
    <w:rsid w:val="002A538F"/>
    <w:rsid w:val="002F124B"/>
    <w:rsid w:val="0031179A"/>
    <w:rsid w:val="00347DDA"/>
    <w:rsid w:val="00383BE1"/>
    <w:rsid w:val="00384DA6"/>
    <w:rsid w:val="003A2B05"/>
    <w:rsid w:val="003A5992"/>
    <w:rsid w:val="003B1A44"/>
    <w:rsid w:val="003C0E5F"/>
    <w:rsid w:val="003D2ACE"/>
    <w:rsid w:val="00416E50"/>
    <w:rsid w:val="0042357C"/>
    <w:rsid w:val="004254C0"/>
    <w:rsid w:val="004544A0"/>
    <w:rsid w:val="0048080D"/>
    <w:rsid w:val="004D3D3B"/>
    <w:rsid w:val="004D7F27"/>
    <w:rsid w:val="004E63D7"/>
    <w:rsid w:val="004E6699"/>
    <w:rsid w:val="00541C16"/>
    <w:rsid w:val="005558F8"/>
    <w:rsid w:val="00591249"/>
    <w:rsid w:val="005D5321"/>
    <w:rsid w:val="005F6B46"/>
    <w:rsid w:val="00603106"/>
    <w:rsid w:val="00617DE6"/>
    <w:rsid w:val="00621AF7"/>
    <w:rsid w:val="00692926"/>
    <w:rsid w:val="00694FCF"/>
    <w:rsid w:val="006B0925"/>
    <w:rsid w:val="006B19F7"/>
    <w:rsid w:val="006B1FEE"/>
    <w:rsid w:val="006E0D21"/>
    <w:rsid w:val="006E4024"/>
    <w:rsid w:val="00712AEF"/>
    <w:rsid w:val="007410A1"/>
    <w:rsid w:val="00786671"/>
    <w:rsid w:val="007A14DC"/>
    <w:rsid w:val="007C2DAF"/>
    <w:rsid w:val="007E7481"/>
    <w:rsid w:val="007F34ED"/>
    <w:rsid w:val="007F7D2A"/>
    <w:rsid w:val="0080340F"/>
    <w:rsid w:val="008272FB"/>
    <w:rsid w:val="00840277"/>
    <w:rsid w:val="008463BB"/>
    <w:rsid w:val="008620D3"/>
    <w:rsid w:val="00885ABC"/>
    <w:rsid w:val="008B6C01"/>
    <w:rsid w:val="00903D7C"/>
    <w:rsid w:val="00906157"/>
    <w:rsid w:val="009103FD"/>
    <w:rsid w:val="00941A0A"/>
    <w:rsid w:val="00941E94"/>
    <w:rsid w:val="009505D1"/>
    <w:rsid w:val="00953977"/>
    <w:rsid w:val="00996538"/>
    <w:rsid w:val="009A7DBE"/>
    <w:rsid w:val="009D39F9"/>
    <w:rsid w:val="00A3574F"/>
    <w:rsid w:val="00A41CA2"/>
    <w:rsid w:val="00A43D49"/>
    <w:rsid w:val="00A521AC"/>
    <w:rsid w:val="00A548F0"/>
    <w:rsid w:val="00A6074C"/>
    <w:rsid w:val="00A64A3E"/>
    <w:rsid w:val="00A7401E"/>
    <w:rsid w:val="00AA194B"/>
    <w:rsid w:val="00AC5547"/>
    <w:rsid w:val="00AC5590"/>
    <w:rsid w:val="00AF2444"/>
    <w:rsid w:val="00B40611"/>
    <w:rsid w:val="00B42A4C"/>
    <w:rsid w:val="00B467BA"/>
    <w:rsid w:val="00B53DFC"/>
    <w:rsid w:val="00B560CE"/>
    <w:rsid w:val="00B720C7"/>
    <w:rsid w:val="00B845E1"/>
    <w:rsid w:val="00B93E0E"/>
    <w:rsid w:val="00BE3AF9"/>
    <w:rsid w:val="00BF1ED3"/>
    <w:rsid w:val="00C01920"/>
    <w:rsid w:val="00C0523B"/>
    <w:rsid w:val="00C154B8"/>
    <w:rsid w:val="00C321A1"/>
    <w:rsid w:val="00C734D9"/>
    <w:rsid w:val="00C73B3B"/>
    <w:rsid w:val="00C95E5D"/>
    <w:rsid w:val="00CC6F04"/>
    <w:rsid w:val="00D25086"/>
    <w:rsid w:val="00D25776"/>
    <w:rsid w:val="00D5709A"/>
    <w:rsid w:val="00D8670C"/>
    <w:rsid w:val="00DD1A75"/>
    <w:rsid w:val="00DE46ED"/>
    <w:rsid w:val="00E03840"/>
    <w:rsid w:val="00E04657"/>
    <w:rsid w:val="00E44A4B"/>
    <w:rsid w:val="00E564D4"/>
    <w:rsid w:val="00E66055"/>
    <w:rsid w:val="00E906D3"/>
    <w:rsid w:val="00EA153F"/>
    <w:rsid w:val="00EA2C97"/>
    <w:rsid w:val="00EC7232"/>
    <w:rsid w:val="00ED3B47"/>
    <w:rsid w:val="00ED78D5"/>
    <w:rsid w:val="00EE3C2F"/>
    <w:rsid w:val="00F07E86"/>
    <w:rsid w:val="00F54C14"/>
    <w:rsid w:val="00F75A56"/>
    <w:rsid w:val="00F822B1"/>
    <w:rsid w:val="00F95F26"/>
    <w:rsid w:val="00FD1C84"/>
    <w:rsid w:val="00FE45A4"/>
    <w:rsid w:val="01427513"/>
    <w:rsid w:val="021C1CD1"/>
    <w:rsid w:val="023175F6"/>
    <w:rsid w:val="03472883"/>
    <w:rsid w:val="035A08D4"/>
    <w:rsid w:val="043E60E5"/>
    <w:rsid w:val="044353B7"/>
    <w:rsid w:val="04445771"/>
    <w:rsid w:val="04B16F17"/>
    <w:rsid w:val="04D27709"/>
    <w:rsid w:val="05EB52BE"/>
    <w:rsid w:val="08011098"/>
    <w:rsid w:val="084E378E"/>
    <w:rsid w:val="08A27553"/>
    <w:rsid w:val="09152D91"/>
    <w:rsid w:val="09657434"/>
    <w:rsid w:val="09A228DE"/>
    <w:rsid w:val="0A2B721E"/>
    <w:rsid w:val="0B2240B4"/>
    <w:rsid w:val="0BE36F7D"/>
    <w:rsid w:val="0CE1665B"/>
    <w:rsid w:val="0D8211FB"/>
    <w:rsid w:val="0E5B6A37"/>
    <w:rsid w:val="0EA03C30"/>
    <w:rsid w:val="0ED50EC9"/>
    <w:rsid w:val="0F2B423C"/>
    <w:rsid w:val="11094C8A"/>
    <w:rsid w:val="11EF081B"/>
    <w:rsid w:val="12DA6698"/>
    <w:rsid w:val="137D3964"/>
    <w:rsid w:val="140830E5"/>
    <w:rsid w:val="15813DAC"/>
    <w:rsid w:val="182E08BB"/>
    <w:rsid w:val="185537EF"/>
    <w:rsid w:val="18765555"/>
    <w:rsid w:val="18904609"/>
    <w:rsid w:val="1A4D5C8C"/>
    <w:rsid w:val="1A5A4A7F"/>
    <w:rsid w:val="1A6A5E0F"/>
    <w:rsid w:val="1A8C5B4B"/>
    <w:rsid w:val="1A9B1E8A"/>
    <w:rsid w:val="1B0808B7"/>
    <w:rsid w:val="1BA83F4D"/>
    <w:rsid w:val="1BF4530E"/>
    <w:rsid w:val="1CAA45F0"/>
    <w:rsid w:val="1DDD1B29"/>
    <w:rsid w:val="1FC573ED"/>
    <w:rsid w:val="208206D0"/>
    <w:rsid w:val="21C53406"/>
    <w:rsid w:val="22A9397E"/>
    <w:rsid w:val="235B3C3A"/>
    <w:rsid w:val="23687149"/>
    <w:rsid w:val="23B054A6"/>
    <w:rsid w:val="24F3732E"/>
    <w:rsid w:val="269246A6"/>
    <w:rsid w:val="2B401C9B"/>
    <w:rsid w:val="2B7E2BE1"/>
    <w:rsid w:val="2BA532A3"/>
    <w:rsid w:val="2CAA15D4"/>
    <w:rsid w:val="2D3B59AF"/>
    <w:rsid w:val="2DC85678"/>
    <w:rsid w:val="2DF974B1"/>
    <w:rsid w:val="2E016B8B"/>
    <w:rsid w:val="2E470960"/>
    <w:rsid w:val="2FD44A0C"/>
    <w:rsid w:val="301D1543"/>
    <w:rsid w:val="303C4EDB"/>
    <w:rsid w:val="303E26F6"/>
    <w:rsid w:val="30FC5D3E"/>
    <w:rsid w:val="318B21C8"/>
    <w:rsid w:val="329E24FB"/>
    <w:rsid w:val="32F35A40"/>
    <w:rsid w:val="34236D31"/>
    <w:rsid w:val="34B519E8"/>
    <w:rsid w:val="358B1B13"/>
    <w:rsid w:val="36724472"/>
    <w:rsid w:val="36A66572"/>
    <w:rsid w:val="36CC15FA"/>
    <w:rsid w:val="36F62CDD"/>
    <w:rsid w:val="37D27BEE"/>
    <w:rsid w:val="38865BFA"/>
    <w:rsid w:val="38F3706A"/>
    <w:rsid w:val="391B003F"/>
    <w:rsid w:val="3A5B065E"/>
    <w:rsid w:val="3B241322"/>
    <w:rsid w:val="3BE26D15"/>
    <w:rsid w:val="3CA43677"/>
    <w:rsid w:val="3CA462CE"/>
    <w:rsid w:val="3D5A2083"/>
    <w:rsid w:val="3E257BC1"/>
    <w:rsid w:val="3E8222C8"/>
    <w:rsid w:val="3F303F95"/>
    <w:rsid w:val="40CE3A18"/>
    <w:rsid w:val="42304E6A"/>
    <w:rsid w:val="42FB191D"/>
    <w:rsid w:val="4399424E"/>
    <w:rsid w:val="44B855DE"/>
    <w:rsid w:val="457E4C38"/>
    <w:rsid w:val="479559D1"/>
    <w:rsid w:val="479743D0"/>
    <w:rsid w:val="47FE2438"/>
    <w:rsid w:val="4BFB1865"/>
    <w:rsid w:val="4C423DF2"/>
    <w:rsid w:val="4E3F1601"/>
    <w:rsid w:val="4F02195D"/>
    <w:rsid w:val="4F1E5CBB"/>
    <w:rsid w:val="4FFB11C5"/>
    <w:rsid w:val="50C5099A"/>
    <w:rsid w:val="50DF153C"/>
    <w:rsid w:val="51533282"/>
    <w:rsid w:val="51CE4E43"/>
    <w:rsid w:val="528365E6"/>
    <w:rsid w:val="53877A48"/>
    <w:rsid w:val="56360AFF"/>
    <w:rsid w:val="59303A61"/>
    <w:rsid w:val="594823FB"/>
    <w:rsid w:val="59B74569"/>
    <w:rsid w:val="59FE4F42"/>
    <w:rsid w:val="5A0F163F"/>
    <w:rsid w:val="5B6A0515"/>
    <w:rsid w:val="5BDB1617"/>
    <w:rsid w:val="5CE92A69"/>
    <w:rsid w:val="604C09F6"/>
    <w:rsid w:val="60AA45DA"/>
    <w:rsid w:val="611500E3"/>
    <w:rsid w:val="6284312B"/>
    <w:rsid w:val="63F73F4E"/>
    <w:rsid w:val="644C0D79"/>
    <w:rsid w:val="64AC6EB6"/>
    <w:rsid w:val="65F67B6A"/>
    <w:rsid w:val="663805AA"/>
    <w:rsid w:val="68E618F1"/>
    <w:rsid w:val="69640996"/>
    <w:rsid w:val="6985301C"/>
    <w:rsid w:val="6A12740C"/>
    <w:rsid w:val="6B1B5B89"/>
    <w:rsid w:val="6C071E63"/>
    <w:rsid w:val="6C43179E"/>
    <w:rsid w:val="6DB07F69"/>
    <w:rsid w:val="6DBF2751"/>
    <w:rsid w:val="6E067F3B"/>
    <w:rsid w:val="6E0E18EE"/>
    <w:rsid w:val="6E2340F9"/>
    <w:rsid w:val="6E6764DE"/>
    <w:rsid w:val="6F46306C"/>
    <w:rsid w:val="6FC70BF5"/>
    <w:rsid w:val="7005291A"/>
    <w:rsid w:val="70C81FA4"/>
    <w:rsid w:val="70D215D6"/>
    <w:rsid w:val="70F34F32"/>
    <w:rsid w:val="711A7F46"/>
    <w:rsid w:val="71C80221"/>
    <w:rsid w:val="73357908"/>
    <w:rsid w:val="7485672D"/>
    <w:rsid w:val="74C44169"/>
    <w:rsid w:val="76443671"/>
    <w:rsid w:val="7645082D"/>
    <w:rsid w:val="78163F80"/>
    <w:rsid w:val="7819191E"/>
    <w:rsid w:val="78A97AC0"/>
    <w:rsid w:val="79180014"/>
    <w:rsid w:val="79796385"/>
    <w:rsid w:val="7A514B74"/>
    <w:rsid w:val="7C0C2A5A"/>
    <w:rsid w:val="7D374087"/>
    <w:rsid w:val="7EA412BC"/>
    <w:rsid w:val="7F317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 w:locked="1"/>
    <w:lsdException w:qFormat="1" w:unhideWhenUsed="0" w:uiPriority="99" w:semiHidden="0" w:name="heading 2"/>
    <w:lsdException w:qFormat="1" w:uiPriority="9" w:semiHidden="0" w:name="heading 3" w:locked="1"/>
    <w:lsdException w:qFormat="1" w:uiPriority="9" w:semiHidden="0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 w:locked="1"/>
    <w:lsdException w:uiPriority="99" w:name="footnote text" w:locked="1"/>
    <w:lsdException w:qFormat="1" w:uiPriority="99" w:name="annotation text" w:locked="1"/>
    <w:lsdException w:qFormat="1" w:uiPriority="0" w:semiHidden="0" w:name="header" w:locked="1"/>
    <w:lsdException w:qFormat="1" w:uiPriority="0" w:semiHidden="0" w:name="footer" w:locked="1"/>
    <w:lsdException w:uiPriority="99" w:name="index heading" w:locked="1"/>
    <w:lsdException w:qFormat="1" w:uiPriority="35" w:semiHidden="0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qFormat="1" w:unhideWhenUsed="0" w:uiPriority="0" w:semiHidden="0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semiHidden="0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uiPriority="99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iPriority="99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qFormat="1" w:uiPriority="99" w:semiHidden="0" w:name="Document Map" w:locked="1"/>
    <w:lsdException w:qFormat="1" w:uiPriority="99" w:semiHidden="0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semiHidden="0" w:name="Normal Table"/>
    <w:lsdException w:uiPriority="99" w:name="annotation subject" w:locked="1"/>
    <w:lsdException w:uiPriority="99" w:name="Table Simple 1" w:locked="1"/>
    <w:lsdException w:uiPriority="99" w:name="Table Simple 2" w:locked="1"/>
    <w:lsdException w:uiPriority="99" w:name="Table Simple 3" w:locked="1"/>
    <w:lsdException w:uiPriority="99" w:name="Table Classic 1" w:locked="1"/>
    <w:lsdException w:uiPriority="99" w:name="Table Classic 2" w:locked="1"/>
    <w:lsdException w:uiPriority="99" w:name="Table Classic 3" w:locked="1"/>
    <w:lsdException w:uiPriority="99" w:name="Table Classic 4" w:locked="1"/>
    <w:lsdException w:uiPriority="99" w:name="Table Colorful 1" w:locked="1"/>
    <w:lsdException w:uiPriority="99" w:name="Table Colorful 2" w:locked="1"/>
    <w:lsdException w:uiPriority="99" w:name="Table Colorful 3" w:locked="1"/>
    <w:lsdException w:uiPriority="99" w:name="Table Columns 1" w:locked="1"/>
    <w:lsdException w:uiPriority="99" w:name="Table Columns 2" w:locked="1"/>
    <w:lsdException w:uiPriority="99" w:name="Table Columns 3" w:locked="1"/>
    <w:lsdException w:uiPriority="99" w:name="Table Columns 4" w:locked="1"/>
    <w:lsdException w:uiPriority="99" w:name="Table Columns 5" w:locked="1"/>
    <w:lsdException w:uiPriority="99" w:name="Table Grid 1" w:locked="1"/>
    <w:lsdException w:uiPriority="99" w:name="Table Grid 2" w:locked="1"/>
    <w:lsdException w:uiPriority="99" w:name="Table Grid 3" w:locked="1"/>
    <w:lsdException w:uiPriority="99" w:name="Table Grid 4" w:locked="1"/>
    <w:lsdException w:uiPriority="99" w:name="Table Grid 5" w:locked="1"/>
    <w:lsdException w:uiPriority="99" w:name="Table Grid 6" w:locked="1"/>
    <w:lsdException w:uiPriority="99" w:name="Table Grid 7" w:locked="1"/>
    <w:lsdException w:uiPriority="99" w:name="Table Grid 8" w:locked="1"/>
    <w:lsdException w:uiPriority="99" w:name="Table List 1" w:locked="1"/>
    <w:lsdException w:uiPriority="99" w:name="Table List 2" w:locked="1"/>
    <w:lsdException w:uiPriority="99" w:name="Table List 3" w:locked="1"/>
    <w:lsdException w:uiPriority="99" w:name="Table List 4" w:locked="1"/>
    <w:lsdException w:uiPriority="99" w:name="Table List 5" w:locked="1"/>
    <w:lsdException w:uiPriority="99" w:name="Table List 6" w:locked="1"/>
    <w:lsdException w:uiPriority="99" w:name="Table List 7" w:locked="1"/>
    <w:lsdException w:uiPriority="99" w:name="Table List 8" w:locked="1"/>
    <w:lsdException w:uiPriority="99" w:name="Table 3D effects 1" w:locked="1"/>
    <w:lsdException w:uiPriority="99" w:name="Table 3D effects 2" w:locked="1"/>
    <w:lsdException w:uiPriority="99" w:name="Table 3D effects 3" w:locked="1"/>
    <w:lsdException w:uiPriority="99" w:name="Table Contemporary" w:locked="1"/>
    <w:lsdException w:uiPriority="99" w:name="Table Elegant" w:locked="1"/>
    <w:lsdException w:uiPriority="99" w:name="Table Professional" w:locked="1"/>
    <w:lsdException w:uiPriority="99" w:name="Table Subtle 1" w:locked="1"/>
    <w:lsdException w:uiPriority="99" w:name="Table Subtle 2" w:locked="1"/>
    <w:lsdException w:uiPriority="99" w:name="Table Web 1" w:locked="1"/>
    <w:lsdException w:uiPriority="99" w:name="Table Web 2" w:locked="1"/>
    <w:lsdException w:uiPriority="99" w:name="Table Web 3" w:locked="1"/>
    <w:lsdException w:qFormat="1" w:uiPriority="99" w:semiHidden="0" w:name="Balloon Text" w:locked="1"/>
    <w:lsdException w:qFormat="1" w:unhideWhenUsed="0" w:uiPriority="0" w:semiHidden="0" w:name="Table Grid" w:locked="1"/>
    <w:lsdException w:uiPriority="99" w:name="Table Theme" w:locked="1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9"/>
    <w:pPr>
      <w:keepNext/>
      <w:keepLines/>
      <w:spacing w:before="240" w:after="120" w:line="420" w:lineRule="auto"/>
      <w:jc w:val="left"/>
      <w:outlineLvl w:val="0"/>
    </w:pPr>
    <w:rPr>
      <w:rFonts w:ascii="宋体" w:hAnsi="宋体" w:cs="宋体"/>
      <w:b/>
      <w:sz w:val="24"/>
      <w:szCs w:val="21"/>
    </w:rPr>
  </w:style>
  <w:style w:type="paragraph" w:styleId="4">
    <w:name w:val="heading 2"/>
    <w:basedOn w:val="1"/>
    <w:next w:val="1"/>
    <w:link w:val="28"/>
    <w:qFormat/>
    <w:uiPriority w:val="99"/>
    <w:pPr>
      <w:spacing w:beforeLines="50" w:afterLines="50"/>
      <w:jc w:val="left"/>
      <w:outlineLvl w:val="1"/>
    </w:pPr>
    <w:rPr>
      <w:rFonts w:ascii="宋体" w:hAnsi="宋体"/>
      <w:b/>
      <w:kern w:val="0"/>
      <w:sz w:val="36"/>
      <w:szCs w:val="36"/>
    </w:rPr>
  </w:style>
  <w:style w:type="paragraph" w:styleId="2">
    <w:name w:val="heading 3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720"/>
      </w:tabs>
      <w:spacing w:line="413" w:lineRule="auto"/>
      <w:outlineLvl w:val="2"/>
    </w:pPr>
    <w:rPr>
      <w:rFonts w:ascii="Times New Roman" w:hAnsi="Times New Roman" w:eastAsia="黑体"/>
      <w:b/>
      <w:szCs w:val="20"/>
    </w:rPr>
  </w:style>
  <w:style w:type="paragraph" w:styleId="5">
    <w:name w:val="heading 4"/>
    <w:basedOn w:val="1"/>
    <w:next w:val="1"/>
    <w:unhideWhenUsed/>
    <w:qFormat/>
    <w:locked/>
    <w:uiPriority w:val="9"/>
    <w:pPr>
      <w:keepNext/>
      <w:keepLines/>
      <w:tabs>
        <w:tab w:val="left" w:pos="432"/>
        <w:tab w:val="left" w:pos="864"/>
      </w:tabs>
      <w:spacing w:line="372" w:lineRule="auto"/>
      <w:ind w:left="864" w:hanging="864"/>
      <w:outlineLvl w:val="3"/>
    </w:pPr>
    <w:rPr>
      <w:rFonts w:ascii="Arial" w:hAnsi="Arial" w:eastAsia="黑体"/>
      <w:szCs w:val="20"/>
    </w:rPr>
  </w:style>
  <w:style w:type="character" w:default="1" w:styleId="25">
    <w:name w:val="Default Paragraph Font"/>
    <w:unhideWhenUsed/>
    <w:qFormat/>
    <w:uiPriority w:val="1"/>
  </w:style>
  <w:style w:type="table" w:default="1" w:styleId="2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7"/>
    <w:basedOn w:val="1"/>
    <w:next w:val="1"/>
    <w:qFormat/>
    <w:uiPriority w:val="39"/>
    <w:pPr>
      <w:ind w:left="2520" w:leftChars="1200"/>
    </w:pPr>
  </w:style>
  <w:style w:type="paragraph" w:styleId="7">
    <w:name w:val="Normal Indent"/>
    <w:basedOn w:val="1"/>
    <w:qFormat/>
    <w:locked/>
    <w:uiPriority w:val="0"/>
    <w:pPr>
      <w:ind w:firstLine="420" w:firstLineChars="200"/>
    </w:pPr>
  </w:style>
  <w:style w:type="paragraph" w:styleId="8">
    <w:name w:val="caption"/>
    <w:basedOn w:val="1"/>
    <w:next w:val="1"/>
    <w:unhideWhenUsed/>
    <w:qFormat/>
    <w:locked/>
    <w:uiPriority w:val="35"/>
    <w:rPr>
      <w:rFonts w:eastAsia="黑体" w:asciiTheme="majorHAnsi" w:hAnsiTheme="majorHAnsi" w:cstheme="majorBidi"/>
      <w:sz w:val="20"/>
      <w:szCs w:val="20"/>
    </w:rPr>
  </w:style>
  <w:style w:type="paragraph" w:styleId="9">
    <w:name w:val="Document Map"/>
    <w:basedOn w:val="1"/>
    <w:link w:val="45"/>
    <w:unhideWhenUsed/>
    <w:qFormat/>
    <w:locked/>
    <w:uiPriority w:val="99"/>
    <w:rPr>
      <w:rFonts w:ascii="宋体"/>
      <w:sz w:val="18"/>
      <w:szCs w:val="18"/>
    </w:rPr>
  </w:style>
  <w:style w:type="paragraph" w:styleId="10">
    <w:name w:val="annotation text"/>
    <w:basedOn w:val="1"/>
    <w:semiHidden/>
    <w:unhideWhenUsed/>
    <w:qFormat/>
    <w:locked/>
    <w:uiPriority w:val="99"/>
    <w:pPr>
      <w:jc w:val="left"/>
    </w:pPr>
  </w:style>
  <w:style w:type="paragraph" w:styleId="11">
    <w:name w:val="toc 5"/>
    <w:basedOn w:val="1"/>
    <w:next w:val="1"/>
    <w:qFormat/>
    <w:uiPriority w:val="39"/>
    <w:pPr>
      <w:ind w:left="1680" w:leftChars="800"/>
    </w:pPr>
  </w:style>
  <w:style w:type="paragraph" w:styleId="12">
    <w:name w:val="toc 3"/>
    <w:basedOn w:val="1"/>
    <w:next w:val="1"/>
    <w:qFormat/>
    <w:uiPriority w:val="39"/>
    <w:pPr>
      <w:ind w:left="840" w:leftChars="400"/>
    </w:pPr>
  </w:style>
  <w:style w:type="paragraph" w:styleId="13">
    <w:name w:val="Plain Text"/>
    <w:basedOn w:val="1"/>
    <w:unhideWhenUsed/>
    <w:qFormat/>
    <w:locked/>
    <w:uiPriority w:val="99"/>
    <w:rPr>
      <w:rFonts w:ascii="宋体" w:hAnsi="Courier New"/>
      <w:szCs w:val="20"/>
    </w:rPr>
  </w:style>
  <w:style w:type="paragraph" w:styleId="14">
    <w:name w:val="toc 8"/>
    <w:basedOn w:val="1"/>
    <w:next w:val="1"/>
    <w:qFormat/>
    <w:uiPriority w:val="39"/>
    <w:pPr>
      <w:ind w:left="2940" w:leftChars="1400"/>
    </w:pPr>
  </w:style>
  <w:style w:type="paragraph" w:styleId="15">
    <w:name w:val="Balloon Text"/>
    <w:basedOn w:val="1"/>
    <w:link w:val="42"/>
    <w:unhideWhenUsed/>
    <w:qFormat/>
    <w:locked/>
    <w:uiPriority w:val="99"/>
    <w:rPr>
      <w:sz w:val="18"/>
      <w:szCs w:val="18"/>
    </w:rPr>
  </w:style>
  <w:style w:type="paragraph" w:styleId="16">
    <w:name w:val="footer"/>
    <w:basedOn w:val="1"/>
    <w:link w:val="29"/>
    <w:unhideWhenUsed/>
    <w:qFormat/>
    <w:locked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7">
    <w:name w:val="header"/>
    <w:basedOn w:val="1"/>
    <w:link w:val="30"/>
    <w:unhideWhenUsed/>
    <w:qFormat/>
    <w:locked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8">
    <w:name w:val="toc 1"/>
    <w:basedOn w:val="1"/>
    <w:next w:val="1"/>
    <w:qFormat/>
    <w:uiPriority w:val="39"/>
    <w:pPr>
      <w:spacing w:line="360" w:lineRule="auto"/>
    </w:pPr>
    <w:rPr>
      <w:b/>
      <w:sz w:val="24"/>
    </w:rPr>
  </w:style>
  <w:style w:type="paragraph" w:styleId="19">
    <w:name w:val="toc 4"/>
    <w:basedOn w:val="1"/>
    <w:next w:val="1"/>
    <w:qFormat/>
    <w:uiPriority w:val="39"/>
    <w:pPr>
      <w:ind w:left="1260" w:leftChars="600"/>
    </w:pPr>
  </w:style>
  <w:style w:type="paragraph" w:styleId="20">
    <w:name w:val="toc 6"/>
    <w:basedOn w:val="1"/>
    <w:next w:val="1"/>
    <w:qFormat/>
    <w:uiPriority w:val="39"/>
    <w:pPr>
      <w:ind w:left="2100" w:leftChars="1000"/>
    </w:pPr>
  </w:style>
  <w:style w:type="paragraph" w:styleId="21">
    <w:name w:val="toc 2"/>
    <w:basedOn w:val="1"/>
    <w:next w:val="1"/>
    <w:qFormat/>
    <w:uiPriority w:val="39"/>
    <w:pPr>
      <w:ind w:left="420" w:leftChars="200"/>
    </w:pPr>
    <w:rPr>
      <w:b/>
      <w:sz w:val="24"/>
    </w:rPr>
  </w:style>
  <w:style w:type="paragraph" w:styleId="22">
    <w:name w:val="toc 9"/>
    <w:basedOn w:val="1"/>
    <w:next w:val="1"/>
    <w:qFormat/>
    <w:uiPriority w:val="39"/>
    <w:pPr>
      <w:ind w:left="3360" w:leftChars="1600"/>
    </w:pPr>
  </w:style>
  <w:style w:type="table" w:styleId="24">
    <w:name w:val="Table Grid"/>
    <w:basedOn w:val="23"/>
    <w:qFormat/>
    <w:locked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6">
    <w:name w:val="page number"/>
    <w:basedOn w:val="25"/>
    <w:qFormat/>
    <w:locked/>
    <w:uiPriority w:val="0"/>
  </w:style>
  <w:style w:type="character" w:styleId="27">
    <w:name w:val="Hyperlink"/>
    <w:basedOn w:val="25"/>
    <w:unhideWhenUsed/>
    <w:qFormat/>
    <w:lock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8">
    <w:name w:val="标题 2 Char"/>
    <w:link w:val="4"/>
    <w:qFormat/>
    <w:locked/>
    <w:uiPriority w:val="99"/>
    <w:rPr>
      <w:rFonts w:ascii="宋体" w:hAnsi="宋体"/>
      <w:b/>
      <w:sz w:val="36"/>
      <w:szCs w:val="36"/>
    </w:rPr>
  </w:style>
  <w:style w:type="character" w:customStyle="1" w:styleId="29">
    <w:name w:val="页脚 Char"/>
    <w:link w:val="16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30">
    <w:name w:val="页眉 Char"/>
    <w:link w:val="17"/>
    <w:qFormat/>
    <w:uiPriority w:val="99"/>
    <w:rPr>
      <w:rFonts w:ascii="Calibri" w:hAnsi="Calibri"/>
      <w:kern w:val="2"/>
      <w:sz w:val="18"/>
      <w:szCs w:val="24"/>
    </w:rPr>
  </w:style>
  <w:style w:type="paragraph" w:customStyle="1" w:styleId="31">
    <w:name w:val="TOC 标题1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32"/>
      <w:szCs w:val="32"/>
    </w:rPr>
  </w:style>
  <w:style w:type="paragraph" w:customStyle="1" w:styleId="32">
    <w:name w:val="列出段落1"/>
    <w:basedOn w:val="1"/>
    <w:qFormat/>
    <w:uiPriority w:val="34"/>
    <w:pPr>
      <w:ind w:firstLine="420" w:firstLineChars="200"/>
    </w:pPr>
  </w:style>
  <w:style w:type="paragraph" w:customStyle="1" w:styleId="33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34">
    <w:name w:val="一级条标题"/>
    <w:basedOn w:val="35"/>
    <w:next w:val="36"/>
    <w:qFormat/>
    <w:uiPriority w:val="0"/>
    <w:pPr>
      <w:numPr>
        <w:ilvl w:val="2"/>
      </w:num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35">
    <w:name w:val="章标题"/>
    <w:next w:val="36"/>
    <w:qFormat/>
    <w:uiPriority w:val="0"/>
    <w:pPr>
      <w:numPr>
        <w:ilvl w:val="1"/>
        <w:numId w:val="1"/>
      </w:numPr>
      <w:tabs>
        <w:tab w:val="left" w:pos="420"/>
        <w:tab w:val="clear" w:pos="360"/>
      </w:tabs>
      <w:spacing w:beforeLines="50" w:afterLines="5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36">
    <w:name w:val="段"/>
    <w:link w:val="44"/>
    <w:qFormat/>
    <w:uiPriority w:val="99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37">
    <w:name w:val="表题 + (西文) 宋体 Char Char Char Char Char Char Char Char"/>
    <w:link w:val="38"/>
    <w:qFormat/>
    <w:uiPriority w:val="0"/>
    <w:rPr>
      <w:rFonts w:hAnsi="宋体" w:eastAsia="黑体" w:cstheme="minorBidi"/>
      <w:szCs w:val="22"/>
    </w:rPr>
  </w:style>
  <w:style w:type="paragraph" w:customStyle="1" w:styleId="38">
    <w:name w:val="表题 + (西文) 宋体 Char Char Char Char Char Char Char"/>
    <w:basedOn w:val="8"/>
    <w:link w:val="37"/>
    <w:qFormat/>
    <w:uiPriority w:val="0"/>
    <w:pPr>
      <w:adjustRightInd w:val="0"/>
      <w:spacing w:before="120" w:after="120" w:line="320" w:lineRule="exact"/>
      <w:jc w:val="center"/>
      <w:textAlignment w:val="baseline"/>
    </w:pPr>
    <w:rPr>
      <w:rFonts w:hAnsi="宋体" w:cstheme="minorBidi"/>
      <w:szCs w:val="22"/>
    </w:rPr>
  </w:style>
  <w:style w:type="character" w:customStyle="1" w:styleId="39">
    <w:name w:val="font01"/>
    <w:basedOn w:val="2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40">
    <w:name w:val="列出段落2"/>
    <w:basedOn w:val="1"/>
    <w:qFormat/>
    <w:uiPriority w:val="99"/>
    <w:pPr>
      <w:ind w:firstLine="420" w:firstLineChars="200"/>
    </w:pPr>
  </w:style>
  <w:style w:type="paragraph" w:customStyle="1" w:styleId="41">
    <w:name w:val="TOC 标题2"/>
    <w:basedOn w:val="3"/>
    <w:next w:val="1"/>
    <w:unhideWhenUsed/>
    <w:qFormat/>
    <w:uiPriority w:val="39"/>
    <w:pPr>
      <w:widowControl/>
      <w:spacing w:after="0" w:line="259" w:lineRule="auto"/>
      <w:outlineLvl w:val="9"/>
    </w:pPr>
    <w:rPr>
      <w:rFonts w:asciiTheme="majorHAnsi" w:hAnsiTheme="majorHAnsi" w:eastAsiaTheme="majorEastAsia" w:cstheme="majorBidi"/>
      <w:b w:val="0"/>
      <w:color w:val="376092" w:themeColor="accent1" w:themeShade="BF"/>
      <w:kern w:val="0"/>
      <w:sz w:val="32"/>
      <w:szCs w:val="32"/>
    </w:rPr>
  </w:style>
  <w:style w:type="character" w:customStyle="1" w:styleId="42">
    <w:name w:val="批注框文本 Char"/>
    <w:basedOn w:val="25"/>
    <w:link w:val="15"/>
    <w:semiHidden/>
    <w:qFormat/>
    <w:uiPriority w:val="99"/>
    <w:rPr>
      <w:rFonts w:ascii="Calibri" w:hAnsi="Calibri"/>
      <w:kern w:val="2"/>
      <w:sz w:val="18"/>
      <w:szCs w:val="18"/>
    </w:rPr>
  </w:style>
  <w:style w:type="paragraph" w:customStyle="1" w:styleId="43">
    <w:name w:val="字母编号列项（一级）"/>
    <w:qFormat/>
    <w:uiPriority w:val="0"/>
    <w:pPr>
      <w:tabs>
        <w:tab w:val="left" w:pos="840"/>
      </w:tabs>
      <w:ind w:left="31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44">
    <w:name w:val="段 Char"/>
    <w:link w:val="36"/>
    <w:qFormat/>
    <w:uiPriority w:val="99"/>
    <w:rPr>
      <w:rFonts w:ascii="宋体"/>
      <w:sz w:val="21"/>
    </w:rPr>
  </w:style>
  <w:style w:type="character" w:customStyle="1" w:styleId="45">
    <w:name w:val="文档结构图 Char"/>
    <w:basedOn w:val="25"/>
    <w:link w:val="9"/>
    <w:semiHidden/>
    <w:qFormat/>
    <w:uiPriority w:val="99"/>
    <w:rPr>
      <w:rFonts w:ascii="宋体" w:hAnsi="Calibri"/>
      <w:kern w:val="2"/>
      <w:sz w:val="18"/>
      <w:szCs w:val="18"/>
    </w:rPr>
  </w:style>
  <w:style w:type="paragraph" w:customStyle="1" w:styleId="46">
    <w:name w:val="marklang-paragraph"/>
    <w:basedOn w:val="1"/>
    <w:qFormat/>
    <w:uiPriority w:val="0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</w:rPr>
  </w:style>
  <w:style w:type="paragraph" w:customStyle="1" w:styleId="47">
    <w:name w:val="首行缩进"/>
    <w:basedOn w:val="1"/>
    <w:qFormat/>
    <w:uiPriority w:val="0"/>
    <w:pPr>
      <w:spacing w:line="300" w:lineRule="auto"/>
      <w:ind w:firstLine="420" w:firstLineChars="200"/>
    </w:pPr>
    <w:rPr>
      <w:rFonts w:eastAsia="方正书宋简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D87A2-F2D6-4812-9D52-4B228576FF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</Pages>
  <Words>630</Words>
  <Characters>674</Characters>
  <Lines>53</Lines>
  <Paragraphs>15</Paragraphs>
  <TotalTime>7</TotalTime>
  <ScaleCrop>false</ScaleCrop>
  <LinksUpToDate>false</LinksUpToDate>
  <CharactersWithSpaces>687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2018-09-26T02:24:00Z</dcterms:created>
  <dc:creator>emmy810</dc:creator>
  <cp:lastModifiedBy>葡萄串子</cp:lastModifiedBy>
  <dcterms:modified xsi:type="dcterms:W3CDTF">2025-12-22T12:18:24Z</dcterms:modified>
  <cp:revision>39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039F91517F4C4512AAF4795A97C7A6D4</vt:lpwstr>
  </property>
  <property fmtid="{D5CDD505-2E9C-101B-9397-08002B2CF9AE}" pid="4" name="KSOTemplateDocerSaveRecord">
    <vt:lpwstr>eyJoZGlkIjoiMDljYzUzMWQ4OWI0YzBkYjYzMDRhZTY5ZjZkYmFmYTgiLCJ1c2VySWQiOiIxMTc5MjM4MTE1In0=</vt:lpwstr>
  </property>
</Properties>
</file>