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374B7">
      <w:pPr>
        <w:spacing w:line="360" w:lineRule="auto"/>
      </w:pPr>
      <w:r>
        <w:drawing>
          <wp:anchor distT="0" distB="0" distL="114300" distR="114300" simplePos="0" relativeHeight="251664384" behindDoc="0" locked="0" layoutInCell="1" allowOverlap="1">
            <wp:simplePos x="0" y="0"/>
            <wp:positionH relativeFrom="column">
              <wp:posOffset>-819785</wp:posOffset>
            </wp:positionH>
            <wp:positionV relativeFrom="paragraph">
              <wp:posOffset>-994410</wp:posOffset>
            </wp:positionV>
            <wp:extent cx="7620000" cy="2876550"/>
            <wp:effectExtent l="0" t="0" r="0" b="0"/>
            <wp:wrapNone/>
            <wp:docPr id="125565"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65" name="图片 1" descr="模板-3"/>
                    <pic:cNvPicPr>
                      <a:picLocks noChangeAspect="1"/>
                    </pic:cNvPicPr>
                  </pic:nvPicPr>
                  <pic:blipFill>
                    <a:blip r:embed="rId5"/>
                    <a:stretch>
                      <a:fillRect/>
                    </a:stretch>
                  </pic:blipFill>
                  <pic:spPr>
                    <a:xfrm>
                      <a:off x="0" y="0"/>
                      <a:ext cx="7620000" cy="2876550"/>
                    </a:xfrm>
                    <a:prstGeom prst="rect">
                      <a:avLst/>
                    </a:prstGeom>
                    <a:noFill/>
                  </pic:spPr>
                </pic:pic>
              </a:graphicData>
            </a:graphic>
          </wp:anchor>
        </w:drawing>
      </w:r>
    </w:p>
    <w:p w14:paraId="7A3AEBF6">
      <w:pPr>
        <w:spacing w:line="360" w:lineRule="auto"/>
      </w:pPr>
    </w:p>
    <w:p w14:paraId="2B0A968F">
      <w:pPr>
        <w:spacing w:line="360" w:lineRule="auto"/>
      </w:pPr>
    </w:p>
    <w:p w14:paraId="0FC7819A">
      <w:pPr>
        <w:spacing w:line="360" w:lineRule="auto"/>
      </w:pPr>
    </w:p>
    <w:p w14:paraId="58C66263">
      <w:pPr>
        <w:spacing w:line="360" w:lineRule="auto"/>
      </w:pPr>
    </w:p>
    <w:p w14:paraId="1C553459">
      <w:pPr>
        <w:spacing w:line="360" w:lineRule="auto"/>
      </w:pPr>
    </w:p>
    <w:p w14:paraId="1E04B96E">
      <w:pPr>
        <w:spacing w:line="360" w:lineRule="auto"/>
      </w:pPr>
    </w:p>
    <w:p w14:paraId="18DD4B50">
      <w:pPr>
        <w:spacing w:line="360" w:lineRule="auto"/>
        <w:jc w:val="center"/>
        <w:outlineLvl w:val="0"/>
        <w:rPr>
          <w:rFonts w:hint="eastAsia" w:ascii="宋体" w:hAnsi="宋体" w:eastAsia="宋体"/>
          <w:b/>
          <w:sz w:val="52"/>
          <w:szCs w:val="52"/>
          <w:lang w:eastAsia="zh-CN"/>
        </w:rPr>
      </w:pPr>
      <w:r>
        <w:rPr>
          <w:rFonts w:hint="eastAsia" w:ascii="宋体" w:hAnsi="宋体"/>
          <w:b/>
          <w:sz w:val="52"/>
          <w:szCs w:val="52"/>
        </w:rPr>
        <w:t>南方电网储能股份有限公司西部检修试验分公司202</w:t>
      </w:r>
      <w:r>
        <w:rPr>
          <w:rFonts w:hint="eastAsia" w:ascii="宋体" w:hAnsi="宋体"/>
          <w:b/>
          <w:sz w:val="52"/>
          <w:szCs w:val="52"/>
          <w:lang w:val="en-US" w:eastAsia="zh-CN"/>
        </w:rPr>
        <w:t>6</w:t>
      </w:r>
      <w:r>
        <w:rPr>
          <w:rFonts w:hint="eastAsia" w:ascii="宋体" w:hAnsi="宋体"/>
          <w:b/>
          <w:sz w:val="52"/>
          <w:szCs w:val="52"/>
        </w:rPr>
        <w:t>年聘请法律顾问</w:t>
      </w:r>
      <w:r>
        <w:rPr>
          <w:rFonts w:hint="eastAsia" w:ascii="宋体" w:hAnsi="宋体"/>
          <w:b/>
          <w:sz w:val="52"/>
          <w:szCs w:val="52"/>
          <w:lang w:val="en-US" w:eastAsia="zh-CN"/>
        </w:rPr>
        <w:t>服务</w:t>
      </w:r>
    </w:p>
    <w:p w14:paraId="58C032FD">
      <w:pPr>
        <w:spacing w:line="360" w:lineRule="auto"/>
        <w:jc w:val="center"/>
        <w:outlineLvl w:val="0"/>
        <w:rPr>
          <w:rFonts w:ascii="宋体" w:hAnsi="宋体"/>
          <w:b/>
          <w:sz w:val="52"/>
          <w:szCs w:val="52"/>
        </w:rPr>
      </w:pPr>
    </w:p>
    <w:p w14:paraId="114CDDF9">
      <w:pPr>
        <w:spacing w:line="360" w:lineRule="auto"/>
        <w:jc w:val="center"/>
        <w:outlineLvl w:val="0"/>
        <w:rPr>
          <w:rFonts w:ascii="宋体" w:hAnsi="宋体"/>
          <w:b/>
          <w:sz w:val="72"/>
          <w:szCs w:val="72"/>
        </w:rPr>
      </w:pPr>
    </w:p>
    <w:p w14:paraId="0330AE04">
      <w:pPr>
        <w:spacing w:line="360" w:lineRule="auto"/>
        <w:jc w:val="center"/>
        <w:outlineLvl w:val="0"/>
        <w:rPr>
          <w:rFonts w:ascii="宋体" w:hAnsi="宋体"/>
          <w:b/>
          <w:sz w:val="52"/>
          <w:szCs w:val="52"/>
        </w:rPr>
      </w:pPr>
      <w:r>
        <w:rPr>
          <w:rFonts w:hint="eastAsia" w:ascii="宋体" w:hAnsi="宋体"/>
          <w:b/>
          <w:sz w:val="52"/>
          <w:szCs w:val="52"/>
        </w:rPr>
        <w:t>服务技术规范书</w:t>
      </w:r>
    </w:p>
    <w:p w14:paraId="412C6524">
      <w:pPr>
        <w:spacing w:line="360" w:lineRule="auto"/>
        <w:jc w:val="center"/>
        <w:rPr>
          <w:rFonts w:ascii="宋体" w:hAnsi="宋体"/>
          <w:i/>
          <w:color w:val="0070C0"/>
          <w:sz w:val="24"/>
          <w:szCs w:val="24"/>
        </w:rPr>
      </w:pPr>
    </w:p>
    <w:p w14:paraId="6DDB21CD">
      <w:pPr>
        <w:spacing w:line="360" w:lineRule="auto"/>
        <w:ind w:left="-1" w:leftChars="-85" w:right="-263" w:rightChars="-125" w:hanging="177" w:hangingChars="34"/>
        <w:jc w:val="center"/>
        <w:rPr>
          <w:rFonts w:ascii="宋体" w:hAnsi="宋体"/>
          <w:b/>
          <w:sz w:val="52"/>
          <w:szCs w:val="52"/>
        </w:rPr>
      </w:pPr>
    </w:p>
    <w:p w14:paraId="40F94810">
      <w:pPr>
        <w:spacing w:line="360" w:lineRule="auto"/>
        <w:jc w:val="center"/>
        <w:rPr>
          <w:rFonts w:eastAsia="楷体_GB2312"/>
          <w:sz w:val="32"/>
          <w:szCs w:val="32"/>
        </w:rPr>
      </w:pPr>
    </w:p>
    <w:p w14:paraId="1A711279">
      <w:pPr>
        <w:spacing w:line="360" w:lineRule="auto"/>
        <w:jc w:val="center"/>
        <w:rPr>
          <w:rFonts w:eastAsia="楷体_GB2312"/>
          <w:sz w:val="32"/>
          <w:szCs w:val="32"/>
        </w:rPr>
      </w:pPr>
    </w:p>
    <w:p w14:paraId="04BA27BA">
      <w:pPr>
        <w:spacing w:line="360" w:lineRule="auto"/>
        <w:jc w:val="center"/>
        <w:rPr>
          <w:rFonts w:eastAsia="楷体_GB2312"/>
          <w:sz w:val="32"/>
          <w:szCs w:val="32"/>
        </w:rPr>
      </w:pPr>
    </w:p>
    <w:p w14:paraId="0A4C2EE7">
      <w:pPr>
        <w:spacing w:line="360" w:lineRule="auto"/>
        <w:jc w:val="center"/>
        <w:rPr>
          <w:rFonts w:eastAsia="楷体_GB2312"/>
          <w:sz w:val="32"/>
          <w:szCs w:val="32"/>
        </w:rPr>
      </w:pPr>
    </w:p>
    <w:p w14:paraId="16082394">
      <w:pPr>
        <w:spacing w:line="360" w:lineRule="auto"/>
        <w:jc w:val="center"/>
        <w:rPr>
          <w:rFonts w:ascii="宋体" w:hAnsi="宋体"/>
          <w:b/>
          <w:sz w:val="36"/>
          <w:szCs w:val="36"/>
        </w:rPr>
      </w:pPr>
      <w:r>
        <w:rPr>
          <w:rFonts w:hint="eastAsia" w:ascii="宋体" w:hAnsi="宋体"/>
          <w:b/>
          <w:sz w:val="36"/>
          <w:szCs w:val="36"/>
        </w:rPr>
        <w:t>202</w:t>
      </w:r>
      <w:r>
        <w:rPr>
          <w:rFonts w:hint="eastAsia" w:ascii="宋体" w:hAnsi="宋体"/>
          <w:b/>
          <w:sz w:val="36"/>
          <w:szCs w:val="36"/>
          <w:lang w:val="en-US" w:eastAsia="zh-CN"/>
        </w:rPr>
        <w:t>5</w:t>
      </w:r>
      <w:r>
        <w:rPr>
          <w:rFonts w:hint="eastAsia" w:ascii="宋体" w:hAnsi="宋体"/>
          <w:b/>
          <w:sz w:val="36"/>
          <w:szCs w:val="36"/>
        </w:rPr>
        <w:t>年12月</w:t>
      </w:r>
    </w:p>
    <w:p w14:paraId="2E8B23F0">
      <w:pPr>
        <w:pStyle w:val="18"/>
        <w:spacing w:line="360" w:lineRule="auto"/>
        <w:ind w:left="425" w:firstLine="0" w:firstLineChars="0"/>
        <w:rPr>
          <w:b/>
          <w:sz w:val="28"/>
          <w:szCs w:val="28"/>
        </w:rPr>
      </w:pPr>
      <w:r>
        <w:br w:type="page"/>
      </w:r>
      <w:r>
        <w:rPr>
          <w:rFonts w:hint="eastAsia" w:ascii="宋体" w:hAnsi="宋体"/>
          <w:b/>
          <w:sz w:val="28"/>
          <w:szCs w:val="28"/>
        </w:rPr>
        <w:t>一、</w:t>
      </w:r>
      <w:r>
        <w:rPr>
          <w:rFonts w:ascii="宋体" w:hAnsi="宋体"/>
          <w:b/>
          <w:sz w:val="28"/>
          <w:szCs w:val="28"/>
        </w:rPr>
        <w:t>总则</w:t>
      </w:r>
    </w:p>
    <w:p w14:paraId="7494E17F">
      <w:pPr>
        <w:pStyle w:val="18"/>
        <w:numPr>
          <w:ilvl w:val="0"/>
          <w:numId w:val="4"/>
        </w:numPr>
        <w:adjustRightInd w:val="0"/>
        <w:snapToGrid w:val="0"/>
        <w:spacing w:line="480" w:lineRule="auto"/>
        <w:ind w:firstLine="480"/>
        <w:jc w:val="left"/>
        <w:rPr>
          <w:rFonts w:ascii="宋体" w:hAnsi="宋体"/>
          <w:sz w:val="24"/>
          <w:szCs w:val="24"/>
        </w:rPr>
      </w:pPr>
      <w:r>
        <w:rPr>
          <w:rFonts w:hint="eastAsia" w:ascii="宋体" w:hAnsi="宋体"/>
          <w:sz w:val="24"/>
          <w:szCs w:val="24"/>
        </w:rPr>
        <w:t>本技术规范书适用于南方电网储能股份有限公司西部检修试验分公司202</w:t>
      </w:r>
      <w:r>
        <w:rPr>
          <w:rFonts w:hint="eastAsia" w:ascii="宋体" w:hAnsi="宋体"/>
          <w:sz w:val="24"/>
          <w:szCs w:val="24"/>
          <w:lang w:val="en-US" w:eastAsia="zh-CN"/>
        </w:rPr>
        <w:t>6</w:t>
      </w:r>
      <w:r>
        <w:rPr>
          <w:rFonts w:hint="eastAsia" w:ascii="宋体" w:hAnsi="宋体"/>
          <w:sz w:val="24"/>
          <w:szCs w:val="24"/>
        </w:rPr>
        <w:t>年聘请法律顾问</w:t>
      </w:r>
      <w:r>
        <w:rPr>
          <w:rFonts w:hint="eastAsia" w:ascii="宋体" w:hAnsi="宋体"/>
          <w:sz w:val="24"/>
          <w:szCs w:val="24"/>
          <w:lang w:val="en-US" w:eastAsia="zh-CN"/>
        </w:rPr>
        <w:t>服务</w:t>
      </w:r>
      <w:bookmarkStart w:id="1" w:name="_GoBack"/>
      <w:bookmarkEnd w:id="1"/>
      <w:r>
        <w:rPr>
          <w:rFonts w:hint="eastAsia" w:ascii="宋体" w:hAnsi="宋体"/>
          <w:sz w:val="24"/>
          <w:szCs w:val="24"/>
        </w:rPr>
        <w:t>。</w:t>
      </w:r>
    </w:p>
    <w:p w14:paraId="34CD298A">
      <w:pPr>
        <w:pStyle w:val="18"/>
        <w:numPr>
          <w:ilvl w:val="0"/>
          <w:numId w:val="4"/>
        </w:numPr>
        <w:adjustRightInd w:val="0"/>
        <w:snapToGrid w:val="0"/>
        <w:spacing w:line="480" w:lineRule="auto"/>
        <w:ind w:firstLine="480"/>
        <w:jc w:val="left"/>
        <w:rPr>
          <w:rFonts w:ascii="宋体" w:hAnsi="宋体"/>
          <w:sz w:val="24"/>
          <w:szCs w:val="24"/>
        </w:rPr>
      </w:pPr>
      <w:r>
        <w:rPr>
          <w:rFonts w:hint="eastAsia" w:ascii="宋体" w:hAnsi="宋体"/>
          <w:sz w:val="24"/>
          <w:szCs w:val="24"/>
        </w:rPr>
        <w:t>本技术规范书提出的是最低限度的技术要求，并未对一切技术细节做出规定，也未充分引述有关标准和规范的条文，乙方提供服务或产品应符合本技术规范书的要求和国家与行业规范标准。</w:t>
      </w:r>
    </w:p>
    <w:p w14:paraId="45E19E64">
      <w:pPr>
        <w:pStyle w:val="18"/>
        <w:numPr>
          <w:ilvl w:val="0"/>
          <w:numId w:val="4"/>
        </w:numPr>
        <w:adjustRightInd w:val="0"/>
        <w:snapToGrid w:val="0"/>
        <w:spacing w:line="480" w:lineRule="auto"/>
        <w:ind w:firstLine="480"/>
        <w:jc w:val="left"/>
        <w:rPr>
          <w:rFonts w:ascii="宋体" w:hAnsi="宋体"/>
          <w:sz w:val="24"/>
          <w:szCs w:val="24"/>
        </w:rPr>
      </w:pPr>
      <w:r>
        <w:rPr>
          <w:rFonts w:hint="eastAsia" w:ascii="宋体" w:hAnsi="宋体"/>
          <w:sz w:val="24"/>
          <w:szCs w:val="24"/>
        </w:rPr>
        <w:t>如果乙方没有以书面形式对本规范书的条文提出异议，则意味着乙方提供的服务完全符合本规范书的要求。如有异议，不管有多么微小，都应在报价书中以“对规范书的意见和同规范书的差异”为标题的专门章节中加以详细描述。</w:t>
      </w:r>
    </w:p>
    <w:p w14:paraId="351BA565">
      <w:pPr>
        <w:pStyle w:val="18"/>
        <w:numPr>
          <w:ilvl w:val="0"/>
          <w:numId w:val="4"/>
        </w:numPr>
        <w:adjustRightInd w:val="0"/>
        <w:snapToGrid w:val="0"/>
        <w:spacing w:line="480" w:lineRule="auto"/>
        <w:ind w:firstLine="480"/>
        <w:jc w:val="left"/>
        <w:rPr>
          <w:rFonts w:ascii="宋体" w:hAnsi="宋体"/>
          <w:sz w:val="24"/>
          <w:szCs w:val="24"/>
        </w:rPr>
      </w:pPr>
      <w:r>
        <w:rPr>
          <w:rFonts w:hint="eastAsia" w:ascii="宋体" w:hAnsi="宋体"/>
          <w:sz w:val="24"/>
          <w:szCs w:val="24"/>
        </w:rPr>
        <w:t>本技术规范书所使用的标准如遇与乙方所执行的标准不一致时，按较高标准执行。</w:t>
      </w:r>
    </w:p>
    <w:p w14:paraId="50AB6A79">
      <w:pPr>
        <w:pStyle w:val="18"/>
        <w:numPr>
          <w:ilvl w:val="0"/>
          <w:numId w:val="4"/>
        </w:numPr>
        <w:adjustRightInd w:val="0"/>
        <w:snapToGrid w:val="0"/>
        <w:spacing w:line="480" w:lineRule="auto"/>
        <w:ind w:firstLine="480"/>
        <w:jc w:val="left"/>
        <w:rPr>
          <w:rFonts w:ascii="宋体" w:hAnsi="宋体"/>
          <w:sz w:val="24"/>
          <w:szCs w:val="24"/>
        </w:rPr>
      </w:pPr>
      <w:r>
        <w:rPr>
          <w:rFonts w:hint="eastAsia" w:ascii="宋体" w:hAnsi="宋体"/>
          <w:sz w:val="24"/>
          <w:szCs w:val="24"/>
        </w:rPr>
        <w:t>本技术规范书未尽事宜，由甲、乙双方协商确定。</w:t>
      </w:r>
    </w:p>
    <w:p w14:paraId="71E41F52">
      <w:pPr>
        <w:pStyle w:val="18"/>
        <w:spacing w:line="360" w:lineRule="auto"/>
        <w:ind w:left="425" w:firstLine="0" w:firstLineChars="0"/>
        <w:rPr>
          <w:rFonts w:ascii="宋体" w:hAnsi="宋体"/>
          <w:b/>
          <w:sz w:val="28"/>
          <w:szCs w:val="28"/>
        </w:rPr>
      </w:pPr>
      <w:r>
        <w:rPr>
          <w:rFonts w:hint="eastAsia" w:ascii="宋体" w:hAnsi="宋体"/>
          <w:b/>
          <w:sz w:val="28"/>
          <w:szCs w:val="28"/>
        </w:rPr>
        <w:t>二、服务范围及工作内容</w:t>
      </w:r>
    </w:p>
    <w:p w14:paraId="16C73C97">
      <w:pPr>
        <w:spacing w:line="480" w:lineRule="auto"/>
        <w:ind w:firstLine="480" w:firstLineChars="200"/>
        <w:rPr>
          <w:rFonts w:ascii="宋体" w:hAnsi="宋体"/>
          <w:sz w:val="24"/>
          <w:szCs w:val="24"/>
        </w:rPr>
      </w:pPr>
      <w:r>
        <w:rPr>
          <w:rFonts w:hint="eastAsia" w:ascii="宋体" w:hAnsi="宋体"/>
          <w:sz w:val="24"/>
          <w:szCs w:val="24"/>
        </w:rPr>
        <w:t>南方电网储能股份有限公司西部检修试验分公司202</w:t>
      </w:r>
      <w:r>
        <w:rPr>
          <w:rFonts w:hint="eastAsia" w:ascii="宋体" w:hAnsi="宋体"/>
          <w:sz w:val="24"/>
          <w:szCs w:val="24"/>
          <w:lang w:val="en-US" w:eastAsia="zh-CN"/>
        </w:rPr>
        <w:t>6</w:t>
      </w:r>
      <w:r>
        <w:rPr>
          <w:rFonts w:hint="eastAsia" w:ascii="宋体" w:hAnsi="宋体"/>
          <w:sz w:val="24"/>
          <w:szCs w:val="24"/>
        </w:rPr>
        <w:t>年聘请法律顾问项目工作内容如下：</w:t>
      </w:r>
    </w:p>
    <w:p w14:paraId="33D67EC1">
      <w:pPr>
        <w:pStyle w:val="26"/>
        <w:numPr>
          <w:ilvl w:val="0"/>
          <w:numId w:val="5"/>
        </w:numPr>
        <w:spacing w:line="480" w:lineRule="auto"/>
        <w:ind w:left="0" w:firstLine="482"/>
        <w:outlineLvl w:val="5"/>
        <w:rPr>
          <w:rFonts w:ascii="宋体" w:hAnsi="宋体"/>
          <w:b/>
          <w:color w:val="000000"/>
          <w:sz w:val="24"/>
        </w:rPr>
      </w:pPr>
      <w:r>
        <w:rPr>
          <w:rFonts w:hint="eastAsia" w:ascii="宋体" w:hAnsi="宋体"/>
          <w:b/>
          <w:color w:val="000000"/>
          <w:sz w:val="24"/>
        </w:rPr>
        <w:t>服务范围</w:t>
      </w:r>
    </w:p>
    <w:p w14:paraId="03C7D575">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（1）就西部修试公司经营管理中涉法律问题提供法律咨询，出具法律意见。</w:t>
      </w:r>
    </w:p>
    <w:p w14:paraId="07D1AE8B">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（2）对西部修试公司日常经营中可能出现的法律问题，及时提出预警及提示。</w:t>
      </w:r>
    </w:p>
    <w:p w14:paraId="05799DE1">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（3）配合西部修试公司开展重要决策法律合规审核，出具审核意见。</w:t>
      </w:r>
    </w:p>
    <w:p w14:paraId="4049AE28">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（4）就西部修试公司决策中需出具法律意见书的重要事项，出具法律意见书。</w:t>
      </w:r>
    </w:p>
    <w:p w14:paraId="2384F16E">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（5）应西部修试公司的要求，草拟、审查、修改日常经营所涉合同及其他有关法律文书。</w:t>
      </w:r>
    </w:p>
    <w:p w14:paraId="5B4E3035">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（6）应西部修试公司的要求，开展相关法律合规风险论证，出具法律合规风险提示函。</w:t>
      </w:r>
    </w:p>
    <w:p w14:paraId="369A2FCA">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（7）应邀参与西部修试公司有关会议、合同谈判。</w:t>
      </w:r>
    </w:p>
    <w:p w14:paraId="20599638">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（8）协助西部修试公司建立健全内部规章制度。</w:t>
      </w:r>
    </w:p>
    <w:p w14:paraId="296B4E8C">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（9）协助西部修试公司处理生产经营管理中的纠纷、争议。</w:t>
      </w:r>
    </w:p>
    <w:p w14:paraId="6C8959C6">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（10）根据西部修试公司的需要向第三方发出律师函。</w:t>
      </w:r>
    </w:p>
    <w:p w14:paraId="21D2444B">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（11）应西部修试公司的要求，调查相关单位的工商档案登记资料。</w:t>
      </w:r>
    </w:p>
    <w:p w14:paraId="0C2B8296">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（12）应西部修试公司的要求，办理重大事项的见证或代为办理公证。</w:t>
      </w:r>
    </w:p>
    <w:p w14:paraId="39F37E7B">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（13）接受西部修试公司的委托，调查相关单位的资信和经营状况，出具调查报告。</w:t>
      </w:r>
    </w:p>
    <w:p w14:paraId="25C02A09">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（14）接受西部修试公司的委托，参加西部修试公司的重大投资决策、企业改制、增资扩股、资产重组、股权转让等专项法律事务，进行尽职调查，出具法律风险尽职调查报告和法律意见书。</w:t>
      </w:r>
    </w:p>
    <w:p w14:paraId="60EA0CE8">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（15）接受西部修试公司的委托，担任诉讼、调解、仲裁、行政复议或其他非诉讼法律事务的代理人，代理各类民事、经济、行政、刑事等纠纷案件的调解、诉讼、仲裁、执行及行政复议。</w:t>
      </w:r>
    </w:p>
    <w:p w14:paraId="58E556AF">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（16）接受西部修试公司的委托，就涉及劳动关系转移、解除、工伤、劳动仲裁、劳动诉讼提供专项代理服务。</w:t>
      </w:r>
    </w:p>
    <w:p w14:paraId="4EB1D8E7">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（17）协助西部修试公司策划并参与</w:t>
      </w:r>
      <w:r>
        <w:rPr>
          <w:rFonts w:hint="eastAsia" w:ascii="宋体" w:hAnsi="宋体"/>
          <w:sz w:val="24"/>
          <w:szCs w:val="24"/>
          <w:lang w:val="en-US" w:eastAsia="zh-CN"/>
        </w:rPr>
        <w:t>个性化</w:t>
      </w:r>
      <w:r>
        <w:rPr>
          <w:rFonts w:hint="eastAsia" w:ascii="宋体" w:hAnsi="宋体"/>
          <w:sz w:val="24"/>
          <w:szCs w:val="24"/>
        </w:rPr>
        <w:t>法治宣传、普法教育、法治文化建设工作和活动。</w:t>
      </w:r>
    </w:p>
    <w:p w14:paraId="2D09AA7C">
      <w:pPr>
        <w:pStyle w:val="26"/>
        <w:tabs>
          <w:tab w:val="left" w:pos="851"/>
        </w:tabs>
        <w:spacing w:before="156" w:after="156" w:line="480" w:lineRule="auto"/>
        <w:ind w:left="420" w:leftChars="200" w:firstLine="480"/>
        <w:rPr>
          <w:rFonts w:hint="eastAsia" w:ascii="宋体" w:hAnsi="宋体"/>
          <w:sz w:val="24"/>
          <w:szCs w:val="24"/>
        </w:rPr>
      </w:pPr>
      <w:bookmarkStart w:id="0" w:name="_Hlk186036615"/>
      <w:r>
        <w:rPr>
          <w:rFonts w:hint="eastAsia" w:ascii="宋体" w:hAnsi="宋体"/>
          <w:sz w:val="24"/>
          <w:szCs w:val="24"/>
        </w:rPr>
        <w:t>（18）对西部修试公司员工进行法律知识培训和辅导，每年根据西部修试公司需求提供不少于2次现场专题培训。</w:t>
      </w:r>
    </w:p>
    <w:p w14:paraId="6007E363">
      <w:pPr>
        <w:pStyle w:val="26"/>
        <w:tabs>
          <w:tab w:val="left" w:pos="851"/>
        </w:tabs>
        <w:spacing w:before="156" w:after="156" w:line="480" w:lineRule="auto"/>
        <w:ind w:left="420" w:leftChars="200" w:firstLine="480"/>
        <w:rPr>
          <w:rFonts w:ascii="宋体" w:hAnsi="宋体"/>
          <w:sz w:val="24"/>
          <w:szCs w:val="24"/>
        </w:rPr>
      </w:pPr>
      <w:r>
        <w:rPr>
          <w:rFonts w:hint="eastAsia" w:ascii="宋体" w:hAnsi="宋体"/>
          <w:sz w:val="24"/>
          <w:szCs w:val="24"/>
        </w:rPr>
        <w:t>（19）完成西部修试公司委托的其它法律事务。</w:t>
      </w:r>
    </w:p>
    <w:bookmarkEnd w:id="0"/>
    <w:p w14:paraId="6E82842E">
      <w:pPr>
        <w:pStyle w:val="26"/>
        <w:numPr>
          <w:ilvl w:val="0"/>
          <w:numId w:val="5"/>
        </w:numPr>
        <w:spacing w:line="480" w:lineRule="auto"/>
        <w:ind w:left="0" w:firstLine="482"/>
        <w:outlineLvl w:val="5"/>
        <w:rPr>
          <w:rFonts w:ascii="宋体" w:hAnsi="宋体"/>
          <w:b/>
          <w:color w:val="000000"/>
          <w:sz w:val="24"/>
        </w:rPr>
      </w:pPr>
      <w:r>
        <w:rPr>
          <w:rFonts w:hint="eastAsia" w:ascii="宋体" w:hAnsi="宋体"/>
          <w:b/>
          <w:color w:val="000000"/>
          <w:sz w:val="24"/>
        </w:rPr>
        <w:t>工作内容</w:t>
      </w:r>
    </w:p>
    <w:p w14:paraId="669DD8F7">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（1）协助证据收集：协助西部修试公司工作人员处理营运过程中所发生的各类型纠纷、争议案件的前期资料搜集整理，分析案例，配合编制、审查纠纷、争议要点和方案。</w:t>
      </w:r>
    </w:p>
    <w:p w14:paraId="23FB1F46">
      <w:pPr>
        <w:pStyle w:val="26"/>
        <w:tabs>
          <w:tab w:val="left" w:pos="851"/>
        </w:tabs>
        <w:spacing w:before="156" w:after="156" w:line="480" w:lineRule="auto"/>
        <w:ind w:left="420" w:leftChars="200" w:firstLine="480"/>
        <w:rPr>
          <w:rFonts w:ascii="宋体" w:hAnsi="宋体"/>
          <w:sz w:val="24"/>
          <w:szCs w:val="24"/>
        </w:rPr>
      </w:pPr>
      <w:r>
        <w:rPr>
          <w:rFonts w:hint="eastAsia" w:ascii="宋体" w:hAnsi="宋体"/>
          <w:sz w:val="24"/>
          <w:szCs w:val="24"/>
        </w:rPr>
        <w:t>（2）参与纠纷、争议分析讨论：参与纠纷、争议分析会，对西部修试公司纠纷、争议的处理提供指导意见，配合西部修试公司出具法律风险提示书。</w:t>
      </w:r>
    </w:p>
    <w:p w14:paraId="41264E06">
      <w:pPr>
        <w:pStyle w:val="26"/>
        <w:tabs>
          <w:tab w:val="left" w:pos="851"/>
        </w:tabs>
        <w:spacing w:before="156" w:after="156" w:line="480" w:lineRule="auto"/>
        <w:ind w:left="420" w:leftChars="200" w:firstLine="480"/>
        <w:rPr>
          <w:rFonts w:ascii="宋体" w:hAnsi="宋体"/>
          <w:sz w:val="24"/>
          <w:szCs w:val="24"/>
        </w:rPr>
      </w:pPr>
      <w:r>
        <w:rPr>
          <w:rFonts w:hint="eastAsia" w:ascii="宋体" w:hAnsi="宋体"/>
          <w:sz w:val="24"/>
          <w:szCs w:val="24"/>
        </w:rPr>
        <w:t>（3）协助开展法律合规风险治理工作：根据西部修试公司要求，协助开展有关业务领域的法律合规风险收集、识别、评估、分析以及制定应对措施，出具法律合规风险提示函。</w:t>
      </w:r>
    </w:p>
    <w:p w14:paraId="3C9FF27F">
      <w:pPr>
        <w:pStyle w:val="26"/>
        <w:tabs>
          <w:tab w:val="left" w:pos="851"/>
        </w:tabs>
        <w:spacing w:before="156" w:after="156" w:line="480" w:lineRule="auto"/>
        <w:ind w:left="420" w:leftChars="200" w:firstLine="480"/>
        <w:rPr>
          <w:rFonts w:ascii="宋体" w:hAnsi="宋体"/>
          <w:sz w:val="24"/>
          <w:szCs w:val="24"/>
        </w:rPr>
      </w:pPr>
      <w:r>
        <w:rPr>
          <w:rFonts w:hint="eastAsia" w:ascii="宋体" w:hAnsi="宋体"/>
          <w:sz w:val="24"/>
          <w:szCs w:val="24"/>
        </w:rPr>
        <w:t>（4）重大经营决策法律审查：根据西部修试公司要求参与重大经营决策法律审查，出具审核意见。</w:t>
      </w:r>
    </w:p>
    <w:p w14:paraId="6D3C302C">
      <w:pPr>
        <w:pStyle w:val="26"/>
        <w:tabs>
          <w:tab w:val="left" w:pos="851"/>
        </w:tabs>
        <w:spacing w:before="156" w:after="156" w:line="480" w:lineRule="auto"/>
        <w:ind w:left="420" w:leftChars="200" w:firstLine="480"/>
        <w:rPr>
          <w:rFonts w:ascii="宋体" w:hAnsi="宋体"/>
          <w:sz w:val="24"/>
          <w:szCs w:val="24"/>
        </w:rPr>
      </w:pPr>
      <w:r>
        <w:rPr>
          <w:rFonts w:hint="eastAsia" w:ascii="宋体" w:hAnsi="宋体"/>
          <w:sz w:val="24"/>
          <w:szCs w:val="24"/>
        </w:rPr>
        <w:t>（5）重要经济活动法律支持：根据西部修试公司要求参与重要经济活动法律论证，出具法律意见书。</w:t>
      </w:r>
    </w:p>
    <w:p w14:paraId="5FE51760">
      <w:pPr>
        <w:pStyle w:val="26"/>
        <w:tabs>
          <w:tab w:val="left" w:pos="851"/>
        </w:tabs>
        <w:spacing w:before="156" w:after="156" w:line="480" w:lineRule="auto"/>
        <w:ind w:left="420" w:leftChars="200" w:firstLine="480"/>
        <w:rPr>
          <w:rFonts w:ascii="宋体" w:hAnsi="宋体"/>
          <w:sz w:val="24"/>
          <w:szCs w:val="24"/>
        </w:rPr>
      </w:pPr>
      <w:r>
        <w:rPr>
          <w:rFonts w:hint="eastAsia" w:ascii="宋体" w:hAnsi="宋体"/>
          <w:sz w:val="24"/>
          <w:szCs w:val="24"/>
        </w:rPr>
        <w:t>（6）重要</w:t>
      </w:r>
      <w:r>
        <w:rPr>
          <w:rFonts w:ascii="宋体" w:hAnsi="宋体"/>
          <w:sz w:val="24"/>
          <w:szCs w:val="24"/>
        </w:rPr>
        <w:t>制度合法性审查支持</w:t>
      </w:r>
      <w:r>
        <w:rPr>
          <w:rFonts w:hint="eastAsia" w:ascii="宋体" w:hAnsi="宋体"/>
          <w:sz w:val="24"/>
          <w:szCs w:val="24"/>
        </w:rPr>
        <w:t>：根据西部修试公司要求参与重要制度合法性审查，出具法律意见书。</w:t>
      </w:r>
    </w:p>
    <w:p w14:paraId="21FEEF69">
      <w:pPr>
        <w:pStyle w:val="26"/>
        <w:tabs>
          <w:tab w:val="left" w:pos="851"/>
        </w:tabs>
        <w:spacing w:before="156" w:after="156" w:line="480" w:lineRule="auto"/>
        <w:ind w:left="420" w:leftChars="200" w:firstLine="480"/>
        <w:rPr>
          <w:rFonts w:ascii="宋体" w:hAnsi="宋体"/>
          <w:sz w:val="24"/>
          <w:szCs w:val="24"/>
        </w:rPr>
      </w:pPr>
      <w:r>
        <w:rPr>
          <w:rFonts w:hint="eastAsia" w:ascii="宋体" w:hAnsi="宋体"/>
          <w:sz w:val="24"/>
          <w:szCs w:val="24"/>
        </w:rPr>
        <w:t>（7）提供日常法律咨询服务：根据西部修试公司要求解答日常法律问题咨询，出具法律意见书。</w:t>
      </w:r>
    </w:p>
    <w:p w14:paraId="35C2281F">
      <w:pPr>
        <w:pStyle w:val="26"/>
        <w:tabs>
          <w:tab w:val="left" w:pos="851"/>
        </w:tabs>
        <w:spacing w:before="156" w:after="156" w:line="480" w:lineRule="auto"/>
        <w:ind w:left="420" w:leftChars="200" w:firstLine="480"/>
        <w:rPr>
          <w:rFonts w:ascii="宋体" w:hAnsi="宋体"/>
          <w:sz w:val="24"/>
          <w:szCs w:val="24"/>
        </w:rPr>
      </w:pPr>
      <w:r>
        <w:rPr>
          <w:rFonts w:hint="eastAsia" w:ascii="宋体" w:hAnsi="宋体"/>
          <w:sz w:val="24"/>
          <w:szCs w:val="24"/>
        </w:rPr>
        <w:t>（8）协助各类合同法律审查：使用西部修试公司电商系统，对西部修试公司合同进行法律审核。</w:t>
      </w:r>
    </w:p>
    <w:p w14:paraId="7383FCB5">
      <w:pPr>
        <w:pStyle w:val="26"/>
        <w:tabs>
          <w:tab w:val="left" w:pos="851"/>
        </w:tabs>
        <w:spacing w:before="156" w:after="156" w:line="480" w:lineRule="auto"/>
        <w:ind w:left="420" w:leftChars="200" w:firstLine="480"/>
        <w:rPr>
          <w:rFonts w:ascii="宋体" w:hAnsi="宋体"/>
          <w:sz w:val="24"/>
          <w:szCs w:val="24"/>
        </w:rPr>
      </w:pPr>
      <w:r>
        <w:rPr>
          <w:rFonts w:hint="eastAsia" w:ascii="宋体" w:hAnsi="宋体"/>
          <w:sz w:val="24"/>
          <w:szCs w:val="24"/>
        </w:rPr>
        <w:t>（9）协助合同履约纠纷处理：参与合同纠纷的讨论研究，跟进合同纠纷问题的解决情况。</w:t>
      </w:r>
    </w:p>
    <w:p w14:paraId="19A6540E">
      <w:pPr>
        <w:pStyle w:val="26"/>
        <w:tabs>
          <w:tab w:val="left" w:pos="851"/>
        </w:tabs>
        <w:spacing w:before="156" w:after="156" w:line="480" w:lineRule="auto"/>
        <w:ind w:left="420" w:leftChars="200" w:firstLine="480"/>
        <w:rPr>
          <w:rFonts w:ascii="宋体" w:hAnsi="宋体"/>
          <w:sz w:val="24"/>
          <w:szCs w:val="24"/>
        </w:rPr>
      </w:pPr>
      <w:r>
        <w:rPr>
          <w:rFonts w:hint="eastAsia" w:ascii="宋体" w:hAnsi="宋体"/>
          <w:sz w:val="24"/>
          <w:szCs w:val="24"/>
        </w:rPr>
        <w:t>（10）协助开展法治宣传：根据西部修试公司要求，协助策划、组织法治宣传、普法教育、法治文化建设活动。</w:t>
      </w:r>
    </w:p>
    <w:p w14:paraId="5C923A0C">
      <w:pPr>
        <w:pStyle w:val="26"/>
        <w:tabs>
          <w:tab w:val="left" w:pos="851"/>
        </w:tabs>
        <w:spacing w:before="156" w:after="156" w:line="480" w:lineRule="auto"/>
        <w:ind w:left="420" w:leftChars="200" w:firstLine="480"/>
        <w:rPr>
          <w:rFonts w:ascii="宋体" w:hAnsi="宋体"/>
          <w:sz w:val="24"/>
          <w:szCs w:val="24"/>
        </w:rPr>
      </w:pPr>
      <w:r>
        <w:rPr>
          <w:rFonts w:hint="eastAsia" w:ascii="宋体" w:hAnsi="宋体"/>
          <w:sz w:val="24"/>
          <w:szCs w:val="24"/>
        </w:rPr>
        <w:t>（11）协助开展法律知识培训：结合西部修试公司需求和特点，提供专题法律知识培训。</w:t>
      </w:r>
    </w:p>
    <w:p w14:paraId="41D5FBEF">
      <w:pPr>
        <w:pStyle w:val="26"/>
        <w:tabs>
          <w:tab w:val="left" w:pos="851"/>
        </w:tabs>
        <w:spacing w:before="156" w:after="156" w:line="480" w:lineRule="auto"/>
        <w:ind w:left="420" w:leftChars="200" w:firstLine="480"/>
        <w:rPr>
          <w:rFonts w:hint="eastAsia" w:ascii="宋体" w:hAnsi="宋体"/>
          <w:sz w:val="24"/>
          <w:szCs w:val="24"/>
        </w:rPr>
      </w:pPr>
      <w:r>
        <w:rPr>
          <w:rFonts w:hint="eastAsia" w:ascii="宋体" w:hAnsi="宋体"/>
          <w:sz w:val="24"/>
          <w:szCs w:val="24"/>
        </w:rPr>
        <w:t>（12）其他业务：完成西部修试公司委托的其它法律事务。</w:t>
      </w:r>
    </w:p>
    <w:p w14:paraId="55955C41">
      <w:pPr>
        <w:pStyle w:val="18"/>
        <w:spacing w:line="360" w:lineRule="auto"/>
        <w:ind w:left="425" w:firstLine="0" w:firstLineChars="0"/>
        <w:rPr>
          <w:rFonts w:ascii="宋体" w:hAnsi="宋体"/>
          <w:b/>
          <w:sz w:val="28"/>
          <w:szCs w:val="28"/>
        </w:rPr>
      </w:pPr>
      <w:r>
        <w:rPr>
          <w:rFonts w:hint="eastAsia" w:ascii="宋体" w:hAnsi="宋体"/>
          <w:b/>
          <w:sz w:val="28"/>
          <w:szCs w:val="28"/>
        </w:rPr>
        <w:t>三、服务地点及工期</w:t>
      </w:r>
    </w:p>
    <w:p w14:paraId="42A7F6CA">
      <w:pPr>
        <w:pStyle w:val="26"/>
        <w:numPr>
          <w:ilvl w:val="0"/>
          <w:numId w:val="6"/>
        </w:numPr>
        <w:spacing w:line="480" w:lineRule="auto"/>
        <w:ind w:left="0" w:firstLine="482"/>
        <w:outlineLvl w:val="5"/>
        <w:rPr>
          <w:rFonts w:ascii="宋体" w:hAnsi="宋体"/>
          <w:b/>
          <w:bCs/>
          <w:sz w:val="24"/>
          <w:szCs w:val="24"/>
        </w:rPr>
      </w:pPr>
      <w:r>
        <w:rPr>
          <w:rFonts w:hint="eastAsia" w:ascii="宋体" w:hAnsi="宋体"/>
          <w:b/>
          <w:bCs/>
          <w:sz w:val="24"/>
          <w:szCs w:val="24"/>
        </w:rPr>
        <w:t>服务地点</w:t>
      </w:r>
    </w:p>
    <w:p w14:paraId="0A583D72">
      <w:pPr>
        <w:pStyle w:val="26"/>
        <w:tabs>
          <w:tab w:val="left" w:pos="851"/>
        </w:tabs>
        <w:spacing w:before="156" w:after="156" w:line="480" w:lineRule="auto"/>
        <w:ind w:left="420" w:leftChars="200" w:firstLine="0" w:firstLineChars="0"/>
        <w:rPr>
          <w:rFonts w:ascii="宋体" w:hAnsi="宋体"/>
          <w:sz w:val="24"/>
          <w:szCs w:val="24"/>
        </w:rPr>
      </w:pPr>
      <w:r>
        <w:rPr>
          <w:rFonts w:hint="eastAsia" w:ascii="宋体" w:hAnsi="宋体"/>
          <w:sz w:val="24"/>
          <w:szCs w:val="24"/>
        </w:rPr>
        <w:t>贵州省黔西南布依族苗族自治州兴义市西部修试公司</w:t>
      </w:r>
    </w:p>
    <w:p w14:paraId="54AFEF87">
      <w:pPr>
        <w:pStyle w:val="26"/>
        <w:numPr>
          <w:ilvl w:val="0"/>
          <w:numId w:val="6"/>
        </w:numPr>
        <w:spacing w:line="480" w:lineRule="auto"/>
        <w:ind w:left="0" w:firstLine="482"/>
        <w:outlineLvl w:val="5"/>
        <w:rPr>
          <w:rFonts w:ascii="宋体" w:hAnsi="宋体"/>
          <w:b/>
          <w:bCs/>
          <w:sz w:val="24"/>
          <w:szCs w:val="24"/>
        </w:rPr>
      </w:pPr>
      <w:r>
        <w:rPr>
          <w:rFonts w:hint="eastAsia" w:ascii="宋体" w:hAnsi="宋体"/>
          <w:b/>
          <w:bCs/>
          <w:sz w:val="24"/>
          <w:szCs w:val="24"/>
        </w:rPr>
        <w:t>服务工期：</w:t>
      </w:r>
    </w:p>
    <w:p w14:paraId="77244716">
      <w:pPr>
        <w:spacing w:line="480" w:lineRule="auto"/>
        <w:ind w:firstLine="480" w:firstLineChars="200"/>
        <w:rPr>
          <w:rFonts w:ascii="宋体" w:hAnsi="宋体"/>
          <w:sz w:val="24"/>
          <w:szCs w:val="24"/>
        </w:rPr>
      </w:pPr>
      <w:r>
        <w:rPr>
          <w:rFonts w:hint="eastAsia" w:ascii="宋体" w:hAnsi="宋体"/>
          <w:sz w:val="24"/>
          <w:szCs w:val="24"/>
        </w:rPr>
        <w:t>202</w:t>
      </w:r>
      <w:r>
        <w:rPr>
          <w:rFonts w:hint="eastAsia" w:ascii="宋体" w:hAnsi="宋体"/>
          <w:sz w:val="24"/>
          <w:szCs w:val="24"/>
          <w:lang w:val="en-US" w:eastAsia="zh-CN"/>
        </w:rPr>
        <w:t>6</w:t>
      </w:r>
      <w:r>
        <w:rPr>
          <w:rFonts w:hint="eastAsia" w:ascii="宋体" w:hAnsi="宋体"/>
          <w:sz w:val="24"/>
          <w:szCs w:val="24"/>
        </w:rPr>
        <w:t>年1月1日—202</w:t>
      </w:r>
      <w:r>
        <w:rPr>
          <w:rFonts w:hint="eastAsia" w:ascii="宋体" w:hAnsi="宋体"/>
          <w:sz w:val="24"/>
          <w:szCs w:val="24"/>
          <w:lang w:val="en-US" w:eastAsia="zh-CN"/>
        </w:rPr>
        <w:t>6</w:t>
      </w:r>
      <w:r>
        <w:rPr>
          <w:rFonts w:hint="eastAsia" w:ascii="宋体" w:hAnsi="宋体"/>
          <w:sz w:val="24"/>
          <w:szCs w:val="24"/>
        </w:rPr>
        <w:t>年12月31日。</w:t>
      </w:r>
    </w:p>
    <w:p w14:paraId="3C2A6EA5">
      <w:pPr>
        <w:pStyle w:val="18"/>
        <w:spacing w:line="360" w:lineRule="auto"/>
        <w:ind w:left="425" w:firstLine="0" w:firstLineChars="0"/>
        <w:rPr>
          <w:rFonts w:ascii="宋体" w:hAnsi="宋体"/>
          <w:b/>
          <w:sz w:val="28"/>
          <w:szCs w:val="28"/>
        </w:rPr>
      </w:pPr>
      <w:r>
        <w:rPr>
          <w:rFonts w:hint="eastAsia" w:ascii="宋体" w:hAnsi="宋体"/>
          <w:b/>
          <w:sz w:val="28"/>
          <w:szCs w:val="28"/>
        </w:rPr>
        <w:t>四、服务质量要求</w:t>
      </w:r>
    </w:p>
    <w:p w14:paraId="3AC04BE3">
      <w:pPr>
        <w:pStyle w:val="26"/>
        <w:spacing w:line="480" w:lineRule="auto"/>
        <w:ind w:left="420" w:leftChars="200" w:firstLine="0" w:firstLineChars="0"/>
        <w:outlineLvl w:val="5"/>
        <w:rPr>
          <w:rFonts w:ascii="宋体" w:hAnsi="宋体"/>
          <w:sz w:val="24"/>
          <w:szCs w:val="24"/>
        </w:rPr>
      </w:pPr>
      <w:r>
        <w:rPr>
          <w:rFonts w:hint="eastAsia" w:ascii="宋体" w:hAnsi="宋体"/>
          <w:sz w:val="24"/>
          <w:szCs w:val="24"/>
        </w:rPr>
        <w:t>1.乙方应具通过电话、传真及互联网进行日常法律事务的处理。</w:t>
      </w:r>
    </w:p>
    <w:p w14:paraId="4D75DEEB">
      <w:pPr>
        <w:pStyle w:val="26"/>
        <w:spacing w:line="480" w:lineRule="auto"/>
        <w:ind w:left="420" w:leftChars="200" w:firstLine="0" w:firstLineChars="0"/>
        <w:outlineLvl w:val="5"/>
        <w:rPr>
          <w:rFonts w:ascii="宋体" w:hAnsi="宋体"/>
          <w:sz w:val="24"/>
          <w:szCs w:val="24"/>
        </w:rPr>
      </w:pPr>
      <w:r>
        <w:rPr>
          <w:rFonts w:hint="eastAsia" w:ascii="宋体" w:hAnsi="宋体"/>
          <w:sz w:val="24"/>
          <w:szCs w:val="24"/>
        </w:rPr>
        <w:t>2.乙方应根据甲方的要求，指派顾问律师及时到甲方现场进行重要法律事务的处理。</w:t>
      </w:r>
    </w:p>
    <w:p w14:paraId="11E74A9F">
      <w:pPr>
        <w:pStyle w:val="26"/>
        <w:spacing w:line="480" w:lineRule="auto"/>
        <w:ind w:left="420" w:leftChars="200" w:firstLine="0" w:firstLineChars="0"/>
        <w:outlineLvl w:val="5"/>
        <w:rPr>
          <w:rFonts w:ascii="宋体" w:hAnsi="宋体"/>
          <w:sz w:val="24"/>
          <w:szCs w:val="24"/>
        </w:rPr>
      </w:pPr>
      <w:r>
        <w:rPr>
          <w:rFonts w:hint="eastAsia" w:ascii="宋体" w:hAnsi="宋体"/>
          <w:sz w:val="24"/>
          <w:szCs w:val="24"/>
        </w:rPr>
        <w:t>3.乙方应指定顾问律师定期与西部修试公司法律事务联系人员联系。</w:t>
      </w:r>
    </w:p>
    <w:p w14:paraId="713B412C">
      <w:pPr>
        <w:pStyle w:val="26"/>
        <w:spacing w:line="480" w:lineRule="auto"/>
        <w:ind w:left="420" w:leftChars="200" w:firstLine="0" w:firstLineChars="0"/>
        <w:outlineLvl w:val="5"/>
        <w:rPr>
          <w:rFonts w:ascii="宋体" w:hAnsi="宋体"/>
          <w:sz w:val="24"/>
          <w:szCs w:val="24"/>
        </w:rPr>
      </w:pPr>
      <w:r>
        <w:rPr>
          <w:rFonts w:hint="eastAsia" w:ascii="宋体" w:hAnsi="宋体"/>
          <w:sz w:val="24"/>
          <w:szCs w:val="24"/>
        </w:rPr>
        <w:t>4.乙方应根据甲方的要求，指派顾问律师到甲方提供现场法律服务，且服从甲方的工作和时间安排。</w:t>
      </w:r>
    </w:p>
    <w:p w14:paraId="23C6CA64">
      <w:pPr>
        <w:pStyle w:val="26"/>
        <w:spacing w:line="480" w:lineRule="auto"/>
        <w:ind w:left="420" w:leftChars="200" w:firstLine="0" w:firstLineChars="0"/>
        <w:outlineLvl w:val="5"/>
        <w:rPr>
          <w:rFonts w:ascii="宋体" w:hAnsi="宋体"/>
          <w:sz w:val="24"/>
          <w:szCs w:val="24"/>
        </w:rPr>
      </w:pPr>
      <w:r>
        <w:rPr>
          <w:rFonts w:hint="eastAsia" w:ascii="宋体" w:hAnsi="宋体"/>
          <w:sz w:val="24"/>
          <w:szCs w:val="24"/>
        </w:rPr>
        <w:t>5．乙方应恪尽保密义务。</w:t>
      </w:r>
    </w:p>
    <w:p w14:paraId="3300A2BB">
      <w:pPr>
        <w:pStyle w:val="26"/>
        <w:spacing w:line="480" w:lineRule="auto"/>
        <w:ind w:left="420" w:leftChars="200" w:firstLine="0" w:firstLineChars="0"/>
        <w:outlineLvl w:val="5"/>
        <w:rPr>
          <w:rFonts w:hint="eastAsia" w:ascii="宋体" w:hAnsi="宋体"/>
          <w:sz w:val="24"/>
          <w:szCs w:val="24"/>
        </w:rPr>
      </w:pPr>
      <w:r>
        <w:rPr>
          <w:rFonts w:hint="eastAsia" w:ascii="宋体" w:hAnsi="宋体"/>
          <w:sz w:val="24"/>
          <w:szCs w:val="24"/>
        </w:rPr>
        <w:t>6．乙方应于202</w:t>
      </w:r>
      <w:r>
        <w:rPr>
          <w:rFonts w:hint="eastAsia" w:ascii="宋体" w:hAnsi="宋体"/>
          <w:sz w:val="24"/>
          <w:szCs w:val="24"/>
          <w:lang w:val="en-US" w:eastAsia="zh-CN"/>
        </w:rPr>
        <w:t>6</w:t>
      </w:r>
      <w:r>
        <w:rPr>
          <w:rFonts w:hint="eastAsia" w:ascii="宋体" w:hAnsi="宋体"/>
          <w:sz w:val="24"/>
          <w:szCs w:val="24"/>
        </w:rPr>
        <w:t>年12月31日前，出具法律顾问述职报告。</w:t>
      </w:r>
    </w:p>
    <w:p w14:paraId="201F898C">
      <w:pPr>
        <w:pStyle w:val="11"/>
        <w:widowControl/>
        <w:shd w:val="clear" w:color="auto" w:fill="FFFFFF"/>
        <w:wordWrap w:val="0"/>
        <w:spacing w:before="180" w:beforeAutospacing="0" w:after="180" w:afterAutospacing="0"/>
        <w:ind w:firstLine="640"/>
        <w:jc w:val="both"/>
        <w:rPr>
          <w:rFonts w:ascii="仿宋_GB2312" w:hAnsi="微软雅黑" w:eastAsia="仿宋_GB2312" w:cs="仿宋_GB2312"/>
          <w:color w:val="000000"/>
          <w:sz w:val="32"/>
          <w:szCs w:val="32"/>
          <w:shd w:val="clear" w:color="auto" w:fill="FFFFFF"/>
        </w:rPr>
      </w:pPr>
    </w:p>
    <w:sectPr>
      <w:headerReference r:id="rId3" w:type="default"/>
      <w:pgSz w:w="11906" w:h="16838"/>
      <w:pgMar w:top="1531" w:right="1191" w:bottom="1531" w:left="119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GE Inspira">
    <w:altName w:val="Arial"/>
    <w:panose1 w:val="00000000000000000000"/>
    <w:charset w:val="00"/>
    <w:family w:val="auto"/>
    <w:pitch w:val="default"/>
    <w:sig w:usb0="00000000" w:usb1="00000000" w:usb2="00000000" w:usb3="00000000" w:csb0="000000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26F3E">
    <w:r>
      <w:pict>
        <v:shape id="_x0000_s1025" o:spid="_x0000_s1025" o:spt="75" type="#_x0000_t75" style="position:absolute;left:0pt;margin-left:-50pt;margin-top:25pt;height:76pt;width:100pt;z-index:-251657216;mso-width-relative:page;mso-height-relative:page;" filled="f" o:preferrelative="t" stroked="f" coordsize="21600,21600">
          <v:path/>
          <v:fill on="f" focussize="0,0"/>
          <v:stroke on="f" joinstyle="miter"/>
          <v:imagedata r:id="rId1" o:title=""/>
          <o:lock v:ext="edit" aspectratio="t"/>
        </v:shape>
      </w:pict>
    </w:r>
    <w:r>
      <w:pict>
        <v:shape id="_x0000_s1026" o:spid="_x0000_s1026" o:spt="75" type="#_x0000_t75" style="position:absolute;left:0pt;margin-left:160pt;margin-top:25pt;height:76pt;width:100pt;z-index:-251656192;mso-width-relative:page;mso-height-relative:page;" filled="f" o:preferrelative="t" stroked="f" coordsize="21600,21600">
          <v:path/>
          <v:fill on="f" focussize="0,0"/>
          <v:stroke on="f" joinstyle="miter"/>
          <v:imagedata r:id="rId1" o:title=""/>
          <o:lock v:ext="edit" aspectratio="t"/>
        </v:shape>
      </w:pict>
    </w:r>
    <w:r>
      <w:pict>
        <v:shape id="_x0000_s1027" o:spid="_x0000_s1027" o:spt="75" type="#_x0000_t75" style="position:absolute;left:0pt;margin-left:370pt;margin-top:25pt;height:76pt;width:100pt;z-index:-251655168;mso-width-relative:page;mso-height-relative:page;" filled="f" o:preferrelative="t" stroked="f" coordsize="21600,21600">
          <v:path/>
          <v:fill on="f" focussize="0,0"/>
          <v:stroke on="f" joinstyle="miter"/>
          <v:imagedata r:id="rId1" o:title=""/>
          <o:lock v:ext="edit" aspectratio="t"/>
        </v:shape>
      </w:pict>
    </w:r>
    <w:r>
      <w:pict>
        <v:shape id="_x0000_s1028" o:spid="_x0000_s1028" o:spt="75" type="#_x0000_t75" style="position:absolute;left:0pt;margin-left:-50pt;margin-top:340pt;height:76pt;width:100pt;z-index:-251654144;mso-width-relative:page;mso-height-relative:page;" filled="f" o:preferrelative="t" stroked="f" coordsize="21600,21600">
          <v:path/>
          <v:fill on="f" focussize="0,0"/>
          <v:stroke on="f" joinstyle="miter"/>
          <v:imagedata r:id="rId1" o:title=""/>
          <o:lock v:ext="edit" aspectratio="t"/>
        </v:shape>
      </w:pict>
    </w:r>
    <w:r>
      <w:pict>
        <v:shape id="_x0000_s1029" o:spid="_x0000_s1029" o:spt="75" type="#_x0000_t75" style="position:absolute;left:0pt;margin-left:160pt;margin-top:340pt;height:76pt;width:100pt;z-index:-251653120;mso-width-relative:page;mso-height-relative:page;" filled="f" o:preferrelative="t" stroked="f" coordsize="21600,21600">
          <v:path/>
          <v:fill on="f" focussize="0,0"/>
          <v:stroke on="f" joinstyle="miter"/>
          <v:imagedata r:id="rId1" o:title=""/>
          <o:lock v:ext="edit" aspectratio="t"/>
        </v:shape>
      </w:pict>
    </w:r>
    <w:r>
      <w:pict>
        <v:shape id="_x0000_s1030" o:spid="_x0000_s1030" o:spt="75" type="#_x0000_t75" style="position:absolute;left:0pt;margin-left:370pt;margin-top:340pt;height:76pt;width:100pt;z-index:-251653120;mso-width-relative:page;mso-height-relative:page;" filled="f" o:preferrelative="t" stroked="f" coordsize="21600,21600">
          <v:path/>
          <v:fill on="f" focussize="0,0"/>
          <v:stroke on="f" joinstyle="miter"/>
          <v:imagedata r:id="rId1" o:title=""/>
          <o:lock v:ext="edit" aspectratio="t"/>
        </v:shape>
      </w:pict>
    </w:r>
    <w:r>
      <w:pict>
        <v:shape id="_x0000_s1031" o:spid="_x0000_s1031" o:spt="75" type="#_x0000_t75" style="position:absolute;left:0pt;margin-left:-50pt;margin-top:655pt;height:76pt;width:100pt;z-index:-251652096;mso-width-relative:page;mso-height-relative:page;" filled="f" o:preferrelative="t" stroked="f" coordsize="21600,21600">
          <v:path/>
          <v:fill on="f" focussize="0,0"/>
          <v:stroke on="f" joinstyle="miter"/>
          <v:imagedata r:id="rId1" o:title=""/>
          <o:lock v:ext="edit" aspectratio="t"/>
        </v:shape>
      </w:pict>
    </w:r>
    <w:r>
      <w:pict>
        <v:shape id="_x0000_s1032" o:spid="_x0000_s1032" o:spt="75" type="#_x0000_t75" style="position:absolute;left:0pt;margin-left:160pt;margin-top:655pt;height:76pt;width:100pt;z-index:-251651072;mso-width-relative:page;mso-height-relative:page;" filled="f" o:preferrelative="t" stroked="f" coordsize="21600,21600">
          <v:path/>
          <v:fill on="f" focussize="0,0"/>
          <v:stroke on="f" joinstyle="miter"/>
          <v:imagedata r:id="rId1" o:title=""/>
          <o:lock v:ext="edit" aspectratio="t"/>
        </v:shape>
      </w:pict>
    </w:r>
    <w:r>
      <w:pict>
        <v:shape id="_x0000_s1033" o:spid="_x0000_s1033" o:spt="75" type="#_x0000_t75" style="position:absolute;left:0pt;margin-left:370pt;margin-top:655pt;height:76pt;width:100pt;z-index:-251650048;mso-width-relative:page;mso-height-relative:page;" filled="f" o:preferrelative="t" stroked="f" coordsize="21600,21600">
          <v:path/>
          <v:fill on="f" focussize="0,0"/>
          <v:stroke on="f" joinstyle="miter"/>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singleLevel"/>
    <w:tmpl w:val="BF205925"/>
    <w:lvl w:ilvl="0" w:tentative="0">
      <w:start w:val="1"/>
      <w:numFmt w:val="decimal"/>
      <w:suff w:val="nothing"/>
      <w:lvlText w:val="%1."/>
      <w:lvlJc w:val="left"/>
      <w:pPr>
        <w:tabs>
          <w:tab w:val="left" w:pos="0"/>
        </w:tabs>
      </w:pPr>
      <w:rPr>
        <w:rFonts w:hint="default" w:ascii="宋体" w:hAnsi="宋体" w:eastAsia="宋体" w:cs="宋体"/>
      </w:rPr>
    </w:lvl>
  </w:abstractNum>
  <w:abstractNum w:abstractNumId="1">
    <w:nsid w:val="CF092B84"/>
    <w:multiLevelType w:val="multilevel"/>
    <w:tmpl w:val="CF092B84"/>
    <w:lvl w:ilvl="0" w:tentative="0">
      <w:start w:val="1"/>
      <w:numFmt w:val="decimal"/>
      <w:pStyle w:val="16"/>
      <w:lvlText w:val="（%1）"/>
      <w:lvlJc w:val="left"/>
      <w:pPr>
        <w:ind w:left="987" w:hanging="420"/>
      </w:pPr>
      <w:rPr>
        <w:rFonts w:hint="eastAsia" w:cs="Times New Roman"/>
      </w:rPr>
    </w:lvl>
    <w:lvl w:ilvl="1" w:tentative="0">
      <w:start w:val="1"/>
      <w:numFmt w:val="lowerLetter"/>
      <w:lvlText w:val="%2)"/>
      <w:lvlJc w:val="left"/>
      <w:pPr>
        <w:ind w:left="1407" w:hanging="420"/>
      </w:pPr>
      <w:rPr>
        <w:rFonts w:cs="Times New Roman"/>
      </w:rPr>
    </w:lvl>
    <w:lvl w:ilvl="2" w:tentative="0">
      <w:start w:val="1"/>
      <w:numFmt w:val="lowerRoman"/>
      <w:lvlText w:val="%3."/>
      <w:lvlJc w:val="right"/>
      <w:pPr>
        <w:ind w:left="1827" w:hanging="420"/>
      </w:pPr>
      <w:rPr>
        <w:rFonts w:cs="Times New Roman"/>
      </w:rPr>
    </w:lvl>
    <w:lvl w:ilvl="3" w:tentative="0">
      <w:start w:val="1"/>
      <w:numFmt w:val="decimal"/>
      <w:lvlText w:val="%4."/>
      <w:lvlJc w:val="left"/>
      <w:pPr>
        <w:ind w:left="2247" w:hanging="420"/>
      </w:pPr>
      <w:rPr>
        <w:rFonts w:cs="Times New Roman"/>
      </w:rPr>
    </w:lvl>
    <w:lvl w:ilvl="4" w:tentative="0">
      <w:start w:val="1"/>
      <w:numFmt w:val="lowerLetter"/>
      <w:lvlText w:val="%5)"/>
      <w:lvlJc w:val="left"/>
      <w:pPr>
        <w:ind w:left="2667" w:hanging="420"/>
      </w:pPr>
      <w:rPr>
        <w:rFonts w:cs="Times New Roman"/>
      </w:rPr>
    </w:lvl>
    <w:lvl w:ilvl="5" w:tentative="0">
      <w:start w:val="1"/>
      <w:numFmt w:val="lowerRoman"/>
      <w:lvlText w:val="%6."/>
      <w:lvlJc w:val="right"/>
      <w:pPr>
        <w:ind w:left="3087" w:hanging="420"/>
      </w:pPr>
      <w:rPr>
        <w:rFonts w:cs="Times New Roman"/>
      </w:rPr>
    </w:lvl>
    <w:lvl w:ilvl="6" w:tentative="0">
      <w:start w:val="1"/>
      <w:numFmt w:val="decimal"/>
      <w:lvlText w:val="%7."/>
      <w:lvlJc w:val="left"/>
      <w:pPr>
        <w:ind w:left="3507" w:hanging="420"/>
      </w:pPr>
      <w:rPr>
        <w:rFonts w:cs="Times New Roman"/>
      </w:rPr>
    </w:lvl>
    <w:lvl w:ilvl="7" w:tentative="0">
      <w:start w:val="1"/>
      <w:numFmt w:val="lowerLetter"/>
      <w:lvlText w:val="%8)"/>
      <w:lvlJc w:val="left"/>
      <w:pPr>
        <w:ind w:left="3927" w:hanging="420"/>
      </w:pPr>
      <w:rPr>
        <w:rFonts w:cs="Times New Roman"/>
      </w:rPr>
    </w:lvl>
    <w:lvl w:ilvl="8" w:tentative="0">
      <w:start w:val="1"/>
      <w:numFmt w:val="lowerRoman"/>
      <w:lvlText w:val="%9."/>
      <w:lvlJc w:val="right"/>
      <w:pPr>
        <w:ind w:left="4347" w:hanging="420"/>
      </w:pPr>
      <w:rPr>
        <w:rFonts w:cs="Times New Roman"/>
      </w:rPr>
    </w:lvl>
  </w:abstractNum>
  <w:abstractNum w:abstractNumId="2">
    <w:nsid w:val="0053208E"/>
    <w:multiLevelType w:val="multilevel"/>
    <w:tmpl w:val="0053208E"/>
    <w:lvl w:ilvl="0" w:tentative="0">
      <w:start w:val="1"/>
      <w:numFmt w:val="decimal"/>
      <w:lvlText w:val="1.4.5.%1"/>
      <w:lvlJc w:val="left"/>
      <w:pPr>
        <w:tabs>
          <w:tab w:val="left" w:pos="720"/>
        </w:tabs>
      </w:pPr>
      <w:rPr>
        <w:rFonts w:hint="eastAsia" w:cs="Times New Roman"/>
      </w:rPr>
    </w:lvl>
    <w:lvl w:ilvl="1" w:tentative="0">
      <w:start w:val="1"/>
      <w:numFmt w:val="decimal"/>
      <w:pStyle w:val="15"/>
      <w:lvlText w:val="%1.%2"/>
      <w:lvlJc w:val="left"/>
      <w:pPr>
        <w:tabs>
          <w:tab w:val="left" w:pos="360"/>
        </w:tabs>
      </w:pPr>
      <w:rPr>
        <w:rFonts w:hint="eastAsia" w:cs="Times New Roman"/>
      </w:rPr>
    </w:lvl>
    <w:lvl w:ilvl="2" w:tentative="0">
      <w:start w:val="1"/>
      <w:numFmt w:val="decimal"/>
      <w:lvlText w:val="%1.%2.%3"/>
      <w:lvlJc w:val="left"/>
      <w:pPr>
        <w:tabs>
          <w:tab w:val="left" w:pos="1418"/>
        </w:tabs>
        <w:ind w:left="1418" w:hanging="567"/>
      </w:pPr>
      <w:rPr>
        <w:rFonts w:hint="eastAsia" w:cs="Times New Roman"/>
      </w:rPr>
    </w:lvl>
    <w:lvl w:ilvl="3" w:tentative="0">
      <w:start w:val="1"/>
      <w:numFmt w:val="decimal"/>
      <w:lvlText w:val="%1.%2.%3.%4"/>
      <w:lvlJc w:val="left"/>
      <w:pPr>
        <w:tabs>
          <w:tab w:val="left" w:pos="1984"/>
        </w:tabs>
        <w:ind w:left="1984" w:hanging="708"/>
      </w:pPr>
      <w:rPr>
        <w:rFonts w:hint="eastAsia" w:cs="Times New Roman"/>
      </w:rPr>
    </w:lvl>
    <w:lvl w:ilvl="4" w:tentative="0">
      <w:start w:val="1"/>
      <w:numFmt w:val="decimal"/>
      <w:lvlText w:val="%1.%2.%3.%4.%5"/>
      <w:lvlJc w:val="left"/>
      <w:pPr>
        <w:tabs>
          <w:tab w:val="left" w:pos="2781"/>
        </w:tabs>
        <w:ind w:left="2551" w:hanging="850"/>
      </w:pPr>
      <w:rPr>
        <w:rFonts w:hint="eastAsia" w:cs="Times New Roman"/>
      </w:rPr>
    </w:lvl>
    <w:lvl w:ilvl="5" w:tentative="0">
      <w:start w:val="1"/>
      <w:numFmt w:val="decimal"/>
      <w:lvlText w:val="%1.%2.%3.%4.%5.%6"/>
      <w:lvlJc w:val="left"/>
      <w:pPr>
        <w:tabs>
          <w:tab w:val="left" w:pos="3566"/>
        </w:tabs>
        <w:ind w:left="3260" w:hanging="1134"/>
      </w:pPr>
      <w:rPr>
        <w:rFonts w:hint="eastAsia" w:cs="Times New Roman"/>
      </w:rPr>
    </w:lvl>
    <w:lvl w:ilvl="6" w:tentative="0">
      <w:start w:val="1"/>
      <w:numFmt w:val="decimal"/>
      <w:lvlText w:val="%1.%2.%3.%4.%5.%6.%7"/>
      <w:lvlJc w:val="left"/>
      <w:pPr>
        <w:tabs>
          <w:tab w:val="left" w:pos="3991"/>
        </w:tabs>
        <w:ind w:left="3827" w:hanging="1276"/>
      </w:pPr>
      <w:rPr>
        <w:rFonts w:hint="eastAsia" w:cs="Times New Roman"/>
      </w:rPr>
    </w:lvl>
    <w:lvl w:ilvl="7" w:tentative="0">
      <w:start w:val="1"/>
      <w:numFmt w:val="decimal"/>
      <w:lvlText w:val="%1.%2.%3.%4.%5.%6.%7.%8"/>
      <w:lvlJc w:val="left"/>
      <w:pPr>
        <w:tabs>
          <w:tab w:val="left" w:pos="4776"/>
        </w:tabs>
        <w:ind w:left="4394" w:hanging="1418"/>
      </w:pPr>
      <w:rPr>
        <w:rFonts w:hint="eastAsia" w:cs="Times New Roman"/>
      </w:rPr>
    </w:lvl>
    <w:lvl w:ilvl="8" w:tentative="0">
      <w:start w:val="1"/>
      <w:numFmt w:val="decimal"/>
      <w:lvlText w:val="%1.%2.%3.%4.%5.%6.%7.%8.%9"/>
      <w:lvlJc w:val="left"/>
      <w:pPr>
        <w:tabs>
          <w:tab w:val="left" w:pos="5562"/>
        </w:tabs>
        <w:ind w:left="5102" w:hanging="1700"/>
      </w:pPr>
      <w:rPr>
        <w:rFonts w:hint="eastAsia" w:cs="Times New Roman"/>
      </w:rPr>
    </w:lvl>
  </w:abstractNum>
  <w:abstractNum w:abstractNumId="3">
    <w:nsid w:val="03D62ECE"/>
    <w:multiLevelType w:val="multilevel"/>
    <w:tmpl w:val="03D62ECE"/>
    <w:lvl w:ilvl="0" w:tentative="0">
      <w:start w:val="1"/>
      <w:numFmt w:val="decimal"/>
      <w:lvlText w:val="%1."/>
      <w:lvlJc w:val="left"/>
      <w:pPr>
        <w:ind w:left="420" w:hanging="420"/>
      </w:p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9ADCABA"/>
    <w:multiLevelType w:val="multilevel"/>
    <w:tmpl w:val="59ADCABA"/>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27"/>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142" w:firstLine="0"/>
      </w:pPr>
      <w:rPr>
        <w:rFonts w:hint="eastAsia" w:ascii="黑体" w:hAnsi="Times New Roman" w:eastAsia="黑体"/>
        <w:b w:val="0"/>
        <w:i w:val="0"/>
        <w:sz w:val="21"/>
      </w:rPr>
    </w:lvl>
    <w:lvl w:ilvl="3" w:tentative="0">
      <w:start w:val="1"/>
      <w:numFmt w:val="decimal"/>
      <w:suff w:val="nothing"/>
      <w:lvlText w:val="%1%2.%3.%4　"/>
      <w:lvlJc w:val="left"/>
      <w:pPr>
        <w:ind w:left="568"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72183CF9"/>
    <w:multiLevelType w:val="multilevel"/>
    <w:tmpl w:val="72183CF9"/>
    <w:lvl w:ilvl="0" w:tentative="0">
      <w:start w:val="1"/>
      <w:numFmt w:val="decimal"/>
      <w:lvlText w:val="%1."/>
      <w:lvlJc w:val="left"/>
      <w:pPr>
        <w:ind w:left="420" w:hanging="420"/>
      </w:p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420"/>
  <w:drawingGridHorizontalSpacing w:val="105"/>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559"/>
    <w:rsid w:val="0002263E"/>
    <w:rsid w:val="00074C72"/>
    <w:rsid w:val="005B7559"/>
    <w:rsid w:val="006C7A15"/>
    <w:rsid w:val="009C130D"/>
    <w:rsid w:val="0B81032B"/>
    <w:rsid w:val="161E4AE6"/>
    <w:rsid w:val="2B7653BA"/>
    <w:rsid w:val="473C1594"/>
    <w:rsid w:val="4A8F3816"/>
    <w:rsid w:val="79B025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
    <w:pPr>
      <w:keepNext/>
      <w:keepLines/>
      <w:jc w:val="left"/>
      <w:outlineLvl w:val="0"/>
    </w:pPr>
    <w:rPr>
      <w:rFonts w:ascii="Times New Roman" w:hAnsi="Times New Roman"/>
      <w:b/>
      <w:bCs/>
      <w:kern w:val="0"/>
      <w:sz w:val="28"/>
      <w:szCs w:val="44"/>
    </w:rPr>
  </w:style>
  <w:style w:type="paragraph" w:styleId="3">
    <w:name w:val="heading 3"/>
    <w:basedOn w:val="1"/>
    <w:next w:val="1"/>
    <w:unhideWhenUsed/>
    <w:qFormat/>
    <w:uiPriority w:val="9"/>
    <w:pPr>
      <w:spacing w:beforeAutospacing="1" w:afterAutospacing="1"/>
      <w:jc w:val="left"/>
      <w:outlineLvl w:val="2"/>
    </w:pPr>
    <w:rPr>
      <w:rFonts w:hint="eastAsia" w:ascii="宋体" w:hAnsi="宋体" w:cs="宋体"/>
      <w:b/>
      <w:kern w:val="0"/>
      <w:sz w:val="27"/>
      <w:szCs w:val="27"/>
    </w:rPr>
  </w:style>
  <w:style w:type="character" w:default="1" w:styleId="14">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spacing w:beforeAutospacing="1" w:afterAutospacing="1" w:line="360" w:lineRule="auto"/>
      <w:ind w:firstLine="420" w:firstLineChars="200"/>
    </w:pPr>
    <w:rPr>
      <w:rFonts w:ascii="Times New Roman" w:hAnsi="Times New Roman" w:eastAsiaTheme="minorEastAsia" w:cstheme="minorBidi"/>
      <w:sz w:val="24"/>
      <w:szCs w:val="24"/>
    </w:rPr>
  </w:style>
  <w:style w:type="paragraph" w:styleId="5">
    <w:name w:val="Body Text"/>
    <w:basedOn w:val="1"/>
    <w:unhideWhenUsed/>
    <w:qFormat/>
    <w:uiPriority w:val="99"/>
    <w:pPr>
      <w:jc w:val="center"/>
    </w:pPr>
    <w:rPr>
      <w:sz w:val="72"/>
      <w:lang w:val="en-GB"/>
    </w:rPr>
  </w:style>
  <w:style w:type="paragraph" w:styleId="6">
    <w:name w:val="Plain Text"/>
    <w:basedOn w:val="1"/>
    <w:unhideWhenUsed/>
    <w:qFormat/>
    <w:uiPriority w:val="99"/>
    <w:rPr>
      <w:rFonts w:ascii="宋体" w:hAnsi="Courier New"/>
      <w:kern w:val="0"/>
      <w:sz w:val="24"/>
      <w:lang w:val="zh-CN"/>
    </w:rPr>
  </w:style>
  <w:style w:type="paragraph" w:styleId="7">
    <w:name w:val="Balloon Text"/>
    <w:basedOn w:val="1"/>
    <w:unhideWhenUsed/>
    <w:qFormat/>
    <w:uiPriority w:val="99"/>
    <w:rPr>
      <w:sz w:val="18"/>
      <w:szCs w:val="18"/>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spacing w:before="240" w:after="120"/>
    </w:pPr>
    <w:rPr>
      <w:rFonts w:cs="Calibri"/>
      <w:b/>
      <w:bCs/>
      <w:sz w:val="20"/>
      <w:szCs w:val="20"/>
    </w:rPr>
  </w:style>
  <w:style w:type="paragraph" w:styleId="11">
    <w:name w:val="Normal (Web)"/>
    <w:basedOn w:val="1"/>
    <w:qFormat/>
    <w:uiPriority w:val="0"/>
    <w:pPr>
      <w:spacing w:beforeAutospacing="1" w:afterAutospacing="1"/>
      <w:jc w:val="left"/>
    </w:pPr>
    <w:rPr>
      <w:kern w:val="0"/>
      <w:sz w:val="24"/>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引言二级条标题2"/>
    <w:basedOn w:val="16"/>
    <w:qFormat/>
    <w:uiPriority w:val="99"/>
    <w:pPr>
      <w:numPr>
        <w:ilvl w:val="1"/>
        <w:numId w:val="1"/>
      </w:numPr>
      <w:ind w:left="0" w:firstLine="0"/>
    </w:pPr>
  </w:style>
  <w:style w:type="paragraph" w:customStyle="1" w:styleId="16">
    <w:name w:val="引言一级条标题2"/>
    <w:basedOn w:val="1"/>
    <w:qFormat/>
    <w:uiPriority w:val="99"/>
    <w:pPr>
      <w:numPr>
        <w:ilvl w:val="0"/>
        <w:numId w:val="2"/>
      </w:numPr>
    </w:pPr>
    <w:rPr>
      <w:rFonts w:eastAsia="黑体"/>
      <w:b/>
    </w:rPr>
  </w:style>
  <w:style w:type="paragraph" w:customStyle="1" w:styleId="17">
    <w:name w:val="段2"/>
    <w:qFormat/>
    <w:uiPriority w:val="99"/>
    <w:pPr>
      <w:autoSpaceDE w:val="0"/>
      <w:autoSpaceDN w:val="0"/>
      <w:ind w:firstLine="200" w:firstLineChars="200"/>
      <w:jc w:val="both"/>
    </w:pPr>
    <w:rPr>
      <w:rFonts w:ascii="宋体" w:hAnsi="Calibri" w:eastAsia="宋体" w:cs="Times New Roman"/>
      <w:sz w:val="21"/>
      <w:szCs w:val="22"/>
      <w:lang w:val="en-US" w:eastAsia="zh-CN" w:bidi="ar-SA"/>
    </w:rPr>
  </w:style>
  <w:style w:type="paragraph" w:customStyle="1" w:styleId="18">
    <w:name w:val="列出段落1"/>
    <w:basedOn w:val="1"/>
    <w:qFormat/>
    <w:uiPriority w:val="34"/>
    <w:pPr>
      <w:ind w:firstLine="420" w:firstLineChars="200"/>
    </w:pPr>
  </w:style>
  <w:style w:type="character" w:customStyle="1" w:styleId="19">
    <w:name w:val="批注框文本 Char"/>
    <w:basedOn w:val="14"/>
    <w:semiHidden/>
    <w:qFormat/>
    <w:uiPriority w:val="99"/>
    <w:rPr>
      <w:rFonts w:ascii="Calibri" w:hAnsi="Calibri" w:eastAsia="宋体" w:cs="Times New Roman"/>
      <w:sz w:val="18"/>
      <w:szCs w:val="18"/>
    </w:rPr>
  </w:style>
  <w:style w:type="character" w:customStyle="1" w:styleId="20">
    <w:name w:val="页眉 Char"/>
    <w:basedOn w:val="14"/>
    <w:qFormat/>
    <w:uiPriority w:val="99"/>
    <w:rPr>
      <w:rFonts w:ascii="Calibri" w:hAnsi="Calibri" w:eastAsia="宋体" w:cs="Times New Roman"/>
      <w:sz w:val="18"/>
      <w:szCs w:val="18"/>
    </w:rPr>
  </w:style>
  <w:style w:type="character" w:customStyle="1" w:styleId="21">
    <w:name w:val="页脚 Char"/>
    <w:basedOn w:val="14"/>
    <w:qFormat/>
    <w:uiPriority w:val="99"/>
    <w:rPr>
      <w:rFonts w:ascii="Calibri" w:hAnsi="Calibri" w:eastAsia="宋体" w:cs="Times New Roman"/>
      <w:sz w:val="18"/>
      <w:szCs w:val="18"/>
    </w:rPr>
  </w:style>
  <w:style w:type="character" w:customStyle="1" w:styleId="22">
    <w:name w:val="正文缩进 Char"/>
    <w:qFormat/>
    <w:uiPriority w:val="0"/>
    <w:rPr>
      <w:rFonts w:ascii="Times New Roman" w:hAnsi="Times New Roman"/>
      <w:sz w:val="24"/>
      <w:szCs w:val="24"/>
    </w:rPr>
  </w:style>
  <w:style w:type="paragraph" w:customStyle="1" w:styleId="23">
    <w:name w:val="列出段落11"/>
    <w:basedOn w:val="1"/>
    <w:qFormat/>
    <w:uiPriority w:val="34"/>
    <w:pPr>
      <w:ind w:firstLine="420" w:firstLineChars="200"/>
      <w:jc w:val="left"/>
    </w:pPr>
    <w:rPr>
      <w:rFonts w:ascii="Times New Roman" w:hAnsi="Times New Roman"/>
      <w:kern w:val="0"/>
      <w:sz w:val="28"/>
    </w:rPr>
  </w:style>
  <w:style w:type="character" w:customStyle="1" w:styleId="24">
    <w:name w:val="font11"/>
    <w:basedOn w:val="14"/>
    <w:qFormat/>
    <w:uiPriority w:val="0"/>
    <w:rPr>
      <w:rFonts w:hint="eastAsia" w:ascii="宋体" w:hAnsi="宋体" w:eastAsia="宋体" w:cs="宋体"/>
      <w:color w:val="000000"/>
      <w:sz w:val="20"/>
      <w:szCs w:val="20"/>
      <w:u w:val="none"/>
    </w:rPr>
  </w:style>
  <w:style w:type="character" w:customStyle="1" w:styleId="25">
    <w:name w:val="font01"/>
    <w:basedOn w:val="14"/>
    <w:qFormat/>
    <w:uiPriority w:val="0"/>
    <w:rPr>
      <w:rFonts w:hint="eastAsia" w:ascii="宋体" w:hAnsi="宋体" w:eastAsia="宋体" w:cs="宋体"/>
      <w:color w:val="000000"/>
      <w:sz w:val="22"/>
      <w:szCs w:val="22"/>
      <w:u w:val="none"/>
    </w:rPr>
  </w:style>
  <w:style w:type="paragraph" w:customStyle="1" w:styleId="26">
    <w:name w:val="列表段落1"/>
    <w:basedOn w:val="1"/>
    <w:qFormat/>
    <w:uiPriority w:val="34"/>
    <w:pPr>
      <w:ind w:firstLine="420" w:firstLineChars="200"/>
    </w:pPr>
  </w:style>
  <w:style w:type="paragraph" w:customStyle="1" w:styleId="27">
    <w:name w:val="章标题"/>
    <w:qFormat/>
    <w:uiPriority w:val="0"/>
    <w:pPr>
      <w:numPr>
        <w:ilvl w:val="1"/>
        <w:numId w:val="3"/>
      </w:num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28">
    <w:name w:val="段"/>
    <w:qFormat/>
    <w:uiPriority w:val="0"/>
    <w:pPr>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9">
    <w:name w:val="列出段落2"/>
    <w:basedOn w:val="1"/>
    <w:qFormat/>
    <w:uiPriority w:val="34"/>
    <w:pPr>
      <w:ind w:firstLine="420" w:firstLineChars="200"/>
    </w:pPr>
  </w:style>
  <w:style w:type="paragraph" w:customStyle="1" w:styleId="30">
    <w:name w:val="我的正文1"/>
    <w:basedOn w:val="1"/>
    <w:qFormat/>
    <w:uiPriority w:val="0"/>
    <w:pPr>
      <w:widowControl/>
      <w:spacing w:line="360" w:lineRule="auto"/>
      <w:ind w:firstLine="420" w:firstLineChars="200"/>
      <w:jc w:val="left"/>
    </w:pPr>
  </w:style>
  <w:style w:type="paragraph" w:customStyle="1" w:styleId="31">
    <w:name w:val="黑体表名"/>
    <w:basedOn w:val="1"/>
    <w:qFormat/>
    <w:uiPriority w:val="0"/>
    <w:pPr>
      <w:adjustRightInd w:val="0"/>
      <w:snapToGrid w:val="0"/>
      <w:spacing w:before="50" w:beforeLines="50" w:line="360" w:lineRule="auto"/>
      <w:jc w:val="center"/>
    </w:pPr>
    <w:rPr>
      <w:rFonts w:ascii="Times New Roman" w:hAnsi="Times New Roman" w:eastAsia="黑体"/>
      <w:sz w:val="24"/>
      <w:szCs w:val="20"/>
    </w:rPr>
  </w:style>
  <w:style w:type="paragraph" w:customStyle="1" w:styleId="32">
    <w:name w:val="Paragraph"/>
    <w:basedOn w:val="1"/>
    <w:qFormat/>
    <w:uiPriority w:val="0"/>
    <w:pPr>
      <w:spacing w:before="120" w:after="120"/>
    </w:pPr>
    <w:rPr>
      <w:rFonts w:ascii="GE Inspira" w:hAnsi="GE Inspira"/>
      <w:kern w:val="0"/>
      <w:szCs w:val="24"/>
    </w:rPr>
  </w:style>
  <w:style w:type="paragraph" w:customStyle="1" w:styleId="33">
    <w:name w:val="方案正文"/>
    <w:basedOn w:val="1"/>
    <w:qFormat/>
    <w:uiPriority w:val="0"/>
    <w:pPr>
      <w:spacing w:line="360" w:lineRule="auto"/>
      <w:ind w:firstLine="480" w:firstLineChars="200"/>
    </w:pPr>
    <w:rPr>
      <w:rFonts w:ascii="仿宋_GB2312"/>
      <w:sz w:val="24"/>
      <w:szCs w:val="24"/>
    </w:rPr>
  </w:style>
  <w:style w:type="paragraph" w:customStyle="1" w:styleId="34">
    <w:name w:val="列出段落3"/>
    <w:basedOn w:val="1"/>
    <w:qFormat/>
    <w:uiPriority w:val="34"/>
    <w:pPr>
      <w:ind w:firstLine="420" w:firstLineChars="200"/>
    </w:pPr>
  </w:style>
  <w:style w:type="paragraph" w:customStyle="1" w:styleId="35">
    <w:name w:val="正文4"/>
    <w:basedOn w:val="1"/>
    <w:qFormat/>
    <w:uiPriority w:val="0"/>
    <w:pPr>
      <w:spacing w:line="360" w:lineRule="auto"/>
      <w:ind w:left="400" w:leftChars="400"/>
    </w:pPr>
    <w:rPr>
      <w:rFonts w:ascii="宋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5"/>
    <customShpInfo spid="_x0000_s1026"/>
    <customShpInfo spid="_x0000_s1027"/>
    <customShpInfo spid="_x0000_s1028"/>
    <customShpInfo spid="_x0000_s1029"/>
    <customShpInfo spid="_x0000_s1030"/>
    <customShpInfo spid="_x0000_s1031"/>
    <customShpInfo spid="_x0000_s1032"/>
    <customShpInfo spid="_x0000_s1033"/>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

<file path=customXml/item3.xml><?xml version="1.0" encoding="utf-8"?>
<Properties xmlns="http://schemas.openxmlformats.org/officeDocument/2006/extended-properties" xmlns:vt="http://schemas.openxmlformats.org/officeDocument/2006/docPropsVTypes">
  <Company>P R C</Company>
  <Pages>1</Pages>
  <Words>2983</Words>
  <Characters>17004</Characters>
  <Lines>1</Lines>
  <Paragraphs>1</Paragraphs>
  <TotalTime>8</TotalTime>
  <ScaleCrop>false</ScaleCrop>
  <LinksUpToDate>false</LinksUpToDate>
  <CharactersWithSpaces>19948</CharactersWithSpaces>
  <Application>WPS Office_10.8.2.6666_F1E327BC-269C-435d-A152-05C5408002CA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2017-09-28T23:43:00Z</dcterms:created>
  <dc:creator>Windows User</dc:creator>
  <cp:lastModifiedBy>王毅</cp:lastModifiedBy>
  <dcterms:modified xsi:type="dcterms:W3CDTF">2022-04-12T02:31:28Z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68A264-DF75-4625-9C55-43E6D69028E0}">
  <ds:schemaRefs/>
</ds:datastoreItem>
</file>

<file path=customXml/itemProps3.xml><?xml version="1.0" encoding="utf-8"?>
<ds:datastoreItem xmlns:ds="http://schemas.openxmlformats.org/officeDocument/2006/customXml" ds:itemID="{CC17862B-B701-4377-B4F1-289E63EEECDB}">
  <ds:schemaRefs/>
</ds:datastoreItem>
</file>

<file path=customXml/itemProps4.xml><?xml version="1.0" encoding="utf-8"?>
<ds:datastoreItem xmlns:ds="http://schemas.openxmlformats.org/officeDocument/2006/customXml" ds:itemID="{497F6FC7-3B8C-4366-93D5-FE5DF650D10D}">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6</Pages>
  <Words>308</Words>
  <Characters>1761</Characters>
  <Lines>14</Lines>
  <Paragraphs>4</Paragraphs>
  <TotalTime>16</TotalTime>
  <ScaleCrop>false</ScaleCrop>
  <LinksUpToDate>false</LinksUpToDate>
  <CharactersWithSpaces>2065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2017-09-28T23:43:00Z</dcterms:created>
  <dc:creator>Windows User</dc:creator>
  <cp:lastModifiedBy>凌翔</cp:lastModifiedBy>
  <dcterms:modified xsi:type="dcterms:W3CDTF">2025-12-22T02:12:47Z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2AE24A3760EE47019FE69FB29BD1E644</vt:lpwstr>
  </property>
</Properties>
</file>