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463909">
      <w:pPr>
        <w:jc w:val="center"/>
        <w:rPr>
          <w:rFonts w:hint="default" w:ascii="Times New Roman" w:hAnsi="Times New Roman" w:cs="Times New Roman"/>
          <w:b/>
          <w:bCs/>
          <w:sz w:val="32"/>
          <w:szCs w:val="40"/>
        </w:rPr>
      </w:pPr>
      <w:r>
        <w:rPr>
          <w:rFonts w:hint="default" w:ascii="Times New Roman" w:hAnsi="Times New Roman" w:cs="Times New Roman"/>
          <w:b/>
          <w:bCs/>
          <w:sz w:val="32"/>
          <w:szCs w:val="40"/>
        </w:rPr>
        <w:t>电能表校验仪快速接线模块 零星采购技术要求</w:t>
      </w:r>
    </w:p>
    <w:p w14:paraId="5BE10B50">
      <w:pPr>
        <w:rPr>
          <w:rFonts w:hint="default" w:ascii="Times New Roman" w:hAnsi="Times New Roman" w:cs="Times New Roman"/>
          <w:b/>
          <w:bCs/>
          <w:sz w:val="28"/>
          <w:szCs w:val="36"/>
        </w:rPr>
      </w:pPr>
      <w:r>
        <w:rPr>
          <w:rFonts w:hint="eastAsia" w:ascii="Times New Roman" w:hAnsi="Times New Roman" w:cs="Times New Roman"/>
          <w:b/>
          <w:bCs/>
          <w:sz w:val="28"/>
          <w:szCs w:val="36"/>
          <w:lang w:val="en-US" w:eastAsia="zh-CN"/>
        </w:rPr>
        <w:t>一、</w:t>
      </w:r>
      <w:r>
        <w:rPr>
          <w:rFonts w:hint="default" w:ascii="Times New Roman" w:hAnsi="Times New Roman" w:cs="Times New Roman"/>
          <w:b/>
          <w:bCs/>
          <w:sz w:val="28"/>
          <w:szCs w:val="36"/>
        </w:rPr>
        <w:t>技术要求</w:t>
      </w:r>
    </w:p>
    <w:p w14:paraId="4D5EC906"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1、</w:t>
      </w:r>
      <w:r>
        <w:rPr>
          <w:rFonts w:hint="eastAsia"/>
          <w:sz w:val="28"/>
          <w:szCs w:val="36"/>
        </w:rPr>
        <w:t>电能表校验仪快速接线模块，模块一端固定在校验仪上，省去现场校验仪侧接线工作，模块另一端使用伸缩探针与电能表的电压线、脉冲线、485线接线柱连接，减少电能表侧接线工作。</w:t>
      </w:r>
    </w:p>
    <w:p w14:paraId="786D8D8A">
      <w:pPr>
        <w:ind w:firstLine="560" w:firstLineChars="200"/>
        <w:rPr>
          <w:rFonts w:hint="eastAsia" w:eastAsia="宋体" w:asciiTheme="majorEastAsia" w:hAnsiTheme="majorEastAsia" w:cstheme="majorEastAsia"/>
          <w:sz w:val="28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36"/>
          <w:lang w:val="en-US" w:eastAsia="zh-CN"/>
        </w:rPr>
        <w:t>2、</w:t>
      </w:r>
      <w:r>
        <w:rPr>
          <w:rFonts w:hint="eastAsia"/>
          <w:sz w:val="28"/>
          <w:szCs w:val="36"/>
        </w:rPr>
        <w:t>快速接线模块固定在校验仪背面，校验仪与接线模块之间固定连接，校验仪侧现场无需接线；快速接线模块通过伸缩探针与电压线、脉冲线、485线连接，确保连接正确可靠</w:t>
      </w:r>
      <w:r>
        <w:rPr>
          <w:rFonts w:hint="eastAsia"/>
          <w:sz w:val="28"/>
          <w:szCs w:val="36"/>
          <w:lang w:eastAsia="zh-CN"/>
        </w:rPr>
        <w:t>。</w:t>
      </w:r>
    </w:p>
    <w:p w14:paraId="11F7D59C">
      <w:pPr>
        <w:rPr>
          <w:rFonts w:hint="default" w:ascii="Times New Roman" w:hAnsi="Times New Roman" w:cs="Times New Roman"/>
          <w:sz w:val="28"/>
          <w:szCs w:val="36"/>
        </w:rPr>
      </w:pPr>
      <w:r>
        <w:rPr>
          <w:rFonts w:hint="default" w:ascii="Times New Roman" w:hAnsi="Times New Roman" w:cs="Times New Roman"/>
          <w:b/>
          <w:bCs/>
          <w:sz w:val="28"/>
          <w:szCs w:val="36"/>
        </w:rPr>
        <w:t>二、其他要求</w:t>
      </w:r>
    </w:p>
    <w:p w14:paraId="6E995AF6">
      <w:pPr>
        <w:rPr>
          <w:rFonts w:hint="default" w:ascii="Times New Roman" w:hAnsi="Times New Roman" w:cs="Times New Roman"/>
          <w:sz w:val="28"/>
          <w:szCs w:val="36"/>
        </w:rPr>
      </w:pPr>
      <w:r>
        <w:rPr>
          <w:rFonts w:hint="default" w:ascii="Times New Roman" w:hAnsi="Times New Roman" w:cs="Times New Roman"/>
          <w:sz w:val="28"/>
          <w:szCs w:val="36"/>
        </w:rPr>
        <w:t xml:space="preserve">    </w:t>
      </w:r>
      <w:r>
        <w:rPr>
          <w:rFonts w:hint="eastAsia" w:ascii="Times New Roman" w:hAnsi="Times New Roman" w:cs="Times New Roman"/>
          <w:sz w:val="28"/>
          <w:szCs w:val="36"/>
          <w:lang w:val="en-US" w:eastAsia="zh-CN"/>
        </w:rPr>
        <w:t>1</w:t>
      </w:r>
      <w:r>
        <w:rPr>
          <w:rFonts w:hint="default" w:ascii="Times New Roman" w:hAnsi="Times New Roman" w:cs="Times New Roman"/>
          <w:sz w:val="28"/>
          <w:szCs w:val="36"/>
        </w:rPr>
        <w:t>、供应商需配合完成项目相关技术资料编写，包含但不限于整套图纸设计、材料采购、加工、测试、技术总结报告、工作总结报告、使用说明、项目验收资料等；</w:t>
      </w:r>
    </w:p>
    <w:p w14:paraId="78B93B4C">
      <w:pPr>
        <w:rPr>
          <w:rFonts w:hint="default" w:ascii="Times New Roman" w:hAnsi="Times New Roman" w:cs="Times New Roman"/>
          <w:sz w:val="28"/>
          <w:szCs w:val="36"/>
        </w:rPr>
      </w:pPr>
      <w:r>
        <w:rPr>
          <w:rFonts w:hint="default" w:ascii="Times New Roman" w:hAnsi="Times New Roman" w:cs="Times New Roman"/>
          <w:sz w:val="28"/>
          <w:szCs w:val="36"/>
        </w:rPr>
        <w:t xml:space="preserve">    </w:t>
      </w:r>
      <w:r>
        <w:rPr>
          <w:rFonts w:hint="eastAsia" w:ascii="Times New Roman" w:hAnsi="Times New Roman" w:cs="Times New Roman"/>
          <w:sz w:val="28"/>
          <w:szCs w:val="36"/>
          <w:lang w:val="en-US" w:eastAsia="zh-CN"/>
        </w:rPr>
        <w:t>2</w:t>
      </w:r>
      <w:r>
        <w:rPr>
          <w:rFonts w:hint="default" w:ascii="Times New Roman" w:hAnsi="Times New Roman" w:cs="Times New Roman"/>
          <w:sz w:val="28"/>
          <w:szCs w:val="36"/>
        </w:rPr>
        <w:t>、甲方会结合现场应用场景，综合评估技术方案、设计图，可能会做适当合理调整项目设计方案、功能软件、零部件模块加工测试等，最终以甲方审核确定的方案为准。</w:t>
      </w:r>
    </w:p>
    <w:p w14:paraId="3F5FDACA">
      <w:pPr>
        <w:ind w:firstLine="560" w:firstLineChars="200"/>
        <w:rPr>
          <w:rFonts w:hint="default" w:ascii="Times New Roman" w:hAnsi="Times New Roman" w:cs="Times New Roman"/>
          <w:sz w:val="28"/>
          <w:szCs w:val="36"/>
        </w:rPr>
      </w:pPr>
      <w:r>
        <w:rPr>
          <w:rFonts w:hint="eastAsia" w:ascii="Times New Roman" w:hAnsi="Times New Roman" w:cs="Times New Roman"/>
          <w:sz w:val="28"/>
          <w:szCs w:val="36"/>
          <w:lang w:val="en-US" w:eastAsia="zh-CN"/>
        </w:rPr>
        <w:t>3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36"/>
        </w:rPr>
        <w:t>、供应商如果不能按时按质完成，将按照南方电网公司相关规定对供应商采取相关处罚。</w:t>
      </w:r>
    </w:p>
    <w:p w14:paraId="37E1BAD1">
      <w:pPr>
        <w:ind w:firstLine="560" w:firstLineChars="200"/>
        <w:rPr>
          <w:rFonts w:hint="default" w:ascii="Times New Roman" w:hAnsi="Times New Roman" w:cs="Times New Roman"/>
          <w:sz w:val="28"/>
          <w:szCs w:val="36"/>
        </w:rPr>
      </w:pPr>
      <w:r>
        <w:rPr>
          <w:rFonts w:hint="default" w:ascii="Times New Roman" w:hAnsi="Times New Roman" w:cs="Times New Roman"/>
          <w:sz w:val="28"/>
          <w:szCs w:val="36"/>
        </w:rPr>
        <w:t>备注：所需证明文件：营业执照、历年业绩证明、提交本项目技术方案和设计图进行综合评估。</w:t>
      </w:r>
    </w:p>
    <w:p w14:paraId="2B5A8ECB">
      <w:pPr>
        <w:jc w:val="both"/>
        <w:rPr>
          <w:rFonts w:hint="default" w:ascii="Times New Roman" w:hAnsi="Times New Roman" w:cs="Times New Roman"/>
          <w:b/>
          <w:bCs/>
          <w:sz w:val="32"/>
          <w:szCs w:val="40"/>
        </w:rPr>
      </w:pPr>
    </w:p>
    <w:p w14:paraId="717BA48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C348C4"/>
    <w:rsid w:val="15D05455"/>
    <w:rsid w:val="2CC3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2025-12-25T13:00:00Z</dcterms:created>
  <dc:creator>Administrator</dc:creator>
  <cp:lastModifiedBy>Administrator</cp:lastModifiedBy>
  <dcterms:modified xsi:type="dcterms:W3CDTF">2025-12-25T13:17:54Z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18F825C65CF84C98944EF5C076C3F450_11</vt:lpwstr>
  </property>
  <property fmtid="{D5CDD505-2E9C-101B-9397-08002B2CF9AE}" pid="4" name="KSOTemplateDocerSaveRecord">
    <vt:lpwstr>eyJoZGlkIjoiMzQ1MDFkNjExN2I5ZmRkNTcxYjFmMGVmOGNiY2I5ZDQiLCJ1c2VySWQiOiI0MjYyNjY3MDIifQ==</vt:lpwstr>
  </property>
</Properties>
</file>