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680234">
      <w:pPr>
        <w:pStyle w:val="9"/>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32"/>
          <w:szCs w:val="32"/>
          <w:highlight w:val="none"/>
          <w:u w:val="none"/>
          <w:lang w:val="en-US" w:eastAsia="zh-CN"/>
        </w:rPr>
      </w:pPr>
      <w:bookmarkStart w:id="0" w:name="_Toc8445"/>
      <w:r>
        <w:rPr>
          <w:rFonts w:hint="eastAsia" w:asciiTheme="minorEastAsia" w:hAnsiTheme="minorEastAsia" w:eastAsiaTheme="minorEastAsia" w:cstheme="minorEastAsia"/>
          <w:b/>
          <w:bCs/>
          <w:snapToGrid w:val="0"/>
          <w:color w:val="auto"/>
          <w:kern w:val="0"/>
          <w:sz w:val="32"/>
          <w:szCs w:val="32"/>
          <w:highlight w:val="none"/>
          <w:u w:val="none"/>
          <w:lang w:val="en-US" w:eastAsia="zh-CN"/>
        </w:rPr>
        <w:t>附件A.项目信息清单</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（广州供电局2026-2027年220千伏及以下输变电迁改工程勘察设计）</w:t>
      </w:r>
    </w:p>
    <w:bookmarkEnd w:id="0"/>
    <w:p w14:paraId="46530556">
      <w:pPr>
        <w:pStyle w:val="9"/>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项目信息</w:t>
      </w:r>
    </w:p>
    <w:p w14:paraId="4C02EDE6">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hAnsi="宋体" w:cs="宋体"/>
          <w:b/>
          <w:bCs/>
          <w:snapToGrid w:val="0"/>
          <w:color w:val="auto"/>
          <w:kern w:val="0"/>
          <w:sz w:val="24"/>
          <w:szCs w:val="24"/>
          <w:highlight w:val="none"/>
          <w:u w:val="none"/>
          <w:lang w:val="en-US" w:eastAsia="zh-CN"/>
        </w:rPr>
        <w:t>招标前期资料</w:t>
      </w:r>
    </w:p>
    <w:tbl>
      <w:tblPr>
        <w:tblStyle w:val="12"/>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3783"/>
        <w:gridCol w:w="5250"/>
      </w:tblGrid>
      <w:tr w14:paraId="69BB4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jc w:val="center"/>
        </w:trPr>
        <w:tc>
          <w:tcPr>
            <w:tcW w:w="776" w:type="dxa"/>
            <w:noWrap w:val="0"/>
            <w:vAlign w:val="top"/>
          </w:tcPr>
          <w:p w14:paraId="048580A6">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序号</w:t>
            </w:r>
          </w:p>
        </w:tc>
        <w:tc>
          <w:tcPr>
            <w:tcW w:w="3783" w:type="dxa"/>
            <w:noWrap w:val="0"/>
            <w:vAlign w:val="top"/>
          </w:tcPr>
          <w:p w14:paraId="12261B77">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文件名称</w:t>
            </w:r>
          </w:p>
        </w:tc>
        <w:tc>
          <w:tcPr>
            <w:tcW w:w="5250" w:type="dxa"/>
            <w:noWrap w:val="0"/>
            <w:vAlign w:val="top"/>
          </w:tcPr>
          <w:p w14:paraId="06DA4126">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文件文号</w:t>
            </w:r>
          </w:p>
        </w:tc>
      </w:tr>
      <w:tr w14:paraId="5F01E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0BF7AF19">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w:t>
            </w:r>
          </w:p>
        </w:tc>
        <w:tc>
          <w:tcPr>
            <w:tcW w:w="3783" w:type="dxa"/>
            <w:noWrap w:val="0"/>
            <w:vAlign w:val="center"/>
          </w:tcPr>
          <w:p w14:paraId="790D9566">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可研批复文号</w:t>
            </w:r>
          </w:p>
        </w:tc>
        <w:tc>
          <w:tcPr>
            <w:tcW w:w="5250" w:type="dxa"/>
            <w:noWrap w:val="0"/>
            <w:vAlign w:val="center"/>
          </w:tcPr>
          <w:p w14:paraId="4A26C884">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w:t>
            </w:r>
          </w:p>
        </w:tc>
      </w:tr>
      <w:tr w14:paraId="24E28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08EB5E08">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2</w:t>
            </w:r>
          </w:p>
        </w:tc>
        <w:tc>
          <w:tcPr>
            <w:tcW w:w="3783" w:type="dxa"/>
            <w:noWrap w:val="0"/>
            <w:vAlign w:val="center"/>
          </w:tcPr>
          <w:p w14:paraId="6BACAC40">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项目核准/备案文号</w:t>
            </w:r>
          </w:p>
        </w:tc>
        <w:tc>
          <w:tcPr>
            <w:tcW w:w="5250" w:type="dxa"/>
            <w:noWrap w:val="0"/>
            <w:vAlign w:val="center"/>
          </w:tcPr>
          <w:p w14:paraId="5733F24F">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纳入本框架采购协议内各迁改项目的立项批复文件</w:t>
            </w:r>
          </w:p>
        </w:tc>
      </w:tr>
      <w:tr w14:paraId="5114E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39438A7C">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3</w:t>
            </w:r>
          </w:p>
        </w:tc>
        <w:tc>
          <w:tcPr>
            <w:tcW w:w="3783" w:type="dxa"/>
            <w:noWrap w:val="0"/>
            <w:vAlign w:val="center"/>
          </w:tcPr>
          <w:p w14:paraId="5D3A25BD">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资金落实情况</w:t>
            </w:r>
          </w:p>
        </w:tc>
        <w:tc>
          <w:tcPr>
            <w:tcW w:w="5250" w:type="dxa"/>
            <w:noWrap w:val="0"/>
            <w:vAlign w:val="center"/>
          </w:tcPr>
          <w:p w14:paraId="34E4138C">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纳入本框架采购协议内各迁改项目的迁改资金</w:t>
            </w:r>
          </w:p>
        </w:tc>
      </w:tr>
      <w:tr w14:paraId="3FBA0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7CE86F91">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4</w:t>
            </w:r>
          </w:p>
        </w:tc>
        <w:tc>
          <w:tcPr>
            <w:tcW w:w="3783" w:type="dxa"/>
            <w:noWrap w:val="0"/>
            <w:vAlign w:val="center"/>
          </w:tcPr>
          <w:p w14:paraId="39A95012">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项目建设单位</w:t>
            </w:r>
          </w:p>
        </w:tc>
        <w:tc>
          <w:tcPr>
            <w:tcW w:w="5250" w:type="dxa"/>
            <w:noWrap w:val="0"/>
            <w:vAlign w:val="center"/>
          </w:tcPr>
          <w:p w14:paraId="47B63C06">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广东电网有限责任公司广州供电局</w:t>
            </w:r>
          </w:p>
        </w:tc>
      </w:tr>
      <w:tr w14:paraId="55211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080B7FED">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5</w:t>
            </w:r>
          </w:p>
        </w:tc>
        <w:tc>
          <w:tcPr>
            <w:tcW w:w="3783" w:type="dxa"/>
            <w:noWrap w:val="0"/>
            <w:vAlign w:val="center"/>
          </w:tcPr>
          <w:p w14:paraId="065C43B0">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项目建设地点</w:t>
            </w:r>
          </w:p>
        </w:tc>
        <w:tc>
          <w:tcPr>
            <w:tcW w:w="5250" w:type="dxa"/>
            <w:noWrap w:val="0"/>
            <w:vAlign w:val="center"/>
          </w:tcPr>
          <w:p w14:paraId="4520563A">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广州市</w:t>
            </w:r>
          </w:p>
        </w:tc>
      </w:tr>
      <w:tr w14:paraId="68D26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776" w:type="dxa"/>
            <w:noWrap w:val="0"/>
            <w:vAlign w:val="center"/>
          </w:tcPr>
          <w:p w14:paraId="0EF3F97F">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6</w:t>
            </w:r>
          </w:p>
        </w:tc>
        <w:tc>
          <w:tcPr>
            <w:tcW w:w="3783" w:type="dxa"/>
            <w:noWrap w:val="0"/>
            <w:vAlign w:val="center"/>
          </w:tcPr>
          <w:p w14:paraId="5782FC0A">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工期/服务期</w:t>
            </w:r>
          </w:p>
        </w:tc>
        <w:tc>
          <w:tcPr>
            <w:tcW w:w="5250" w:type="dxa"/>
            <w:noWrap w:val="0"/>
            <w:vAlign w:val="center"/>
          </w:tcPr>
          <w:p w14:paraId="6DF826CF">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合同签订之日起至2027年12月31日。</w:t>
            </w:r>
          </w:p>
        </w:tc>
      </w:tr>
    </w:tbl>
    <w:p w14:paraId="300C519E">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4"/>
          <w:szCs w:val="24"/>
          <w:highlight w:val="none"/>
          <w:u w:val="none"/>
          <w:lang w:val="en-US" w:eastAsia="zh-CN"/>
        </w:rPr>
      </w:pPr>
    </w:p>
    <w:p w14:paraId="36724294">
      <w:pP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u w:val="none"/>
          <w:lang w:val="en-US" w:eastAsia="zh-CN"/>
        </w:rPr>
        <w:t>一、项目概况</w:t>
      </w:r>
    </w:p>
    <w:p w14:paraId="15979486">
      <w:pPr>
        <w:keepNext w:val="0"/>
        <w:keepLines w:val="0"/>
        <w:pageBreakBefore w:val="0"/>
        <w:shd w:val="clear" w:color="auto" w:fill="auto"/>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Times New Roman"/>
          <w:color w:val="auto"/>
          <w:sz w:val="24"/>
          <w:szCs w:val="24"/>
          <w:highlight w:val="none"/>
          <w:u w:val="none"/>
          <w:lang w:val="en-US" w:eastAsia="zh-CN"/>
        </w:rPr>
      </w:pPr>
      <w:r>
        <w:rPr>
          <w:rFonts w:hint="eastAsia" w:ascii="宋体" w:hAnsi="宋体" w:eastAsia="宋体"/>
          <w:color w:val="auto"/>
          <w:sz w:val="24"/>
          <w:szCs w:val="24"/>
          <w:highlight w:val="none"/>
          <w:u w:val="none"/>
          <w:lang w:val="en-US" w:eastAsia="zh-CN"/>
        </w:rPr>
        <w:t>根据广州供电局输变电设施迁改项目工程管理的需要，开展广州供电局</w:t>
      </w:r>
      <w:r>
        <w:rPr>
          <w:rFonts w:hint="eastAsia" w:ascii="宋体" w:hAnsi="宋体"/>
          <w:color w:val="auto"/>
          <w:sz w:val="24"/>
          <w:szCs w:val="24"/>
          <w:highlight w:val="none"/>
          <w:u w:val="none"/>
          <w:lang w:val="en-US" w:eastAsia="zh-CN"/>
        </w:rPr>
        <w:t>2026-2027年</w:t>
      </w:r>
      <w:r>
        <w:rPr>
          <w:rFonts w:hint="eastAsia" w:ascii="宋体" w:hAnsi="宋体" w:eastAsia="宋体"/>
          <w:color w:val="auto"/>
          <w:sz w:val="24"/>
          <w:szCs w:val="24"/>
          <w:highlight w:val="none"/>
          <w:u w:val="none"/>
          <w:lang w:val="en-US" w:eastAsia="zh-CN"/>
        </w:rPr>
        <w:t>220千伏及以下输变</w:t>
      </w:r>
      <w:r>
        <w:rPr>
          <w:rFonts w:hint="eastAsia" w:ascii="宋体" w:hAnsi="宋体" w:eastAsia="宋体" w:cs="Times New Roman"/>
          <w:color w:val="auto"/>
          <w:sz w:val="24"/>
          <w:szCs w:val="24"/>
          <w:highlight w:val="none"/>
          <w:u w:val="none"/>
          <w:lang w:val="en-US" w:eastAsia="zh-CN"/>
        </w:rPr>
        <w:t>电迁改工程勘察设计工作。对于包含500千伏输变电设施的迁改工程，剔除500千伏部分后，根据剩余输变电设施情况（最高电压等级、是否包含隧道）套用相应框架合同，最终以招标人根据标的及</w:t>
      </w:r>
      <w:r>
        <w:rPr>
          <w:rFonts w:hint="eastAsia" w:ascii="宋体" w:hAnsi="宋体" w:cs="Times New Roman"/>
          <w:color w:val="auto"/>
          <w:sz w:val="24"/>
          <w:szCs w:val="24"/>
          <w:highlight w:val="none"/>
          <w:u w:val="none"/>
          <w:lang w:val="en-US" w:eastAsia="zh-CN"/>
        </w:rPr>
        <w:t>标包</w:t>
      </w:r>
      <w:r>
        <w:rPr>
          <w:rFonts w:hint="eastAsia" w:ascii="宋体" w:hAnsi="宋体" w:eastAsia="宋体" w:cs="Times New Roman"/>
          <w:color w:val="auto"/>
          <w:sz w:val="24"/>
          <w:szCs w:val="24"/>
          <w:highlight w:val="none"/>
          <w:u w:val="none"/>
          <w:lang w:val="en-US" w:eastAsia="zh-CN"/>
        </w:rPr>
        <w:t>划分原则和招标结果出具的委托书为准。</w:t>
      </w:r>
    </w:p>
    <w:p w14:paraId="4B3682D0">
      <w:pPr>
        <w:keepNext w:val="0"/>
        <w:keepLines w:val="0"/>
        <w:pageBreakBefore w:val="0"/>
        <w:shd w:val="clear" w:color="auto" w:fill="auto"/>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olor w:val="auto"/>
          <w:sz w:val="24"/>
          <w:szCs w:val="24"/>
          <w:highlight w:val="none"/>
          <w:u w:val="none"/>
          <w:lang w:val="en-US" w:eastAsia="zh-CN"/>
        </w:rPr>
      </w:pPr>
      <w:r>
        <w:rPr>
          <w:rFonts w:hint="eastAsia" w:ascii="宋体" w:hAnsi="宋体" w:eastAsia="宋体"/>
          <w:color w:val="auto"/>
          <w:sz w:val="24"/>
          <w:szCs w:val="24"/>
          <w:highlight w:val="none"/>
          <w:u w:val="none"/>
          <w:lang w:val="en-US" w:eastAsia="zh-CN"/>
        </w:rPr>
        <w:t>其中，标的1为广州供电局</w:t>
      </w:r>
      <w:r>
        <w:rPr>
          <w:rFonts w:hint="eastAsia" w:ascii="宋体" w:hAnsi="宋体"/>
          <w:color w:val="auto"/>
          <w:sz w:val="24"/>
          <w:szCs w:val="24"/>
          <w:highlight w:val="none"/>
          <w:u w:val="none"/>
          <w:lang w:val="en-US" w:eastAsia="zh-CN"/>
        </w:rPr>
        <w:t>2026-2027年</w:t>
      </w:r>
      <w:r>
        <w:rPr>
          <w:rFonts w:hint="eastAsia" w:ascii="宋体" w:hAnsi="宋体" w:eastAsia="宋体"/>
          <w:color w:val="auto"/>
          <w:sz w:val="24"/>
          <w:szCs w:val="24"/>
          <w:highlight w:val="none"/>
          <w:u w:val="none"/>
          <w:lang w:val="en-US" w:eastAsia="zh-CN"/>
        </w:rPr>
        <w:t>220千伏及以下输变电迁改工程（不含隧道项目）勘察设计，分为3个</w:t>
      </w:r>
      <w:r>
        <w:rPr>
          <w:rFonts w:hint="eastAsia" w:ascii="宋体" w:hAnsi="宋体"/>
          <w:color w:val="auto"/>
          <w:sz w:val="24"/>
          <w:szCs w:val="24"/>
          <w:highlight w:val="none"/>
          <w:u w:val="none"/>
          <w:lang w:val="en-US" w:eastAsia="zh-CN"/>
        </w:rPr>
        <w:t>标包</w:t>
      </w:r>
      <w:r>
        <w:rPr>
          <w:rFonts w:hint="eastAsia" w:ascii="宋体" w:hAnsi="宋体" w:eastAsia="宋体"/>
          <w:color w:val="auto"/>
          <w:sz w:val="24"/>
          <w:szCs w:val="24"/>
          <w:highlight w:val="none"/>
          <w:u w:val="none"/>
          <w:lang w:val="en-US" w:eastAsia="zh-CN"/>
        </w:rPr>
        <w:t>，</w:t>
      </w:r>
      <w:r>
        <w:rPr>
          <w:rFonts w:hint="eastAsia" w:ascii="宋体" w:hAnsi="宋体"/>
          <w:color w:val="auto"/>
          <w:sz w:val="24"/>
          <w:szCs w:val="24"/>
          <w:highlight w:val="none"/>
          <w:u w:val="none"/>
          <w:lang w:val="en-US" w:eastAsia="zh-CN"/>
        </w:rPr>
        <w:t>标包</w:t>
      </w:r>
      <w:r>
        <w:rPr>
          <w:rFonts w:hint="eastAsia" w:ascii="宋体" w:hAnsi="宋体" w:eastAsia="宋体"/>
          <w:color w:val="auto"/>
          <w:sz w:val="24"/>
          <w:szCs w:val="24"/>
          <w:highlight w:val="none"/>
          <w:u w:val="none"/>
          <w:lang w:val="en-US" w:eastAsia="zh-CN"/>
        </w:rPr>
        <w:t>1分配份额为50%，</w:t>
      </w:r>
      <w:r>
        <w:rPr>
          <w:rFonts w:hint="eastAsia" w:ascii="宋体" w:hAnsi="宋体"/>
          <w:color w:val="auto"/>
          <w:sz w:val="24"/>
          <w:szCs w:val="24"/>
          <w:highlight w:val="none"/>
          <w:u w:val="none"/>
          <w:lang w:val="en-US" w:eastAsia="zh-CN"/>
        </w:rPr>
        <w:t>标包</w:t>
      </w:r>
      <w:r>
        <w:rPr>
          <w:rFonts w:hint="eastAsia" w:ascii="宋体" w:hAnsi="宋体" w:eastAsia="宋体"/>
          <w:color w:val="auto"/>
          <w:sz w:val="24"/>
          <w:szCs w:val="24"/>
          <w:highlight w:val="none"/>
          <w:u w:val="none"/>
          <w:lang w:val="en-US" w:eastAsia="zh-CN"/>
        </w:rPr>
        <w:t>2分配份额为30%，</w:t>
      </w:r>
      <w:r>
        <w:rPr>
          <w:rFonts w:hint="eastAsia" w:ascii="宋体" w:hAnsi="宋体"/>
          <w:color w:val="auto"/>
          <w:sz w:val="24"/>
          <w:szCs w:val="24"/>
          <w:highlight w:val="none"/>
          <w:u w:val="none"/>
          <w:lang w:val="en-US" w:eastAsia="zh-CN"/>
        </w:rPr>
        <w:t>标包</w:t>
      </w:r>
      <w:r>
        <w:rPr>
          <w:rFonts w:hint="eastAsia" w:ascii="宋体" w:hAnsi="宋体" w:eastAsia="宋体"/>
          <w:color w:val="auto"/>
          <w:sz w:val="24"/>
          <w:szCs w:val="24"/>
          <w:highlight w:val="none"/>
          <w:u w:val="none"/>
          <w:lang w:val="en-US" w:eastAsia="zh-CN"/>
        </w:rPr>
        <w:t>3分配份额为20%；标的2为广州供电局</w:t>
      </w:r>
      <w:r>
        <w:rPr>
          <w:rFonts w:hint="eastAsia" w:ascii="宋体" w:hAnsi="宋体"/>
          <w:color w:val="auto"/>
          <w:sz w:val="24"/>
          <w:szCs w:val="24"/>
          <w:highlight w:val="none"/>
          <w:u w:val="none"/>
          <w:lang w:val="en-US" w:eastAsia="zh-CN"/>
        </w:rPr>
        <w:t>2026-2027年</w:t>
      </w:r>
      <w:r>
        <w:rPr>
          <w:rFonts w:hint="eastAsia" w:ascii="宋体" w:hAnsi="宋体" w:eastAsia="宋体"/>
          <w:color w:val="auto"/>
          <w:sz w:val="24"/>
          <w:szCs w:val="24"/>
          <w:highlight w:val="none"/>
          <w:u w:val="none"/>
          <w:lang w:val="en-US" w:eastAsia="zh-CN"/>
        </w:rPr>
        <w:t>220千伏及以下输变电迁改工程（含隧道项目）勘察设计，分为3个</w:t>
      </w:r>
      <w:r>
        <w:rPr>
          <w:rFonts w:hint="eastAsia" w:ascii="宋体" w:hAnsi="宋体"/>
          <w:color w:val="auto"/>
          <w:sz w:val="24"/>
          <w:szCs w:val="24"/>
          <w:highlight w:val="none"/>
          <w:u w:val="none"/>
          <w:lang w:val="en-US" w:eastAsia="zh-CN"/>
        </w:rPr>
        <w:t>标包</w:t>
      </w:r>
      <w:r>
        <w:rPr>
          <w:rFonts w:hint="eastAsia" w:ascii="宋体" w:hAnsi="宋体" w:eastAsia="宋体"/>
          <w:color w:val="auto"/>
          <w:sz w:val="24"/>
          <w:szCs w:val="24"/>
          <w:highlight w:val="none"/>
          <w:u w:val="none"/>
          <w:lang w:val="en-US" w:eastAsia="zh-CN"/>
        </w:rPr>
        <w:t>，</w:t>
      </w:r>
      <w:r>
        <w:rPr>
          <w:rFonts w:hint="eastAsia" w:ascii="宋体" w:hAnsi="宋体"/>
          <w:color w:val="auto"/>
          <w:sz w:val="24"/>
          <w:szCs w:val="24"/>
          <w:highlight w:val="none"/>
          <w:u w:val="none"/>
          <w:lang w:val="en-US" w:eastAsia="zh-CN"/>
        </w:rPr>
        <w:t>标包</w:t>
      </w:r>
      <w:r>
        <w:rPr>
          <w:rFonts w:hint="eastAsia" w:ascii="宋体" w:hAnsi="宋体" w:eastAsia="宋体"/>
          <w:color w:val="auto"/>
          <w:sz w:val="24"/>
          <w:szCs w:val="24"/>
          <w:highlight w:val="none"/>
          <w:u w:val="none"/>
          <w:lang w:val="en-US" w:eastAsia="zh-CN"/>
        </w:rPr>
        <w:t>1分配份额为</w:t>
      </w:r>
      <w:r>
        <w:rPr>
          <w:rFonts w:hint="eastAsia" w:ascii="宋体" w:hAnsi="宋体"/>
          <w:color w:val="auto"/>
          <w:sz w:val="24"/>
          <w:szCs w:val="24"/>
          <w:highlight w:val="none"/>
          <w:u w:val="none"/>
          <w:lang w:val="en-US" w:eastAsia="zh-CN"/>
        </w:rPr>
        <w:t>7</w:t>
      </w:r>
      <w:r>
        <w:rPr>
          <w:rFonts w:hint="eastAsia" w:ascii="宋体" w:hAnsi="宋体" w:eastAsia="宋体"/>
          <w:color w:val="auto"/>
          <w:sz w:val="24"/>
          <w:szCs w:val="24"/>
          <w:highlight w:val="none"/>
          <w:u w:val="none"/>
          <w:lang w:val="en-US" w:eastAsia="zh-CN"/>
        </w:rPr>
        <w:t>0%，</w:t>
      </w:r>
      <w:r>
        <w:rPr>
          <w:rFonts w:hint="eastAsia" w:ascii="宋体" w:hAnsi="宋体"/>
          <w:color w:val="auto"/>
          <w:sz w:val="24"/>
          <w:szCs w:val="24"/>
          <w:highlight w:val="none"/>
          <w:u w:val="none"/>
          <w:lang w:val="en-US" w:eastAsia="zh-CN"/>
        </w:rPr>
        <w:t>标包</w:t>
      </w:r>
      <w:r>
        <w:rPr>
          <w:rFonts w:hint="eastAsia" w:ascii="宋体" w:hAnsi="宋体" w:eastAsia="宋体"/>
          <w:color w:val="auto"/>
          <w:sz w:val="24"/>
          <w:szCs w:val="24"/>
          <w:highlight w:val="none"/>
          <w:u w:val="none"/>
          <w:lang w:val="en-US" w:eastAsia="zh-CN"/>
        </w:rPr>
        <w:t>2分配份额为30%。每个标的各</w:t>
      </w:r>
      <w:r>
        <w:rPr>
          <w:rFonts w:hint="eastAsia" w:ascii="宋体" w:hAnsi="宋体"/>
          <w:color w:val="auto"/>
          <w:sz w:val="24"/>
          <w:szCs w:val="24"/>
          <w:highlight w:val="none"/>
          <w:u w:val="none"/>
          <w:lang w:val="en-US" w:eastAsia="zh-CN"/>
        </w:rPr>
        <w:t>标包</w:t>
      </w:r>
      <w:r>
        <w:rPr>
          <w:rFonts w:hint="eastAsia" w:ascii="宋体" w:hAnsi="宋体" w:eastAsia="宋体"/>
          <w:color w:val="auto"/>
          <w:sz w:val="24"/>
          <w:szCs w:val="24"/>
          <w:highlight w:val="none"/>
          <w:u w:val="none"/>
          <w:lang w:val="en-US" w:eastAsia="zh-CN"/>
        </w:rPr>
        <w:t>间最终履约的分配份额上下浮动范围为10%，最终以招标人根据标的及标包划分原则和招标结果出具的委托书为准。</w:t>
      </w:r>
    </w:p>
    <w:p w14:paraId="0F30C237">
      <w:pPr>
        <w:keepNext w:val="0"/>
        <w:keepLines w:val="0"/>
        <w:pageBreakBefore w:val="0"/>
        <w:shd w:val="clear" w:color="auto" w:fill="auto"/>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olor w:val="auto"/>
          <w:sz w:val="24"/>
          <w:szCs w:val="24"/>
          <w:highlight w:val="none"/>
          <w:u w:val="none"/>
          <w:lang w:val="en-US" w:eastAsia="zh-CN"/>
        </w:rPr>
      </w:pPr>
      <w:r>
        <w:rPr>
          <w:rFonts w:hint="eastAsia" w:ascii="宋体" w:hAnsi="宋体" w:eastAsia="宋体"/>
          <w:color w:val="auto"/>
          <w:sz w:val="24"/>
          <w:szCs w:val="24"/>
          <w:highlight w:val="none"/>
          <w:u w:val="none"/>
          <w:lang w:val="en-US" w:eastAsia="zh-CN"/>
        </w:rPr>
        <w:t>本项目预计采购金额是依据采购需求数据预测，仅作为招标预估规模供投标人参考，并不代表招标人对采购金额及数量的承诺，最终应以具体实际工程为准，并按合同条款实际结算金额为准。</w:t>
      </w:r>
    </w:p>
    <w:p w14:paraId="57D9D750">
      <w:pPr>
        <w:keepNext w:val="0"/>
        <w:keepLines w:val="0"/>
        <w:pageBreakBefore w:val="0"/>
        <w:shd w:val="clear" w:color="auto" w:fill="auto"/>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olor w:val="auto"/>
          <w:sz w:val="24"/>
          <w:szCs w:val="24"/>
          <w:highlight w:val="none"/>
          <w:u w:val="none"/>
          <w:lang w:eastAsia="zh-CN"/>
        </w:rPr>
      </w:pPr>
      <w:r>
        <w:rPr>
          <w:rFonts w:hint="eastAsia" w:ascii="宋体" w:hAnsi="宋体" w:eastAsia="宋体"/>
          <w:color w:val="auto"/>
          <w:sz w:val="24"/>
          <w:szCs w:val="24"/>
          <w:highlight w:val="none"/>
          <w:u w:val="none"/>
          <w:lang w:val="en-US" w:eastAsia="zh-CN"/>
        </w:rPr>
        <w:t>鉴于迁改工程项目立项存在不确定性，实施管控过程特殊，实际委托工程时应符合国家法律法规、南方电网公司相关管理制度要求，并及时完善相关项目的支撑性材料，合法依规有序开展相关工程和管理业务。</w:t>
      </w:r>
    </w:p>
    <w:p w14:paraId="39D1F721">
      <w:pPr>
        <w:keepNext w:val="0"/>
        <w:keepLines w:val="0"/>
        <w:pageBreakBefore w:val="0"/>
        <w:kinsoku/>
        <w:wordWrap/>
        <w:overflowPunct/>
        <w:topLinePunct w:val="0"/>
        <w:autoSpaceDE/>
        <w:autoSpaceDN/>
        <w:bidi w:val="0"/>
        <w:adjustRightInd/>
        <w:snapToGrid/>
        <w:spacing w:before="157" w:beforeLines="50" w:after="157" w:afterLines="50"/>
        <w:textAlignment w:val="auto"/>
        <w:rPr>
          <w:rFonts w:hint="eastAsia"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二、招标采购范围</w:t>
      </w:r>
    </w:p>
    <w:p w14:paraId="0C05B56F">
      <w:pPr>
        <w:keepNext w:val="0"/>
        <w:keepLines w:val="0"/>
        <w:pageBreakBefore w:val="0"/>
        <w:shd w:val="clear" w:color="auto" w:fill="auto"/>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olor w:val="auto"/>
          <w:sz w:val="24"/>
          <w:szCs w:val="24"/>
          <w:highlight w:val="none"/>
          <w:u w:val="none"/>
          <w:lang w:val="en-US" w:eastAsia="zh-CN"/>
        </w:rPr>
      </w:pPr>
      <w:r>
        <w:rPr>
          <w:rFonts w:hint="eastAsia" w:ascii="宋体" w:hAnsi="宋体" w:eastAsia="宋体"/>
          <w:color w:val="auto"/>
          <w:sz w:val="24"/>
          <w:szCs w:val="24"/>
          <w:highlight w:val="none"/>
          <w:u w:val="none"/>
          <w:lang w:val="en-US" w:eastAsia="zh-CN"/>
        </w:rPr>
        <w:t>包括：勘察、初步设计、概算、施工图设计（含施工图预算编制）、配合施工招标、配合申报建设工程规划许可证、配合物资预测及申报、工代服务、设计变更、现场技术服务和竣工图编制、设计配合结算及总结算报告编制、电子化移交、竣工线路复测（含验线册）、三维测量及成像、全面开展标准建设、设计档案整理以及招标人要求的其它工作等。</w:t>
      </w:r>
    </w:p>
    <w:p w14:paraId="56598B5D">
      <w:pPr>
        <w:pStyle w:val="2"/>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三、报价表</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8"/>
        <w:gridCol w:w="2187"/>
        <w:gridCol w:w="3086"/>
        <w:gridCol w:w="1500"/>
        <w:gridCol w:w="1294"/>
        <w:gridCol w:w="1257"/>
      </w:tblGrid>
      <w:tr w14:paraId="5D328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8" w:type="dxa"/>
            <w:vAlign w:val="center"/>
          </w:tcPr>
          <w:p w14:paraId="38217E23">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default"/>
                <w:highlight w:val="none"/>
                <w:vertAlign w:val="baseline"/>
                <w:lang w:val="en-US" w:eastAsia="zh-CN"/>
              </w:rPr>
            </w:pPr>
            <w:r>
              <w:rPr>
                <w:rFonts w:hint="eastAsia"/>
                <w:highlight w:val="none"/>
                <w:vertAlign w:val="baseline"/>
                <w:lang w:val="en-US" w:eastAsia="zh-CN"/>
              </w:rPr>
              <w:t>序号</w:t>
            </w:r>
          </w:p>
        </w:tc>
        <w:tc>
          <w:tcPr>
            <w:tcW w:w="2187" w:type="dxa"/>
            <w:vAlign w:val="center"/>
          </w:tcPr>
          <w:p w14:paraId="665DAF3F">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default"/>
                <w:highlight w:val="none"/>
                <w:vertAlign w:val="baseline"/>
                <w:lang w:val="en-US" w:eastAsia="zh-CN"/>
              </w:rPr>
            </w:pPr>
            <w:r>
              <w:rPr>
                <w:rFonts w:hint="eastAsia"/>
                <w:highlight w:val="none"/>
                <w:vertAlign w:val="baseline"/>
                <w:lang w:val="en-US" w:eastAsia="zh-CN"/>
              </w:rPr>
              <w:t>标的名称</w:t>
            </w:r>
          </w:p>
        </w:tc>
        <w:tc>
          <w:tcPr>
            <w:tcW w:w="3086" w:type="dxa"/>
            <w:vAlign w:val="center"/>
          </w:tcPr>
          <w:p w14:paraId="027119CB">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center"/>
              <w:rPr>
                <w:rFonts w:hint="default" w:eastAsia="宋体"/>
                <w:highlight w:val="none"/>
                <w:vertAlign w:val="baseline"/>
                <w:lang w:val="en-US" w:eastAsia="zh-CN"/>
              </w:rPr>
            </w:pPr>
            <w:r>
              <w:rPr>
                <w:rFonts w:hint="eastAsia"/>
                <w:highlight w:val="none"/>
                <w:vertAlign w:val="baseline"/>
                <w:lang w:val="en-US" w:eastAsia="zh-CN"/>
              </w:rPr>
              <w:t>标包</w:t>
            </w:r>
            <w:r>
              <w:rPr>
                <w:rFonts w:hint="eastAsia" w:eastAsia="宋体"/>
                <w:highlight w:val="none"/>
                <w:vertAlign w:val="baseline"/>
                <w:lang w:val="en-US" w:eastAsia="zh-CN"/>
              </w:rPr>
              <w:t>名称</w:t>
            </w:r>
          </w:p>
        </w:tc>
        <w:tc>
          <w:tcPr>
            <w:tcW w:w="1500" w:type="dxa"/>
            <w:vAlign w:val="center"/>
          </w:tcPr>
          <w:p w14:paraId="1F260CA2">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center"/>
              <w:rPr>
                <w:rFonts w:hint="eastAsia" w:eastAsia="宋体"/>
                <w:highlight w:val="none"/>
                <w:vertAlign w:val="baseline"/>
                <w:lang w:val="en-US" w:eastAsia="zh-CN"/>
              </w:rPr>
            </w:pPr>
            <w:r>
              <w:rPr>
                <w:rFonts w:hint="eastAsia" w:eastAsia="宋体"/>
                <w:highlight w:val="none"/>
                <w:vertAlign w:val="baseline"/>
                <w:lang w:val="en-US" w:eastAsia="zh-CN"/>
              </w:rPr>
              <w:t>预计采购金额（元）</w:t>
            </w:r>
          </w:p>
        </w:tc>
        <w:tc>
          <w:tcPr>
            <w:tcW w:w="1294" w:type="dxa"/>
            <w:vAlign w:val="center"/>
          </w:tcPr>
          <w:p w14:paraId="3E562493">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center"/>
              <w:rPr>
                <w:rFonts w:hint="eastAsia" w:eastAsia="宋体"/>
                <w:highlight w:val="none"/>
                <w:vertAlign w:val="baseline"/>
                <w:lang w:val="en-US" w:eastAsia="zh-CN"/>
              </w:rPr>
            </w:pPr>
            <w:r>
              <w:rPr>
                <w:rFonts w:hint="eastAsia" w:eastAsia="宋体"/>
                <w:highlight w:val="none"/>
                <w:vertAlign w:val="baseline"/>
                <w:lang w:val="en-US" w:eastAsia="zh-CN"/>
              </w:rPr>
              <w:t>投标下浮率</w:t>
            </w:r>
          </w:p>
        </w:tc>
        <w:tc>
          <w:tcPr>
            <w:tcW w:w="1257" w:type="dxa"/>
            <w:vAlign w:val="center"/>
          </w:tcPr>
          <w:p w14:paraId="65D1A9B7">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center"/>
              <w:rPr>
                <w:rFonts w:hint="eastAsia" w:eastAsia="宋体"/>
                <w:highlight w:val="none"/>
                <w:vertAlign w:val="baseline"/>
                <w:lang w:val="en-US" w:eastAsia="zh-CN"/>
              </w:rPr>
            </w:pPr>
            <w:r>
              <w:rPr>
                <w:rFonts w:hint="eastAsia" w:eastAsia="宋体"/>
                <w:highlight w:val="none"/>
                <w:vertAlign w:val="baseline"/>
                <w:lang w:val="en-US" w:eastAsia="zh-CN"/>
              </w:rPr>
              <w:t>投标报价（元）</w:t>
            </w:r>
          </w:p>
        </w:tc>
      </w:tr>
      <w:tr w14:paraId="18B14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8" w:type="dxa"/>
            <w:vAlign w:val="center"/>
          </w:tcPr>
          <w:p w14:paraId="1F84C98D">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default"/>
                <w:highlight w:val="none"/>
                <w:vertAlign w:val="baseline"/>
                <w:lang w:val="en-US" w:eastAsia="zh-CN"/>
              </w:rPr>
            </w:pPr>
            <w:r>
              <w:rPr>
                <w:rFonts w:hint="eastAsia"/>
                <w:highlight w:val="none"/>
                <w:vertAlign w:val="baseline"/>
                <w:lang w:val="en-US" w:eastAsia="zh-CN"/>
              </w:rPr>
              <w:t>1</w:t>
            </w:r>
          </w:p>
        </w:tc>
        <w:tc>
          <w:tcPr>
            <w:tcW w:w="2187" w:type="dxa"/>
            <w:vMerge w:val="restart"/>
            <w:vAlign w:val="center"/>
          </w:tcPr>
          <w:p w14:paraId="4B917299">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center"/>
              <w:rPr>
                <w:rFonts w:hint="eastAsia" w:eastAsia="宋体"/>
                <w:highlight w:val="none"/>
                <w:vertAlign w:val="baseline"/>
                <w:lang w:val="en-US" w:eastAsia="zh-CN"/>
              </w:rPr>
            </w:pPr>
            <w:r>
              <w:rPr>
                <w:rFonts w:hint="eastAsia" w:eastAsia="宋体"/>
                <w:highlight w:val="none"/>
                <w:vertAlign w:val="baseline"/>
                <w:lang w:val="en-US" w:eastAsia="zh-CN"/>
              </w:rPr>
              <w:t>标的1：广州供电局</w:t>
            </w:r>
            <w:r>
              <w:rPr>
                <w:rFonts w:hint="eastAsia"/>
                <w:highlight w:val="none"/>
                <w:vertAlign w:val="baseline"/>
                <w:lang w:val="en-US" w:eastAsia="zh-CN"/>
              </w:rPr>
              <w:t>2026-2027年</w:t>
            </w:r>
            <w:r>
              <w:rPr>
                <w:rFonts w:hint="eastAsia" w:eastAsia="宋体"/>
                <w:highlight w:val="none"/>
                <w:vertAlign w:val="baseline"/>
                <w:lang w:val="en-US" w:eastAsia="zh-CN"/>
              </w:rPr>
              <w:t>220千伏及以下输变电迁改工程（不含隧道项目）勘察设计</w:t>
            </w:r>
          </w:p>
        </w:tc>
        <w:tc>
          <w:tcPr>
            <w:tcW w:w="3086" w:type="dxa"/>
            <w:vAlign w:val="center"/>
          </w:tcPr>
          <w:p w14:paraId="093E9EFD">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eastAsia"/>
                <w:highlight w:val="none"/>
                <w:vertAlign w:val="baseline"/>
                <w:lang w:val="en-US" w:eastAsia="zh-CN"/>
              </w:rPr>
            </w:pPr>
            <w:r>
              <w:rPr>
                <w:rFonts w:hint="eastAsia"/>
                <w:highlight w:val="none"/>
                <w:vertAlign w:val="baseline"/>
                <w:lang w:val="en-US" w:eastAsia="zh-CN"/>
              </w:rPr>
              <w:t>广州供电局2026-2027年220千伏及以下输变电迁改工程（不含隧道项目）勘察设计（标包1）</w:t>
            </w:r>
          </w:p>
        </w:tc>
        <w:tc>
          <w:tcPr>
            <w:tcW w:w="1500" w:type="dxa"/>
            <w:vAlign w:val="center"/>
          </w:tcPr>
          <w:p w14:paraId="0158E0BA">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default"/>
                <w:highlight w:val="none"/>
                <w:vertAlign w:val="baseline"/>
                <w:lang w:val="en-US" w:eastAsia="zh-CN"/>
              </w:rPr>
            </w:pPr>
            <w:r>
              <w:rPr>
                <w:rFonts w:hint="eastAsia"/>
                <w:highlight w:val="none"/>
                <w:vertAlign w:val="baseline"/>
                <w:lang w:val="en-US" w:eastAsia="zh-CN"/>
              </w:rPr>
              <w:t>95000000</w:t>
            </w:r>
          </w:p>
        </w:tc>
        <w:tc>
          <w:tcPr>
            <w:tcW w:w="1294" w:type="dxa"/>
            <w:vMerge w:val="restart"/>
            <w:vAlign w:val="center"/>
          </w:tcPr>
          <w:p w14:paraId="23AB8091">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default"/>
                <w:highlight w:val="none"/>
                <w:vertAlign w:val="baseline"/>
                <w:lang w:val="en-US" w:eastAsia="zh-CN"/>
              </w:rPr>
            </w:pPr>
            <w:r>
              <w:rPr>
                <w:rFonts w:hint="eastAsia"/>
                <w:highlight w:val="none"/>
                <w:u w:val="single"/>
                <w:vertAlign w:val="baseline"/>
                <w:lang w:val="en-US" w:eastAsia="zh-CN"/>
              </w:rPr>
              <w:t xml:space="preserve">  </w:t>
            </w:r>
            <w:r>
              <w:rPr>
                <w:rFonts w:hint="eastAsia"/>
                <w:highlight w:val="none"/>
                <w:vertAlign w:val="baseline"/>
                <w:lang w:val="en-US" w:eastAsia="zh-CN"/>
              </w:rPr>
              <w:t>%</w:t>
            </w:r>
          </w:p>
        </w:tc>
        <w:tc>
          <w:tcPr>
            <w:tcW w:w="1257" w:type="dxa"/>
            <w:vAlign w:val="center"/>
          </w:tcPr>
          <w:p w14:paraId="708D10E1">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eastAsia"/>
                <w:highlight w:val="none"/>
                <w:vertAlign w:val="baseline"/>
                <w:lang w:val="en-US" w:eastAsia="zh-CN"/>
              </w:rPr>
            </w:pPr>
          </w:p>
        </w:tc>
      </w:tr>
      <w:tr w14:paraId="08111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8" w:type="dxa"/>
            <w:vAlign w:val="center"/>
          </w:tcPr>
          <w:p w14:paraId="23CD8471">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default"/>
                <w:highlight w:val="none"/>
                <w:vertAlign w:val="baseline"/>
                <w:lang w:val="en-US" w:eastAsia="zh-CN"/>
              </w:rPr>
            </w:pPr>
            <w:r>
              <w:rPr>
                <w:rFonts w:hint="eastAsia"/>
                <w:highlight w:val="none"/>
                <w:vertAlign w:val="baseline"/>
                <w:lang w:val="en-US" w:eastAsia="zh-CN"/>
              </w:rPr>
              <w:t>2</w:t>
            </w:r>
          </w:p>
        </w:tc>
        <w:tc>
          <w:tcPr>
            <w:tcW w:w="2187" w:type="dxa"/>
            <w:vMerge w:val="continue"/>
            <w:vAlign w:val="center"/>
          </w:tcPr>
          <w:p w14:paraId="77104C84">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center"/>
              <w:rPr>
                <w:rFonts w:hint="eastAsia" w:eastAsia="宋体"/>
                <w:highlight w:val="none"/>
                <w:vertAlign w:val="baseline"/>
                <w:lang w:val="en-US" w:eastAsia="zh-CN"/>
              </w:rPr>
            </w:pPr>
          </w:p>
        </w:tc>
        <w:tc>
          <w:tcPr>
            <w:tcW w:w="3086" w:type="dxa"/>
            <w:vAlign w:val="center"/>
          </w:tcPr>
          <w:p w14:paraId="0FE16391">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eastAsia"/>
                <w:highlight w:val="none"/>
                <w:vertAlign w:val="baseline"/>
                <w:lang w:val="en-US" w:eastAsia="zh-CN"/>
              </w:rPr>
            </w:pPr>
            <w:r>
              <w:rPr>
                <w:rFonts w:hint="eastAsia"/>
                <w:highlight w:val="none"/>
                <w:vertAlign w:val="baseline"/>
                <w:lang w:val="en-US" w:eastAsia="zh-CN"/>
              </w:rPr>
              <w:t>广州供电局2026-2027年220千伏及以下输变电迁改工程（不含隧道项目）勘察设计（标包2）</w:t>
            </w:r>
          </w:p>
        </w:tc>
        <w:tc>
          <w:tcPr>
            <w:tcW w:w="1500" w:type="dxa"/>
            <w:vAlign w:val="center"/>
          </w:tcPr>
          <w:p w14:paraId="37D35657">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default"/>
                <w:highlight w:val="none"/>
                <w:vertAlign w:val="baseline"/>
                <w:lang w:val="en-US" w:eastAsia="zh-CN"/>
              </w:rPr>
            </w:pPr>
            <w:r>
              <w:rPr>
                <w:rFonts w:hint="eastAsia"/>
                <w:highlight w:val="none"/>
                <w:vertAlign w:val="baseline"/>
                <w:lang w:val="en-US" w:eastAsia="zh-CN"/>
              </w:rPr>
              <w:t>57000000</w:t>
            </w:r>
          </w:p>
        </w:tc>
        <w:tc>
          <w:tcPr>
            <w:tcW w:w="1294" w:type="dxa"/>
            <w:vMerge w:val="continue"/>
            <w:vAlign w:val="center"/>
          </w:tcPr>
          <w:p w14:paraId="53F47EAB">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eastAsia"/>
                <w:highlight w:val="none"/>
                <w:vertAlign w:val="baseline"/>
                <w:lang w:val="en-US" w:eastAsia="zh-CN"/>
              </w:rPr>
            </w:pPr>
          </w:p>
        </w:tc>
        <w:tc>
          <w:tcPr>
            <w:tcW w:w="1257" w:type="dxa"/>
            <w:vAlign w:val="center"/>
          </w:tcPr>
          <w:p w14:paraId="3342B9FB">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eastAsia"/>
                <w:highlight w:val="none"/>
                <w:vertAlign w:val="baseline"/>
                <w:lang w:val="en-US" w:eastAsia="zh-CN"/>
              </w:rPr>
            </w:pPr>
          </w:p>
        </w:tc>
      </w:tr>
      <w:tr w14:paraId="7C1CD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8" w:type="dxa"/>
            <w:vAlign w:val="center"/>
          </w:tcPr>
          <w:p w14:paraId="5B5908B4">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default"/>
                <w:highlight w:val="none"/>
                <w:vertAlign w:val="baseline"/>
                <w:lang w:val="en-US" w:eastAsia="zh-CN"/>
              </w:rPr>
            </w:pPr>
            <w:r>
              <w:rPr>
                <w:rFonts w:hint="eastAsia"/>
                <w:highlight w:val="none"/>
                <w:vertAlign w:val="baseline"/>
                <w:lang w:val="en-US" w:eastAsia="zh-CN"/>
              </w:rPr>
              <w:t>3</w:t>
            </w:r>
          </w:p>
        </w:tc>
        <w:tc>
          <w:tcPr>
            <w:tcW w:w="2187" w:type="dxa"/>
            <w:vMerge w:val="continue"/>
            <w:vAlign w:val="center"/>
          </w:tcPr>
          <w:p w14:paraId="6BD7EAE5">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center"/>
              <w:rPr>
                <w:rFonts w:hint="eastAsia" w:eastAsia="宋体"/>
                <w:highlight w:val="none"/>
                <w:vertAlign w:val="baseline"/>
                <w:lang w:val="en-US" w:eastAsia="zh-CN"/>
              </w:rPr>
            </w:pPr>
          </w:p>
        </w:tc>
        <w:tc>
          <w:tcPr>
            <w:tcW w:w="3086" w:type="dxa"/>
            <w:vAlign w:val="center"/>
          </w:tcPr>
          <w:p w14:paraId="338ACC34">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eastAsia"/>
                <w:highlight w:val="none"/>
                <w:vertAlign w:val="baseline"/>
                <w:lang w:val="en-US" w:eastAsia="zh-CN"/>
              </w:rPr>
            </w:pPr>
            <w:r>
              <w:rPr>
                <w:rFonts w:hint="eastAsia"/>
                <w:highlight w:val="none"/>
                <w:vertAlign w:val="baseline"/>
                <w:lang w:val="en-US" w:eastAsia="zh-CN"/>
              </w:rPr>
              <w:t>广州供电局2026-2027年220千伏及以下输变电迁改工程（不含隧道项目）勘察设计（标包3）</w:t>
            </w:r>
          </w:p>
        </w:tc>
        <w:tc>
          <w:tcPr>
            <w:tcW w:w="1500" w:type="dxa"/>
            <w:vAlign w:val="center"/>
          </w:tcPr>
          <w:p w14:paraId="5D5B64EB">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default"/>
                <w:highlight w:val="none"/>
                <w:vertAlign w:val="baseline"/>
                <w:lang w:val="en-US" w:eastAsia="zh-CN"/>
              </w:rPr>
            </w:pPr>
            <w:r>
              <w:rPr>
                <w:rFonts w:hint="eastAsia"/>
                <w:highlight w:val="none"/>
                <w:vertAlign w:val="baseline"/>
                <w:lang w:val="en-US" w:eastAsia="zh-CN"/>
              </w:rPr>
              <w:t>38000000</w:t>
            </w:r>
          </w:p>
        </w:tc>
        <w:tc>
          <w:tcPr>
            <w:tcW w:w="1294" w:type="dxa"/>
            <w:vMerge w:val="continue"/>
            <w:vAlign w:val="center"/>
          </w:tcPr>
          <w:p w14:paraId="635AA5FA">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eastAsia"/>
                <w:highlight w:val="none"/>
                <w:vertAlign w:val="baseline"/>
                <w:lang w:val="en-US" w:eastAsia="zh-CN"/>
              </w:rPr>
            </w:pPr>
          </w:p>
        </w:tc>
        <w:tc>
          <w:tcPr>
            <w:tcW w:w="1257" w:type="dxa"/>
            <w:vAlign w:val="center"/>
          </w:tcPr>
          <w:p w14:paraId="4D144B3F">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eastAsia"/>
                <w:highlight w:val="none"/>
                <w:vertAlign w:val="baseline"/>
                <w:lang w:val="en-US" w:eastAsia="zh-CN"/>
              </w:rPr>
            </w:pPr>
          </w:p>
        </w:tc>
      </w:tr>
    </w:tbl>
    <w:p w14:paraId="6D2572EE">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both"/>
        <w:rPr>
          <w:rFonts w:hint="eastAsia"/>
          <w:highlight w:val="none"/>
          <w:lang w:val="en-US" w:eastAsia="zh-CN"/>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8"/>
        <w:gridCol w:w="2187"/>
        <w:gridCol w:w="3086"/>
        <w:gridCol w:w="1500"/>
        <w:gridCol w:w="1294"/>
        <w:gridCol w:w="1257"/>
      </w:tblGrid>
      <w:tr w14:paraId="46191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8" w:type="dxa"/>
            <w:vAlign w:val="center"/>
          </w:tcPr>
          <w:p w14:paraId="112617D9">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default"/>
                <w:highlight w:val="none"/>
                <w:vertAlign w:val="baseline"/>
                <w:lang w:val="en-US" w:eastAsia="zh-CN"/>
              </w:rPr>
            </w:pPr>
            <w:r>
              <w:rPr>
                <w:rFonts w:hint="eastAsia"/>
                <w:highlight w:val="none"/>
                <w:vertAlign w:val="baseline"/>
                <w:lang w:val="en-US" w:eastAsia="zh-CN"/>
              </w:rPr>
              <w:t>序号</w:t>
            </w:r>
          </w:p>
        </w:tc>
        <w:tc>
          <w:tcPr>
            <w:tcW w:w="2187" w:type="dxa"/>
            <w:vAlign w:val="center"/>
          </w:tcPr>
          <w:p w14:paraId="276F3E26">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default"/>
                <w:highlight w:val="none"/>
                <w:vertAlign w:val="baseline"/>
                <w:lang w:val="en-US" w:eastAsia="zh-CN"/>
              </w:rPr>
            </w:pPr>
            <w:r>
              <w:rPr>
                <w:rFonts w:hint="eastAsia"/>
                <w:highlight w:val="none"/>
                <w:vertAlign w:val="baseline"/>
                <w:lang w:val="en-US" w:eastAsia="zh-CN"/>
              </w:rPr>
              <w:t>标的名称</w:t>
            </w:r>
          </w:p>
        </w:tc>
        <w:tc>
          <w:tcPr>
            <w:tcW w:w="3086" w:type="dxa"/>
            <w:vAlign w:val="center"/>
          </w:tcPr>
          <w:p w14:paraId="3DFBFBBC">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center"/>
              <w:rPr>
                <w:rFonts w:hint="default" w:eastAsia="宋体"/>
                <w:highlight w:val="none"/>
                <w:vertAlign w:val="baseline"/>
                <w:lang w:val="en-US" w:eastAsia="zh-CN"/>
              </w:rPr>
            </w:pPr>
            <w:r>
              <w:rPr>
                <w:rFonts w:hint="eastAsia"/>
                <w:highlight w:val="none"/>
                <w:vertAlign w:val="baseline"/>
                <w:lang w:val="en-US" w:eastAsia="zh-CN"/>
              </w:rPr>
              <w:t>标包</w:t>
            </w:r>
            <w:r>
              <w:rPr>
                <w:rFonts w:hint="eastAsia" w:eastAsia="宋体"/>
                <w:highlight w:val="none"/>
                <w:vertAlign w:val="baseline"/>
                <w:lang w:val="en-US" w:eastAsia="zh-CN"/>
              </w:rPr>
              <w:t>名称</w:t>
            </w:r>
          </w:p>
        </w:tc>
        <w:tc>
          <w:tcPr>
            <w:tcW w:w="1500" w:type="dxa"/>
            <w:vAlign w:val="center"/>
          </w:tcPr>
          <w:p w14:paraId="4309CFD5">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center"/>
              <w:rPr>
                <w:rFonts w:hint="eastAsia" w:eastAsia="宋体"/>
                <w:highlight w:val="none"/>
                <w:vertAlign w:val="baseline"/>
                <w:lang w:val="en-US" w:eastAsia="zh-CN"/>
              </w:rPr>
            </w:pPr>
            <w:r>
              <w:rPr>
                <w:rFonts w:hint="eastAsia" w:eastAsia="宋体"/>
                <w:highlight w:val="none"/>
                <w:vertAlign w:val="baseline"/>
                <w:lang w:val="en-US" w:eastAsia="zh-CN"/>
              </w:rPr>
              <w:t>预计采购金额（元）</w:t>
            </w:r>
          </w:p>
        </w:tc>
        <w:tc>
          <w:tcPr>
            <w:tcW w:w="1294" w:type="dxa"/>
            <w:vAlign w:val="center"/>
          </w:tcPr>
          <w:p w14:paraId="47F59CBE">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center"/>
              <w:rPr>
                <w:rFonts w:hint="eastAsia" w:eastAsia="宋体"/>
                <w:highlight w:val="none"/>
                <w:vertAlign w:val="baseline"/>
                <w:lang w:val="en-US" w:eastAsia="zh-CN"/>
              </w:rPr>
            </w:pPr>
            <w:r>
              <w:rPr>
                <w:rFonts w:hint="eastAsia" w:eastAsia="宋体"/>
                <w:highlight w:val="none"/>
                <w:vertAlign w:val="baseline"/>
                <w:lang w:val="en-US" w:eastAsia="zh-CN"/>
              </w:rPr>
              <w:t>投标下浮率</w:t>
            </w:r>
          </w:p>
        </w:tc>
        <w:tc>
          <w:tcPr>
            <w:tcW w:w="1257" w:type="dxa"/>
            <w:vAlign w:val="center"/>
          </w:tcPr>
          <w:p w14:paraId="01946BBA">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center"/>
              <w:rPr>
                <w:rFonts w:hint="eastAsia" w:eastAsia="宋体"/>
                <w:highlight w:val="none"/>
                <w:vertAlign w:val="baseline"/>
                <w:lang w:val="en-US" w:eastAsia="zh-CN"/>
              </w:rPr>
            </w:pPr>
            <w:r>
              <w:rPr>
                <w:rFonts w:hint="eastAsia" w:eastAsia="宋体"/>
                <w:highlight w:val="none"/>
                <w:vertAlign w:val="baseline"/>
                <w:lang w:val="en-US" w:eastAsia="zh-CN"/>
              </w:rPr>
              <w:t>投标报价（元）</w:t>
            </w:r>
          </w:p>
        </w:tc>
      </w:tr>
      <w:tr w14:paraId="77294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8" w:type="dxa"/>
            <w:vAlign w:val="center"/>
          </w:tcPr>
          <w:p w14:paraId="0FB70D80">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default"/>
                <w:highlight w:val="none"/>
                <w:vertAlign w:val="baseline"/>
                <w:lang w:val="en-US" w:eastAsia="zh-CN"/>
              </w:rPr>
            </w:pPr>
            <w:r>
              <w:rPr>
                <w:rFonts w:hint="eastAsia"/>
                <w:highlight w:val="none"/>
                <w:vertAlign w:val="baseline"/>
                <w:lang w:val="en-US" w:eastAsia="zh-CN"/>
              </w:rPr>
              <w:t>1</w:t>
            </w:r>
          </w:p>
        </w:tc>
        <w:tc>
          <w:tcPr>
            <w:tcW w:w="2187" w:type="dxa"/>
            <w:vMerge w:val="restart"/>
            <w:vAlign w:val="center"/>
          </w:tcPr>
          <w:p w14:paraId="21CCF7F5">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center"/>
              <w:rPr>
                <w:rFonts w:hint="eastAsia" w:eastAsia="宋体"/>
                <w:highlight w:val="none"/>
                <w:vertAlign w:val="baseline"/>
                <w:lang w:val="en-US" w:eastAsia="zh-CN"/>
              </w:rPr>
            </w:pPr>
            <w:r>
              <w:rPr>
                <w:rFonts w:hint="eastAsia" w:eastAsia="宋体"/>
                <w:highlight w:val="none"/>
                <w:vertAlign w:val="baseline"/>
                <w:lang w:val="en-US" w:eastAsia="zh-CN"/>
              </w:rPr>
              <w:t>标的2：广州供电局</w:t>
            </w:r>
            <w:r>
              <w:rPr>
                <w:rFonts w:hint="eastAsia"/>
                <w:highlight w:val="none"/>
                <w:vertAlign w:val="baseline"/>
                <w:lang w:val="en-US" w:eastAsia="zh-CN"/>
              </w:rPr>
              <w:t>2026-2027年</w:t>
            </w:r>
            <w:r>
              <w:rPr>
                <w:rFonts w:hint="eastAsia" w:eastAsia="宋体"/>
                <w:highlight w:val="none"/>
                <w:vertAlign w:val="baseline"/>
                <w:lang w:val="en-US" w:eastAsia="zh-CN"/>
              </w:rPr>
              <w:t>220千伏及以下输变电迁改工程（含隧道项目）勘察设计</w:t>
            </w:r>
          </w:p>
        </w:tc>
        <w:tc>
          <w:tcPr>
            <w:tcW w:w="3086" w:type="dxa"/>
            <w:vAlign w:val="center"/>
          </w:tcPr>
          <w:p w14:paraId="4F1924FE">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eastAsia"/>
                <w:highlight w:val="none"/>
                <w:vertAlign w:val="baseline"/>
                <w:lang w:val="en-US" w:eastAsia="zh-CN"/>
              </w:rPr>
            </w:pPr>
            <w:r>
              <w:rPr>
                <w:rFonts w:hint="eastAsia"/>
                <w:highlight w:val="none"/>
                <w:vertAlign w:val="baseline"/>
                <w:lang w:val="en-US" w:eastAsia="zh-CN"/>
              </w:rPr>
              <w:t>广州供电局2026-2027年220千伏及以下输变电迁改工程（含隧道项目）勘察设计（标包1）</w:t>
            </w:r>
          </w:p>
        </w:tc>
        <w:tc>
          <w:tcPr>
            <w:tcW w:w="1500" w:type="dxa"/>
            <w:vAlign w:val="center"/>
          </w:tcPr>
          <w:p w14:paraId="48598915">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default"/>
                <w:highlight w:val="none"/>
                <w:vertAlign w:val="baseline"/>
                <w:lang w:val="en-US" w:eastAsia="zh-CN"/>
              </w:rPr>
            </w:pPr>
            <w:r>
              <w:rPr>
                <w:rFonts w:hint="eastAsia"/>
                <w:highlight w:val="none"/>
                <w:vertAlign w:val="baseline"/>
                <w:lang w:val="en-US" w:eastAsia="zh-CN"/>
              </w:rPr>
              <w:t>140000000</w:t>
            </w:r>
          </w:p>
        </w:tc>
        <w:tc>
          <w:tcPr>
            <w:tcW w:w="1294" w:type="dxa"/>
            <w:vMerge w:val="restart"/>
            <w:vAlign w:val="center"/>
          </w:tcPr>
          <w:p w14:paraId="6FBE91AF">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eastAsia"/>
                <w:highlight w:val="none"/>
                <w:vertAlign w:val="baseline"/>
                <w:lang w:val="en-US" w:eastAsia="zh-CN"/>
              </w:rPr>
            </w:pPr>
            <w:r>
              <w:rPr>
                <w:rFonts w:hint="eastAsia"/>
                <w:highlight w:val="none"/>
                <w:u w:val="single"/>
                <w:vertAlign w:val="baseline"/>
                <w:lang w:val="en-US" w:eastAsia="zh-CN"/>
              </w:rPr>
              <w:t xml:space="preserve">  </w:t>
            </w:r>
            <w:r>
              <w:rPr>
                <w:rFonts w:hint="eastAsia"/>
                <w:highlight w:val="none"/>
                <w:vertAlign w:val="baseline"/>
                <w:lang w:val="en-US" w:eastAsia="zh-CN"/>
              </w:rPr>
              <w:t>%</w:t>
            </w:r>
          </w:p>
        </w:tc>
        <w:tc>
          <w:tcPr>
            <w:tcW w:w="1257" w:type="dxa"/>
            <w:vAlign w:val="center"/>
          </w:tcPr>
          <w:p w14:paraId="28946534">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eastAsia"/>
                <w:highlight w:val="none"/>
                <w:vertAlign w:val="baseline"/>
                <w:lang w:val="en-US" w:eastAsia="zh-CN"/>
              </w:rPr>
            </w:pPr>
          </w:p>
        </w:tc>
      </w:tr>
      <w:tr w14:paraId="7AE6A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8" w:type="dxa"/>
            <w:vAlign w:val="center"/>
          </w:tcPr>
          <w:p w14:paraId="5570EAE4">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default"/>
                <w:highlight w:val="none"/>
                <w:vertAlign w:val="baseline"/>
                <w:lang w:val="en-US" w:eastAsia="zh-CN"/>
              </w:rPr>
            </w:pPr>
            <w:r>
              <w:rPr>
                <w:rFonts w:hint="eastAsia"/>
                <w:highlight w:val="none"/>
                <w:vertAlign w:val="baseline"/>
                <w:lang w:val="en-US" w:eastAsia="zh-CN"/>
              </w:rPr>
              <w:t>2</w:t>
            </w:r>
          </w:p>
        </w:tc>
        <w:tc>
          <w:tcPr>
            <w:tcW w:w="2187" w:type="dxa"/>
            <w:vMerge w:val="continue"/>
            <w:vAlign w:val="center"/>
          </w:tcPr>
          <w:p w14:paraId="74EBE8BE">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eastAsia"/>
                <w:highlight w:val="none"/>
                <w:vertAlign w:val="baseline"/>
                <w:lang w:val="en-US" w:eastAsia="zh-CN"/>
              </w:rPr>
            </w:pPr>
          </w:p>
        </w:tc>
        <w:tc>
          <w:tcPr>
            <w:tcW w:w="3086" w:type="dxa"/>
            <w:vAlign w:val="center"/>
          </w:tcPr>
          <w:p w14:paraId="5C1CDA36">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eastAsia"/>
                <w:highlight w:val="none"/>
                <w:vertAlign w:val="baseline"/>
                <w:lang w:val="en-US" w:eastAsia="zh-CN"/>
              </w:rPr>
            </w:pPr>
            <w:r>
              <w:rPr>
                <w:rFonts w:hint="eastAsia"/>
                <w:highlight w:val="none"/>
                <w:vertAlign w:val="baseline"/>
                <w:lang w:val="en-US" w:eastAsia="zh-CN"/>
              </w:rPr>
              <w:t>广州供电局2026-2027年220千伏及以下输变电迁改工程（含隧道项目）勘察设计（标包2）</w:t>
            </w:r>
          </w:p>
        </w:tc>
        <w:tc>
          <w:tcPr>
            <w:tcW w:w="1500" w:type="dxa"/>
            <w:vAlign w:val="center"/>
          </w:tcPr>
          <w:p w14:paraId="55827B91">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default"/>
                <w:highlight w:val="none"/>
                <w:vertAlign w:val="baseline"/>
                <w:lang w:val="en-US" w:eastAsia="zh-CN"/>
              </w:rPr>
            </w:pPr>
            <w:r>
              <w:rPr>
                <w:rFonts w:hint="eastAsia"/>
                <w:highlight w:val="none"/>
                <w:vertAlign w:val="baseline"/>
                <w:lang w:val="en-US" w:eastAsia="zh-CN"/>
              </w:rPr>
              <w:t>60000000</w:t>
            </w:r>
          </w:p>
        </w:tc>
        <w:tc>
          <w:tcPr>
            <w:tcW w:w="1294" w:type="dxa"/>
            <w:vMerge w:val="continue"/>
            <w:vAlign w:val="center"/>
          </w:tcPr>
          <w:p w14:paraId="68C36D29">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eastAsia"/>
                <w:highlight w:val="none"/>
                <w:vertAlign w:val="baseline"/>
                <w:lang w:val="en-US" w:eastAsia="zh-CN"/>
              </w:rPr>
            </w:pPr>
          </w:p>
        </w:tc>
        <w:tc>
          <w:tcPr>
            <w:tcW w:w="1257" w:type="dxa"/>
            <w:vAlign w:val="center"/>
          </w:tcPr>
          <w:p w14:paraId="7BC9BA63">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eastAsia"/>
                <w:highlight w:val="none"/>
                <w:vertAlign w:val="baseline"/>
                <w:lang w:val="en-US" w:eastAsia="zh-CN"/>
              </w:rPr>
            </w:pPr>
          </w:p>
        </w:tc>
      </w:tr>
    </w:tbl>
    <w:p w14:paraId="764C159F">
      <w:pPr>
        <w:pStyle w:val="6"/>
        <w:ind w:firstLine="240" w:firstLineChars="100"/>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报价要求：</w:t>
      </w:r>
    </w:p>
    <w:p w14:paraId="7414926B">
      <w:pPr>
        <w:pStyle w:val="2"/>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 w:val="0"/>
          <w:i w:val="0"/>
          <w:strike w:val="0"/>
          <w:dstrike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i w:val="0"/>
          <w:strike w:val="0"/>
          <w:dstrike w:val="0"/>
          <w:color w:val="000000" w:themeColor="text1"/>
          <w:kern w:val="2"/>
          <w:sz w:val="24"/>
          <w:szCs w:val="24"/>
          <w:highlight w:val="none"/>
          <w:lang w:val="en-US" w:eastAsia="zh-CN" w:bidi="ar-SA"/>
          <w14:textFill>
            <w14:solidFill>
              <w14:schemeClr w14:val="tx1"/>
            </w14:solidFill>
          </w14:textFill>
        </w:rPr>
        <w:t>（1）按下浮率报价（保留两位小数，如8.</w:t>
      </w:r>
      <w:r>
        <w:rPr>
          <w:rFonts w:hint="eastAsia" w:ascii="宋体" w:hAnsi="宋体" w:cs="宋体"/>
          <w:b w:val="0"/>
          <w:i w:val="0"/>
          <w:strike w:val="0"/>
          <w:dstrike w:val="0"/>
          <w:color w:val="000000" w:themeColor="text1"/>
          <w:kern w:val="2"/>
          <w:sz w:val="24"/>
          <w:szCs w:val="24"/>
          <w:highlight w:val="none"/>
          <w:lang w:val="en-US" w:eastAsia="zh-CN" w:bidi="ar-SA"/>
          <w14:textFill>
            <w14:solidFill>
              <w14:schemeClr w14:val="tx1"/>
            </w14:solidFill>
          </w14:textFill>
        </w:rPr>
        <w:t>88</w:t>
      </w:r>
      <w:r>
        <w:rPr>
          <w:rFonts w:hint="eastAsia" w:ascii="宋体" w:hAnsi="宋体" w:eastAsia="宋体" w:cs="宋体"/>
          <w:b w:val="0"/>
          <w:i w:val="0"/>
          <w:strike w:val="0"/>
          <w:dstrike w:val="0"/>
          <w:color w:val="000000" w:themeColor="text1"/>
          <w:kern w:val="2"/>
          <w:sz w:val="24"/>
          <w:szCs w:val="24"/>
          <w:highlight w:val="none"/>
          <w:lang w:val="en-US" w:eastAsia="zh-CN" w:bidi="ar-SA"/>
          <w14:textFill>
            <w14:solidFill>
              <w14:schemeClr w14:val="tx1"/>
            </w14:solidFill>
          </w14:textFill>
        </w:rPr>
        <w:t>%），同时填报固定金额报价（固定金额报价=预计采购金额×（1-投标下浮率），四舍五入保留两位小数），按（1-投标下浮率）计算价格分。当固定金额报价与投标下浮率计算结果不一致时，以投标下浮率为准，按上述公式修订固定金额报价。</w:t>
      </w:r>
    </w:p>
    <w:p w14:paraId="0E6FDC94">
      <w:pPr>
        <w:pStyle w:val="2"/>
        <w:keepNext w:val="0"/>
        <w:keepLines w:val="0"/>
        <w:pageBreakBefore w:val="0"/>
        <w:widowControl w:val="0"/>
        <w:kinsoku/>
        <w:wordWrap/>
        <w:overflowPunct/>
        <w:topLinePunct w:val="0"/>
        <w:bidi w:val="0"/>
        <w:snapToGrid/>
        <w:spacing w:line="360" w:lineRule="auto"/>
        <w:ind w:firstLine="480" w:firstLineChars="200"/>
        <w:textAlignment w:val="auto"/>
        <w:rPr>
          <w:rFonts w:hint="default" w:ascii="宋体" w:hAnsi="宋体" w:eastAsia="宋体" w:cs="宋体"/>
          <w:color w:val="auto"/>
          <w:kern w:val="2"/>
          <w:sz w:val="24"/>
          <w:szCs w:val="24"/>
          <w:highlight w:val="none"/>
          <w:u w:val="single"/>
          <w:lang w:val="en-US" w:eastAsia="zh-CN" w:bidi="ar-SA"/>
        </w:rPr>
      </w:pPr>
      <w:r>
        <w:rPr>
          <w:rFonts w:hint="eastAsia" w:ascii="宋体" w:hAnsi="宋体" w:eastAsia="宋体" w:cs="宋体"/>
          <w:b w:val="0"/>
          <w:i w:val="0"/>
          <w:strike w:val="0"/>
          <w:dstrike w:val="0"/>
          <w:color w:val="000000" w:themeColor="text1"/>
          <w:kern w:val="2"/>
          <w:sz w:val="24"/>
          <w:szCs w:val="24"/>
          <w:highlight w:val="none"/>
          <w:lang w:val="en-US" w:eastAsia="zh-CN" w:bidi="ar-SA"/>
          <w14:textFill>
            <w14:solidFill>
              <w14:schemeClr w14:val="tx1"/>
            </w14:solidFill>
          </w14:textFill>
        </w:rPr>
        <w:t>（2）投标人所报的投标下浮率不低于0%为有效报价；当投标下浮率＞20%时应附成本分析报告，充分说明单价和费用的组成、降低成本的合理措施及在其他工程中应用过的经验等，经评审通过后方可视为有效报价。</w:t>
      </w:r>
    </w:p>
    <w:p w14:paraId="6826A103">
      <w:pPr>
        <w:rPr>
          <w:rFonts w:hint="eastAsia"/>
          <w:highlight w:val="none"/>
          <w:lang w:val="en-US" w:eastAsia="zh-CN"/>
        </w:rPr>
      </w:pPr>
    </w:p>
    <w:p w14:paraId="054A576E">
      <w:pPr>
        <w:pStyle w:val="2"/>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四、结算方式</w:t>
      </w:r>
    </w:p>
    <w:p w14:paraId="7D4F0883">
      <w:pPr>
        <w:pStyle w:val="7"/>
        <w:ind w:firstLine="480" w:firstLineChars="200"/>
        <w:jc w:val="left"/>
        <w:rPr>
          <w:rFonts w:hint="eastAsia" w:asciiTheme="minorEastAsia" w:hAnsiTheme="minorEastAsia" w:eastAsiaTheme="minorEastAsia" w:cstheme="minorEastAsia"/>
          <w:color w:val="auto"/>
          <w:kern w:val="2"/>
          <w:sz w:val="24"/>
          <w:szCs w:val="24"/>
          <w:highlight w:val="none"/>
          <w:u w:val="single"/>
          <w:lang w:val="en-US" w:eastAsia="zh-CN" w:bidi="ar-SA"/>
        </w:rPr>
      </w:pPr>
      <w:r>
        <w:rPr>
          <w:rFonts w:hint="eastAsia" w:asciiTheme="minorEastAsia" w:hAnsiTheme="minorEastAsia" w:eastAsiaTheme="minorEastAsia" w:cstheme="minorEastAsia"/>
          <w:b w:val="0"/>
          <w:bCs w:val="0"/>
          <w:color w:val="auto"/>
          <w:sz w:val="24"/>
          <w:szCs w:val="24"/>
          <w:highlight w:val="none"/>
        </w:rPr>
        <w:t>结算时按中标结果、依据审定工作量及按照合同结算条款进行结算。</w:t>
      </w:r>
    </w:p>
    <w:p w14:paraId="512D0423">
      <w:pPr>
        <w:keepNext w:val="0"/>
        <w:keepLines w:val="0"/>
        <w:pageBreakBefore w:val="0"/>
        <w:widowControl w:val="0"/>
        <w:kinsoku/>
        <w:wordWrap/>
        <w:overflowPunct/>
        <w:topLinePunct w:val="0"/>
        <w:autoSpaceDE/>
        <w:autoSpaceDN/>
        <w:bidi w:val="0"/>
        <w:adjustRightInd/>
        <w:snapToGrid/>
        <w:spacing w:before="157" w:beforeLines="50" w:after="157" w:afterLines="50" w:line="480" w:lineRule="auto"/>
        <w:textAlignment w:val="auto"/>
        <w:rPr>
          <w:rFonts w:hint="default"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五、分包要求</w:t>
      </w:r>
    </w:p>
    <w:p w14:paraId="573FDF57">
      <w:pPr>
        <w:pStyle w:val="10"/>
        <w:numPr>
          <w:ilvl w:val="0"/>
          <w:numId w:val="0"/>
        </w:numPr>
        <w:rPr>
          <w:rFonts w:hint="eastAsia"/>
          <w:sz w:val="24"/>
          <w:szCs w:val="24"/>
          <w:highlight w:val="none"/>
          <w:lang w:eastAsia="zh-CN"/>
        </w:rPr>
      </w:pPr>
      <w:r>
        <w:rPr>
          <w:rFonts w:hint="default" w:ascii="Wingdings" w:hAnsi="Wingdings" w:cs="Wingdings"/>
          <w:sz w:val="24"/>
          <w:szCs w:val="24"/>
          <w:highlight w:val="none"/>
        </w:rPr>
        <w:sym w:font="Wingdings" w:char="00A8"/>
      </w:r>
      <w:r>
        <w:rPr>
          <w:rFonts w:hint="eastAsia"/>
          <w:sz w:val="24"/>
          <w:szCs w:val="24"/>
          <w:highlight w:val="none"/>
          <w:lang w:eastAsia="zh-CN"/>
        </w:rPr>
        <w:t>不允许分包</w:t>
      </w:r>
    </w:p>
    <w:p w14:paraId="2794BFF7">
      <w:pPr>
        <w:pStyle w:val="10"/>
        <w:numPr>
          <w:ilvl w:val="0"/>
          <w:numId w:val="0"/>
        </w:numPr>
        <w:rPr>
          <w:rFonts w:hint="eastAsia"/>
          <w:sz w:val="24"/>
          <w:szCs w:val="24"/>
          <w:highlight w:val="none"/>
          <w:lang w:eastAsia="zh-CN"/>
        </w:rPr>
      </w:pPr>
      <w:r>
        <w:rPr>
          <w:rFonts w:hint="default" w:ascii="Wingdings" w:hAnsi="Wingdings" w:cs="Wingdings"/>
          <w:sz w:val="24"/>
          <w:szCs w:val="24"/>
          <w:highlight w:val="none"/>
          <w:lang w:eastAsia="zh-CN"/>
        </w:rPr>
        <w:sym w:font="Wingdings" w:char="00FE"/>
      </w:r>
      <w:r>
        <w:rPr>
          <w:rFonts w:hint="eastAsia"/>
          <w:sz w:val="24"/>
          <w:szCs w:val="24"/>
          <w:highlight w:val="none"/>
          <w:lang w:eastAsia="zh-CN"/>
        </w:rPr>
        <w:t>允许分包，但必须符合以下要求：</w:t>
      </w:r>
    </w:p>
    <w:p w14:paraId="5AC797DE">
      <w:pPr>
        <w:keepNext w:val="0"/>
        <w:keepLines w:val="0"/>
        <w:pageBreakBefore w:val="0"/>
        <w:widowControl w:val="0"/>
        <w:kinsoku/>
        <w:wordWrap/>
        <w:overflowPunct/>
        <w:topLinePunct w:val="0"/>
        <w:autoSpaceDE/>
        <w:autoSpaceDN/>
        <w:bidi w:val="0"/>
        <w:adjustRightInd/>
        <w:snapToGrid w:val="0"/>
        <w:spacing w:line="560" w:lineRule="atLeast"/>
        <w:textAlignment w:val="auto"/>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（1）除建设工程主体部分的勘察、设计外，经建设单位书面同意，设计承包单位可以将建设工程其他</w:t>
      </w:r>
      <w:r>
        <w:rPr>
          <w:color w:val="auto"/>
          <w:sz w:val="24"/>
          <w:szCs w:val="24"/>
          <w:highlight w:val="none"/>
        </w:rPr>
        <w:t>非主体</w:t>
      </w:r>
      <w:r>
        <w:rPr>
          <w:rFonts w:hint="eastAsia"/>
          <w:color w:val="auto"/>
          <w:sz w:val="24"/>
          <w:szCs w:val="24"/>
          <w:highlight w:val="none"/>
        </w:rPr>
        <w:t>、非关键</w:t>
      </w:r>
      <w:r>
        <w:rPr>
          <w:rFonts w:hint="eastAsia" w:asciiTheme="minorEastAsia" w:hAnsiTheme="minorEastAsia" w:eastAsiaTheme="minorEastAsia" w:cstheme="minorEastAsia"/>
          <w:color w:val="auto"/>
          <w:kern w:val="0"/>
          <w:sz w:val="24"/>
          <w:szCs w:val="24"/>
          <w:highlight w:val="none"/>
          <w:lang w:val="en-US" w:eastAsia="zh-CN" w:bidi="ar"/>
        </w:rPr>
        <w:t>部分的勘察、设计分包给其他具有相应资质等级的建设工程勘察、设计单位。</w:t>
      </w:r>
    </w:p>
    <w:p w14:paraId="72A0F827">
      <w:pPr>
        <w:keepNext w:val="0"/>
        <w:keepLines w:val="0"/>
        <w:pageBreakBefore w:val="0"/>
        <w:widowControl w:val="0"/>
        <w:kinsoku/>
        <w:wordWrap/>
        <w:overflowPunct/>
        <w:topLinePunct w:val="0"/>
        <w:autoSpaceDE/>
        <w:autoSpaceDN/>
        <w:bidi w:val="0"/>
        <w:adjustRightInd/>
        <w:snapToGrid w:val="0"/>
        <w:spacing w:line="560" w:lineRule="atLeast"/>
        <w:textAlignment w:val="auto"/>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（2）勘察、设计承包单位不得将承揽的工程勘察、设计业务转包。</w:t>
      </w:r>
    </w:p>
    <w:p w14:paraId="0C08B602">
      <w:pPr>
        <w:pStyle w:val="9"/>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（3）其他：</w:t>
      </w:r>
      <w:r>
        <w:rPr>
          <w:rFonts w:hint="eastAsia" w:asciiTheme="minorEastAsia" w:hAnsiTheme="minorEastAsia" w:eastAsiaTheme="minorEastAsia" w:cstheme="minorEastAsia"/>
          <w:color w:val="auto"/>
          <w:sz w:val="24"/>
          <w:szCs w:val="24"/>
          <w:highlight w:val="none"/>
          <w:u w:val="single"/>
          <w:lang w:val="en-US" w:eastAsia="zh-CN"/>
        </w:rPr>
        <w:t xml:space="preserve">   /   </w:t>
      </w:r>
    </w:p>
    <w:p w14:paraId="38637ADE">
      <w:pPr>
        <w:rPr>
          <w:rFonts w:hint="eastAsia" w:ascii="宋体" w:hAnsi="宋体" w:eastAsia="宋体" w:cs="宋体"/>
          <w:color w:val="auto"/>
          <w:kern w:val="2"/>
          <w:sz w:val="24"/>
          <w:szCs w:val="24"/>
          <w:highlight w:val="none"/>
          <w:u w:val="single"/>
          <w:lang w:val="en-US" w:eastAsia="zh-CN" w:bidi="ar-SA"/>
        </w:rPr>
      </w:pPr>
    </w:p>
    <w:p w14:paraId="0B37AC84">
      <w:pPr>
        <w:rPr>
          <w:rFonts w:hint="default"/>
          <w:highlight w:val="none"/>
          <w:lang w:val="en-US" w:eastAsia="zh-CN"/>
        </w:rPr>
      </w:pPr>
    </w:p>
    <w:p w14:paraId="5C905D8F">
      <w:pPr>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br w:type="page"/>
      </w:r>
    </w:p>
    <w:p w14:paraId="5B599BE4">
      <w:pPr>
        <w:pStyle w:val="9"/>
        <w:keepNext w:val="0"/>
        <w:keepLines w:val="0"/>
        <w:pageBreakBefore w:val="0"/>
        <w:widowControl w:val="0"/>
        <w:numPr>
          <w:ilvl w:val="0"/>
          <w:numId w:val="2"/>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技术标准、要求及图纸（对应招标文件 第五章）</w:t>
      </w:r>
    </w:p>
    <w:p w14:paraId="27CDE0F4">
      <w:pPr>
        <w:pStyle w:val="2"/>
        <w:spacing w:before="0" w:after="0" w:line="240" w:lineRule="auto"/>
        <w:rPr>
          <w:rFonts w:hint="eastAsia" w:asciiTheme="minorEastAsia" w:hAnsiTheme="minorEastAsia" w:eastAsiaTheme="minorEastAsia" w:cstheme="minorEastAsia"/>
          <w:i w:val="0"/>
          <w:iCs/>
          <w:color w:val="auto"/>
          <w:sz w:val="24"/>
          <w:szCs w:val="24"/>
          <w:highlight w:val="none"/>
        </w:rPr>
      </w:pPr>
      <w:r>
        <w:rPr>
          <w:rFonts w:hint="eastAsia" w:asciiTheme="minorEastAsia" w:hAnsiTheme="minorEastAsia" w:eastAsiaTheme="minorEastAsia" w:cstheme="minorEastAsia"/>
          <w:i w:val="0"/>
          <w:iCs/>
          <w:color w:val="auto"/>
          <w:sz w:val="24"/>
          <w:szCs w:val="24"/>
          <w:highlight w:val="none"/>
          <w:lang w:eastAsia="zh-CN"/>
        </w:rPr>
        <w:t>一、</w:t>
      </w:r>
      <w:r>
        <w:rPr>
          <w:rFonts w:hint="eastAsia" w:asciiTheme="minorEastAsia" w:hAnsiTheme="minorEastAsia" w:eastAsiaTheme="minorEastAsia" w:cstheme="minorEastAsia"/>
          <w:i w:val="0"/>
          <w:iCs/>
          <w:color w:val="auto"/>
          <w:sz w:val="24"/>
          <w:szCs w:val="24"/>
          <w:highlight w:val="none"/>
        </w:rPr>
        <w:t xml:space="preserve"> 管理规范和技术（规范）标准（</w:t>
      </w:r>
      <w:r>
        <w:rPr>
          <w:rFonts w:hint="eastAsia" w:asciiTheme="minorEastAsia" w:hAnsiTheme="minorEastAsia" w:eastAsiaTheme="minorEastAsia" w:cstheme="minorEastAsia"/>
          <w:i w:val="0"/>
          <w:iCs/>
          <w:color w:val="auto"/>
          <w:sz w:val="24"/>
          <w:szCs w:val="24"/>
          <w:highlight w:val="none"/>
          <w:lang w:eastAsia="zh-CN"/>
        </w:rPr>
        <w:t>详见</w:t>
      </w:r>
      <w:r>
        <w:rPr>
          <w:rFonts w:hint="eastAsia" w:asciiTheme="minorEastAsia" w:hAnsiTheme="minorEastAsia" w:eastAsiaTheme="minorEastAsia" w:cstheme="minorEastAsia"/>
          <w:i w:val="0"/>
          <w:iCs/>
          <w:color w:val="auto"/>
          <w:sz w:val="24"/>
          <w:szCs w:val="24"/>
          <w:highlight w:val="none"/>
        </w:rPr>
        <w:t>合同附件）</w:t>
      </w:r>
    </w:p>
    <w:p w14:paraId="1332456F">
      <w:pPr>
        <w:pStyle w:val="9"/>
        <w:rPr>
          <w:rFonts w:hint="eastAsia" w:asciiTheme="minorEastAsia" w:hAnsiTheme="minorEastAsia" w:eastAsiaTheme="minorEastAsia" w:cstheme="minorEastAsia"/>
          <w:i w:val="0"/>
          <w:iCs/>
          <w:color w:val="auto"/>
          <w:sz w:val="24"/>
          <w:szCs w:val="24"/>
          <w:highlight w:val="none"/>
        </w:rPr>
      </w:pPr>
    </w:p>
    <w:p w14:paraId="02615356">
      <w:pPr>
        <w:pStyle w:val="2"/>
        <w:spacing w:before="0" w:after="0" w:line="240" w:lineRule="auto"/>
        <w:rPr>
          <w:rFonts w:hint="eastAsia" w:asciiTheme="minorEastAsia" w:hAnsiTheme="minorEastAsia" w:eastAsiaTheme="minorEastAsia" w:cstheme="minorEastAsia"/>
          <w:i w:val="0"/>
          <w:iCs/>
          <w:color w:val="auto"/>
          <w:sz w:val="24"/>
          <w:szCs w:val="24"/>
          <w:highlight w:val="none"/>
        </w:rPr>
      </w:pPr>
      <w:r>
        <w:rPr>
          <w:rFonts w:hint="eastAsia" w:asciiTheme="minorEastAsia" w:hAnsiTheme="minorEastAsia" w:eastAsiaTheme="minorEastAsia" w:cstheme="minorEastAsia"/>
          <w:i w:val="0"/>
          <w:iCs/>
          <w:color w:val="auto"/>
          <w:sz w:val="24"/>
          <w:szCs w:val="24"/>
          <w:highlight w:val="none"/>
          <w:lang w:eastAsia="zh-CN"/>
        </w:rPr>
        <w:t>二、</w:t>
      </w:r>
      <w:r>
        <w:rPr>
          <w:rFonts w:hint="eastAsia" w:asciiTheme="minorEastAsia" w:hAnsiTheme="minorEastAsia" w:eastAsiaTheme="minorEastAsia" w:cstheme="minorEastAsia"/>
          <w:i w:val="0"/>
          <w:iCs/>
          <w:color w:val="auto"/>
          <w:sz w:val="24"/>
          <w:szCs w:val="24"/>
          <w:highlight w:val="none"/>
        </w:rPr>
        <w:t>技术</w:t>
      </w:r>
      <w:r>
        <w:rPr>
          <w:rFonts w:hint="eastAsia" w:asciiTheme="minorEastAsia" w:hAnsiTheme="minorEastAsia" w:eastAsiaTheme="minorEastAsia" w:cstheme="minorEastAsia"/>
          <w:i w:val="0"/>
          <w:iCs/>
          <w:color w:val="auto"/>
          <w:sz w:val="24"/>
          <w:szCs w:val="24"/>
          <w:highlight w:val="none"/>
          <w:lang w:val="en-US" w:eastAsia="zh-CN"/>
        </w:rPr>
        <w:t>及管理</w:t>
      </w:r>
      <w:r>
        <w:rPr>
          <w:rFonts w:hint="eastAsia" w:asciiTheme="minorEastAsia" w:hAnsiTheme="minorEastAsia" w:eastAsiaTheme="minorEastAsia" w:cstheme="minorEastAsia"/>
          <w:i w:val="0"/>
          <w:iCs/>
          <w:color w:val="auto"/>
          <w:sz w:val="24"/>
          <w:szCs w:val="24"/>
          <w:highlight w:val="none"/>
        </w:rPr>
        <w:t>要求</w:t>
      </w:r>
    </w:p>
    <w:p w14:paraId="240C9C8B">
      <w:pPr>
        <w:autoSpaceDE w:val="0"/>
        <w:autoSpaceDN w:val="0"/>
        <w:adjustRightInd w:val="0"/>
        <w:rPr>
          <w:rFonts w:hint="eastAsia" w:asciiTheme="minorEastAsia" w:hAnsiTheme="minorEastAsia" w:eastAsiaTheme="minorEastAsia" w:cstheme="minorEastAsia"/>
          <w:i w:val="0"/>
          <w:iCs/>
          <w:color w:val="auto"/>
          <w:kern w:val="0"/>
          <w:sz w:val="24"/>
          <w:szCs w:val="24"/>
          <w:highlight w:val="none"/>
          <w:lang w:val="zh-CN"/>
        </w:rPr>
      </w:pPr>
      <w:r>
        <w:rPr>
          <w:rFonts w:hint="eastAsia" w:asciiTheme="minorEastAsia" w:hAnsiTheme="minorEastAsia" w:eastAsiaTheme="minorEastAsia" w:cstheme="minorEastAsia"/>
          <w:i w:val="0"/>
          <w:iCs/>
          <w:color w:val="auto"/>
          <w:kern w:val="0"/>
          <w:sz w:val="24"/>
          <w:szCs w:val="24"/>
          <w:highlight w:val="none"/>
          <w:lang w:val="zh-CN"/>
        </w:rPr>
        <w:t>（一）满足南方电网公司基建管理制度、建设单位的质量、环境和职业健康安全管理体系文件、其他有关制度和规定。</w:t>
      </w:r>
    </w:p>
    <w:p w14:paraId="1FDBF104">
      <w:pPr>
        <w:pStyle w:val="2"/>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val="0"/>
          <w:bCs/>
          <w:i w:val="0"/>
          <w:iCs/>
          <w:color w:val="auto"/>
          <w:kern w:val="0"/>
          <w:sz w:val="24"/>
          <w:szCs w:val="24"/>
          <w:highlight w:val="none"/>
          <w:lang w:val="zh-CN"/>
        </w:rPr>
      </w:pPr>
      <w:r>
        <w:rPr>
          <w:rFonts w:hint="eastAsia" w:asciiTheme="minorEastAsia" w:hAnsiTheme="minorEastAsia" w:eastAsiaTheme="minorEastAsia" w:cstheme="minorEastAsia"/>
          <w:b w:val="0"/>
          <w:bCs/>
          <w:i w:val="0"/>
          <w:iCs/>
          <w:color w:val="auto"/>
          <w:kern w:val="0"/>
          <w:sz w:val="24"/>
          <w:szCs w:val="24"/>
          <w:highlight w:val="none"/>
          <w:lang w:val="zh-CN"/>
        </w:rPr>
        <w:t>（二）符合图纸及技术文件的要求。</w:t>
      </w:r>
    </w:p>
    <w:p w14:paraId="01D98CCC">
      <w:pPr>
        <w:pStyle w:val="2"/>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val="0"/>
          <w:bCs w:val="0"/>
          <w:i w:val="0"/>
          <w:color w:val="auto"/>
          <w:kern w:val="2"/>
          <w:sz w:val="24"/>
          <w:szCs w:val="24"/>
          <w:highlight w:val="none"/>
          <w:lang w:val="en-US" w:eastAsia="zh-CN" w:bidi="ar-SA"/>
        </w:rPr>
      </w:pPr>
      <w:r>
        <w:rPr>
          <w:rFonts w:hint="eastAsia" w:asciiTheme="minorEastAsia" w:hAnsiTheme="minorEastAsia" w:eastAsiaTheme="minorEastAsia" w:cstheme="minorEastAsia"/>
          <w:b w:val="0"/>
          <w:bCs w:val="0"/>
          <w:i w:val="0"/>
          <w:color w:val="auto"/>
          <w:kern w:val="2"/>
          <w:sz w:val="24"/>
          <w:szCs w:val="24"/>
          <w:highlight w:val="none"/>
          <w:lang w:val="en-US" w:eastAsia="zh-CN" w:bidi="ar-SA"/>
        </w:rPr>
        <w:t>（三）严格执行以下管理要求：</w:t>
      </w:r>
    </w:p>
    <w:p w14:paraId="024D146A">
      <w:pPr>
        <w:pStyle w:val="9"/>
        <w:numPr>
          <w:ilvl w:val="0"/>
          <w:numId w:val="0"/>
        </w:numPr>
        <w:rPr>
          <w:rFonts w:hint="eastAsia" w:hAnsi="宋体"/>
          <w:b w:val="0"/>
          <w:bCs w:val="0"/>
          <w:color w:val="auto"/>
          <w:sz w:val="24"/>
          <w:szCs w:val="24"/>
          <w:highlight w:val="none"/>
          <w:u w:val="none"/>
        </w:rPr>
      </w:pPr>
      <w:r>
        <w:rPr>
          <w:rFonts w:hint="eastAsia" w:hAnsi="宋体"/>
          <w:b w:val="0"/>
          <w:bCs w:val="0"/>
          <w:color w:val="auto"/>
          <w:sz w:val="24"/>
          <w:szCs w:val="24"/>
          <w:highlight w:val="none"/>
          <w:u w:val="none"/>
          <w:lang w:val="en-US" w:eastAsia="zh-CN"/>
        </w:rPr>
        <w:t>1、</w:t>
      </w:r>
      <w:r>
        <w:rPr>
          <w:rFonts w:hint="eastAsia" w:hAnsi="宋体"/>
          <w:b w:val="0"/>
          <w:bCs w:val="0"/>
          <w:color w:val="auto"/>
          <w:sz w:val="24"/>
          <w:szCs w:val="24"/>
          <w:highlight w:val="none"/>
          <w:u w:val="none"/>
        </w:rPr>
        <w:t>严格执行</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保障中小企业款项支付条例</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（中华人民共和国国务院令 第728号）</w:t>
      </w:r>
      <w:r>
        <w:rPr>
          <w:rFonts w:hint="eastAsia" w:hAnsi="宋体"/>
          <w:b w:val="0"/>
          <w:bCs w:val="0"/>
          <w:color w:val="auto"/>
          <w:sz w:val="24"/>
          <w:szCs w:val="24"/>
          <w:highlight w:val="none"/>
          <w:u w:val="none"/>
          <w:lang w:eastAsia="zh-CN"/>
        </w:rPr>
        <w:t>相关要求，确保</w:t>
      </w:r>
      <w:r>
        <w:rPr>
          <w:rFonts w:hint="eastAsia" w:ascii="宋体"/>
          <w:color w:val="auto"/>
          <w:sz w:val="24"/>
          <w:szCs w:val="24"/>
          <w:highlight w:val="none"/>
          <w:u w:val="none"/>
          <w:lang w:eastAsia="zh-CN"/>
        </w:rPr>
        <w:t>款项支付依法合规</w:t>
      </w:r>
      <w:r>
        <w:rPr>
          <w:rFonts w:hint="eastAsia"/>
          <w:color w:val="auto"/>
          <w:sz w:val="24"/>
          <w:szCs w:val="24"/>
          <w:highlight w:val="none"/>
          <w:u w:val="none"/>
          <w:lang w:eastAsia="zh-CN"/>
        </w:rPr>
        <w:t>。</w:t>
      </w:r>
    </w:p>
    <w:p w14:paraId="2C30A53D">
      <w:pPr>
        <w:pStyle w:val="9"/>
        <w:numPr>
          <w:ilvl w:val="0"/>
          <w:numId w:val="3"/>
        </w:numPr>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按照公司要求使用资产管理信息系统及南网基建移动应用，若违反使用要求，按照南网基建承包商处罚条款进行扣分。</w:t>
      </w:r>
    </w:p>
    <w:p w14:paraId="6F0B9D26">
      <w:pPr>
        <w:pStyle w:val="9"/>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持续推进基建安风体系认证工作，严格执行“四步法”、“八步骤”、“7S”管理，规范PPE（人工防护用品）管理，形成施工现场安全管理文化。</w:t>
      </w:r>
    </w:p>
    <w:p w14:paraId="139E924F">
      <w:pPr>
        <w:pStyle w:val="9"/>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服从《南方电网公司基建承包商违章处罚条款》的日常检查及处罚、服从各建设单位安全违章处罚、服从各建设单位安全整顿及安全学习等各项安全管理指令。</w:t>
      </w:r>
    </w:p>
    <w:p w14:paraId="77DB8662">
      <w:pPr>
        <w:pStyle w:val="9"/>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遵守国家、电力行业、公司持证上岗相关要求。</w:t>
      </w:r>
    </w:p>
    <w:p w14:paraId="2CEB8E5A">
      <w:pPr>
        <w:pStyle w:val="9"/>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自愿参加南方电网公司基建承包商登记建档并服从承包商管理相关规定。</w:t>
      </w:r>
    </w:p>
    <w:p w14:paraId="6E01A96F">
      <w:pPr>
        <w:pStyle w:val="9"/>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严格执行南网“八不准”。</w:t>
      </w:r>
    </w:p>
    <w:p w14:paraId="74FD679E">
      <w:pPr>
        <w:pStyle w:val="9"/>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深化WHS、施工作业指导书和验评标准的现场应用。</w:t>
      </w:r>
    </w:p>
    <w:p w14:paraId="2C9051BA">
      <w:pPr>
        <w:pStyle w:val="9"/>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完善基建项目缺陷管理制度、表单，所有项目均严格实行缺陷填报。</w:t>
      </w:r>
    </w:p>
    <w:p w14:paraId="7ECFC97D">
      <w:pPr>
        <w:pStyle w:val="9"/>
        <w:numPr>
          <w:ilvl w:val="0"/>
          <w:numId w:val="3"/>
        </w:numPr>
        <w:rPr>
          <w:rFonts w:hint="eastAsia" w:asciiTheme="minorEastAsia" w:hAnsiTheme="minorEastAsia" w:eastAsiaTheme="minorEastAsia" w:cstheme="minorEastAsia"/>
          <w:b w:val="0"/>
          <w:bCs w:val="0"/>
          <w:i w:val="0"/>
          <w:color w:val="auto"/>
          <w:kern w:val="2"/>
          <w:sz w:val="24"/>
          <w:szCs w:val="24"/>
          <w:highlight w:val="none"/>
          <w:u w:val="none"/>
          <w:lang w:val="en-US" w:eastAsia="zh-CN" w:bidi="ar-SA"/>
        </w:rPr>
      </w:pPr>
      <w:r>
        <w:rPr>
          <w:rFonts w:hint="eastAsia" w:hAnsi="宋体"/>
          <w:color w:val="auto"/>
          <w:sz w:val="24"/>
          <w:szCs w:val="24"/>
          <w:highlight w:val="none"/>
          <w:u w:val="none"/>
        </w:rPr>
        <w:t>积极配合执行各建设单位开展的信息化管理项目、新技术、新工艺开发应用。</w:t>
      </w:r>
    </w:p>
    <w:p w14:paraId="707B3F95">
      <w:pPr>
        <w:pStyle w:val="9"/>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both"/>
        <w:rPr>
          <w:rFonts w:hint="eastAsia" w:hAnsi="宋体"/>
          <w:color w:val="auto"/>
          <w:sz w:val="24"/>
          <w:szCs w:val="24"/>
          <w:highlight w:val="none"/>
          <w:u w:val="none"/>
        </w:rPr>
      </w:pPr>
    </w:p>
    <w:p w14:paraId="2FD5BD29">
      <w:pPr>
        <w:pStyle w:val="2"/>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val="0"/>
          <w:bCs w:val="0"/>
          <w:i w:val="0"/>
          <w:color w:val="auto"/>
          <w:kern w:val="2"/>
          <w:sz w:val="24"/>
          <w:szCs w:val="24"/>
          <w:highlight w:val="none"/>
          <w:lang w:val="en-US" w:eastAsia="zh-CN" w:bidi="ar-SA"/>
        </w:rPr>
      </w:pPr>
      <w:r>
        <w:rPr>
          <w:rFonts w:hint="eastAsia" w:asciiTheme="minorEastAsia" w:hAnsiTheme="minorEastAsia" w:eastAsiaTheme="minorEastAsia" w:cstheme="minorEastAsia"/>
          <w:b w:val="0"/>
          <w:bCs w:val="0"/>
          <w:i w:val="0"/>
          <w:color w:val="auto"/>
          <w:kern w:val="2"/>
          <w:sz w:val="24"/>
          <w:szCs w:val="24"/>
          <w:highlight w:val="none"/>
          <w:lang w:val="en-US" w:eastAsia="zh-CN" w:bidi="ar-SA"/>
        </w:rPr>
        <w:t>（四）技术要求：</w:t>
      </w:r>
    </w:p>
    <w:p w14:paraId="15422C15">
      <w:pPr>
        <w:spacing w:line="360" w:lineRule="auto"/>
        <w:ind w:firstLine="482" w:firstLineChars="200"/>
        <w:rPr>
          <w:b/>
          <w:bCs/>
          <w:color w:val="auto"/>
          <w:sz w:val="24"/>
          <w:szCs w:val="24"/>
          <w:highlight w:val="none"/>
        </w:rPr>
      </w:pPr>
      <w:r>
        <w:rPr>
          <w:rFonts w:hint="eastAsia"/>
          <w:b/>
          <w:bCs/>
          <w:color w:val="auto"/>
          <w:sz w:val="24"/>
          <w:szCs w:val="24"/>
          <w:highlight w:val="none"/>
        </w:rPr>
        <w:t>1、总的编制原则：</w:t>
      </w:r>
    </w:p>
    <w:p w14:paraId="3469E30E">
      <w:pPr>
        <w:spacing w:line="360" w:lineRule="auto"/>
        <w:ind w:firstLine="480" w:firstLineChars="200"/>
        <w:rPr>
          <w:color w:val="auto"/>
          <w:sz w:val="24"/>
          <w:szCs w:val="24"/>
          <w:highlight w:val="none"/>
        </w:rPr>
      </w:pPr>
      <w:r>
        <w:rPr>
          <w:rFonts w:hint="eastAsia"/>
          <w:color w:val="auto"/>
          <w:sz w:val="24"/>
          <w:szCs w:val="24"/>
          <w:highlight w:val="none"/>
        </w:rPr>
        <w:t>1.1  招标文件给定的工程技术基础资料是招标的统一工作平台，投标技术文件的编制（主要设计方案和技术经济指标）必须响应招标文件的给定条件，并具有很好的针对性和一致性。在此基础上的设计优化应详加论述，以表明优化方案和各项指标的真实、合理与可行。</w:t>
      </w:r>
    </w:p>
    <w:p w14:paraId="3F747E7E">
      <w:pPr>
        <w:spacing w:line="360" w:lineRule="auto"/>
        <w:ind w:firstLine="480" w:firstLineChars="200"/>
        <w:rPr>
          <w:color w:val="auto"/>
          <w:sz w:val="24"/>
          <w:szCs w:val="24"/>
          <w:highlight w:val="none"/>
        </w:rPr>
      </w:pPr>
      <w:r>
        <w:rPr>
          <w:rFonts w:hint="eastAsia"/>
          <w:color w:val="auto"/>
          <w:sz w:val="24"/>
          <w:szCs w:val="24"/>
          <w:highlight w:val="none"/>
        </w:rPr>
        <w:t>1.2  设计投标方案不应片面追求指标的节省，而应结合工程实际和施工、运行的合理要求，优化设计和追求合理的技术经济指标，以体现工程的整体社会效益。</w:t>
      </w:r>
    </w:p>
    <w:p w14:paraId="49711F0D">
      <w:pPr>
        <w:spacing w:line="360" w:lineRule="auto"/>
        <w:ind w:firstLine="480" w:firstLineChars="200"/>
        <w:rPr>
          <w:color w:val="auto"/>
          <w:sz w:val="24"/>
          <w:szCs w:val="24"/>
          <w:highlight w:val="none"/>
        </w:rPr>
      </w:pPr>
      <w:r>
        <w:rPr>
          <w:rFonts w:hint="eastAsia"/>
          <w:color w:val="auto"/>
          <w:sz w:val="24"/>
          <w:szCs w:val="24"/>
          <w:highlight w:val="none"/>
        </w:rPr>
        <w:t>1.3  投标人需对招标文件所要求的各项内容进行重点论述，要针对工程的特点和关键问题进行研究探讨。对需要论述的各项内容，允许进行多方案的论证分析，但必须明确推荐的首选方案，并据此进行相关论述。若有采用未定因素或是以投标方假定条件为前提的，应在说明中特意指明。</w:t>
      </w:r>
    </w:p>
    <w:p w14:paraId="5E6F045D">
      <w:pPr>
        <w:spacing w:line="360" w:lineRule="auto"/>
        <w:ind w:firstLine="482" w:firstLineChars="200"/>
        <w:rPr>
          <w:b/>
          <w:bCs/>
          <w:color w:val="auto"/>
          <w:sz w:val="24"/>
          <w:szCs w:val="24"/>
          <w:highlight w:val="none"/>
        </w:rPr>
      </w:pPr>
      <w:r>
        <w:rPr>
          <w:rFonts w:hint="eastAsia"/>
          <w:b/>
          <w:bCs/>
          <w:color w:val="auto"/>
          <w:sz w:val="24"/>
          <w:szCs w:val="24"/>
          <w:highlight w:val="none"/>
        </w:rPr>
        <w:t>2、变电站具体内容要求（包括但不限于）：</w:t>
      </w:r>
    </w:p>
    <w:p w14:paraId="0D591D6E">
      <w:pPr>
        <w:spacing w:line="360" w:lineRule="auto"/>
        <w:ind w:firstLine="480" w:firstLineChars="200"/>
        <w:rPr>
          <w:color w:val="auto"/>
          <w:sz w:val="24"/>
          <w:szCs w:val="24"/>
          <w:highlight w:val="none"/>
        </w:rPr>
      </w:pPr>
      <w:r>
        <w:rPr>
          <w:rFonts w:hint="eastAsia"/>
          <w:color w:val="auto"/>
          <w:sz w:val="24"/>
          <w:szCs w:val="24"/>
          <w:highlight w:val="none"/>
        </w:rPr>
        <w:t>2.1 投标人需对工程技术方案、总平面布置、技术经济建议和控制造价的措施等进行重点论述。针对工程特点，如防洪、地基处理、污秽等进行重点论述。</w:t>
      </w:r>
    </w:p>
    <w:p w14:paraId="12BC9375">
      <w:pPr>
        <w:spacing w:line="360" w:lineRule="auto"/>
        <w:ind w:firstLine="480" w:firstLineChars="200"/>
        <w:rPr>
          <w:color w:val="auto"/>
          <w:sz w:val="24"/>
          <w:szCs w:val="24"/>
          <w:highlight w:val="none"/>
        </w:rPr>
      </w:pPr>
      <w:r>
        <w:rPr>
          <w:rFonts w:hint="eastAsia"/>
          <w:color w:val="auto"/>
          <w:sz w:val="24"/>
          <w:szCs w:val="24"/>
          <w:highlight w:val="none"/>
        </w:rPr>
        <w:t>2.2 对需要论述的各项内容，允许最多提出两个论证方案，同时必须明确提出推荐的首选方案， 评标时按照推荐方案评议。</w:t>
      </w:r>
    </w:p>
    <w:p w14:paraId="40670784">
      <w:pPr>
        <w:spacing w:line="360" w:lineRule="auto"/>
        <w:ind w:firstLine="480" w:firstLineChars="200"/>
        <w:rPr>
          <w:color w:val="auto"/>
          <w:sz w:val="24"/>
          <w:szCs w:val="24"/>
          <w:highlight w:val="none"/>
        </w:rPr>
      </w:pPr>
      <w:r>
        <w:rPr>
          <w:rFonts w:hint="eastAsia"/>
          <w:color w:val="auto"/>
          <w:sz w:val="24"/>
          <w:szCs w:val="24"/>
          <w:highlight w:val="none"/>
        </w:rPr>
        <w:t>2.3 除了一些必要的示意图和说明插图外，所有图纸应满足初步设计深度要求，以及招标完成后开展下一步工作的需要。</w:t>
      </w:r>
    </w:p>
    <w:p w14:paraId="1D019D34">
      <w:pPr>
        <w:spacing w:line="360" w:lineRule="auto"/>
        <w:ind w:firstLine="480" w:firstLineChars="200"/>
        <w:rPr>
          <w:color w:val="auto"/>
          <w:sz w:val="24"/>
          <w:szCs w:val="24"/>
          <w:highlight w:val="none"/>
        </w:rPr>
      </w:pPr>
      <w:r>
        <w:rPr>
          <w:rFonts w:hint="eastAsia"/>
          <w:color w:val="auto"/>
          <w:sz w:val="24"/>
          <w:szCs w:val="24"/>
          <w:highlight w:val="none"/>
        </w:rPr>
        <w:t>2.4 若因未定因素图中无法表示的，或图中某些内容是以投标方假定为前提的，应在说明中特意指明。</w:t>
      </w:r>
    </w:p>
    <w:p w14:paraId="1561811D">
      <w:pPr>
        <w:spacing w:line="360" w:lineRule="auto"/>
        <w:ind w:firstLine="480" w:firstLineChars="200"/>
        <w:rPr>
          <w:color w:val="auto"/>
          <w:sz w:val="24"/>
          <w:szCs w:val="24"/>
          <w:highlight w:val="none"/>
        </w:rPr>
      </w:pPr>
      <w:r>
        <w:rPr>
          <w:rFonts w:hint="eastAsia"/>
          <w:color w:val="auto"/>
          <w:sz w:val="24"/>
          <w:szCs w:val="24"/>
          <w:highlight w:val="none"/>
        </w:rPr>
        <w:t>2.5 设计应贯彻工程建设为安全生产服务和环境保护的意识，综合考虑经济效益、社会效益和环境效益。提出设计单位贯彻建设工程全寿命周期管理的措施、方案。</w:t>
      </w:r>
    </w:p>
    <w:p w14:paraId="1C9BC774">
      <w:pPr>
        <w:spacing w:line="360" w:lineRule="auto"/>
        <w:ind w:firstLine="480" w:firstLineChars="200"/>
        <w:rPr>
          <w:color w:val="auto"/>
          <w:sz w:val="24"/>
          <w:szCs w:val="24"/>
          <w:highlight w:val="none"/>
        </w:rPr>
      </w:pPr>
      <w:r>
        <w:rPr>
          <w:rFonts w:hint="eastAsia"/>
          <w:color w:val="auto"/>
          <w:sz w:val="24"/>
          <w:szCs w:val="24"/>
          <w:highlight w:val="none"/>
        </w:rPr>
        <w:t>2.6 设计投标不必做完整概算（需按预规表1、表2、表3、表4格式计算）。但须满足工程投资计算深度。</w:t>
      </w:r>
    </w:p>
    <w:p w14:paraId="26DBAFB6">
      <w:pPr>
        <w:spacing w:line="360" w:lineRule="auto"/>
        <w:ind w:firstLine="480" w:firstLineChars="200"/>
        <w:rPr>
          <w:color w:val="auto"/>
          <w:sz w:val="24"/>
          <w:szCs w:val="24"/>
          <w:highlight w:val="none"/>
        </w:rPr>
      </w:pPr>
      <w:r>
        <w:rPr>
          <w:rFonts w:hint="eastAsia"/>
          <w:color w:val="auto"/>
          <w:sz w:val="24"/>
          <w:szCs w:val="24"/>
          <w:highlight w:val="none"/>
        </w:rPr>
        <w:t>2.7 招标文件规定以外的“专题报告”。在招标文件要求的投标内容之外，投标人可根据工程条件，认为与工程密切相关确有必要提出其他的研究项目（含采用新技术、新设备和新材料建议）报告时，可随投标文件一并提出，并注明“专题报告”：除此之外，应在投标文件正文中论述，不要出单独的“专题报告”。没有研究价值的专题评标时将不予评议，投标时尽量不要凭空任意超范围投标。</w:t>
      </w:r>
    </w:p>
    <w:p w14:paraId="2C73A5CA">
      <w:pPr>
        <w:spacing w:line="360" w:lineRule="auto"/>
        <w:ind w:firstLine="482" w:firstLineChars="200"/>
        <w:rPr>
          <w:b/>
          <w:bCs/>
          <w:color w:val="auto"/>
          <w:sz w:val="24"/>
          <w:szCs w:val="24"/>
          <w:highlight w:val="none"/>
        </w:rPr>
      </w:pPr>
      <w:r>
        <w:rPr>
          <w:rFonts w:hint="eastAsia"/>
          <w:b/>
          <w:bCs/>
          <w:color w:val="auto"/>
          <w:sz w:val="24"/>
          <w:szCs w:val="24"/>
          <w:highlight w:val="none"/>
        </w:rPr>
        <w:t>3、应进行重点论述的项目和内容：</w:t>
      </w:r>
    </w:p>
    <w:p w14:paraId="6804B21D">
      <w:pPr>
        <w:spacing w:line="360" w:lineRule="auto"/>
        <w:ind w:firstLine="480" w:firstLineChars="200"/>
        <w:rPr>
          <w:color w:val="auto"/>
          <w:sz w:val="24"/>
          <w:szCs w:val="24"/>
          <w:highlight w:val="none"/>
        </w:rPr>
      </w:pPr>
      <w:r>
        <w:rPr>
          <w:rFonts w:hint="eastAsia"/>
          <w:color w:val="auto"/>
          <w:sz w:val="24"/>
          <w:szCs w:val="24"/>
          <w:highlight w:val="none"/>
        </w:rPr>
        <w:t>3.1 电气主接线及附图：</w:t>
      </w:r>
    </w:p>
    <w:p w14:paraId="435158E0">
      <w:pPr>
        <w:spacing w:line="360" w:lineRule="auto"/>
        <w:ind w:firstLine="480" w:firstLineChars="200"/>
        <w:rPr>
          <w:color w:val="auto"/>
          <w:sz w:val="24"/>
          <w:szCs w:val="24"/>
          <w:highlight w:val="none"/>
        </w:rPr>
      </w:pPr>
      <w:r>
        <w:rPr>
          <w:rFonts w:hint="eastAsia"/>
          <w:color w:val="auto"/>
          <w:sz w:val="24"/>
          <w:szCs w:val="24"/>
          <w:highlight w:val="none"/>
        </w:rPr>
        <w:t>（1）除图纸外，应附有相应说明；</w:t>
      </w:r>
    </w:p>
    <w:p w14:paraId="43DA893B">
      <w:pPr>
        <w:spacing w:line="360" w:lineRule="auto"/>
        <w:ind w:firstLine="480" w:firstLineChars="200"/>
        <w:rPr>
          <w:color w:val="auto"/>
          <w:sz w:val="24"/>
          <w:szCs w:val="24"/>
          <w:highlight w:val="none"/>
        </w:rPr>
      </w:pPr>
      <w:r>
        <w:rPr>
          <w:rFonts w:hint="eastAsia"/>
          <w:color w:val="auto"/>
          <w:sz w:val="24"/>
          <w:szCs w:val="24"/>
          <w:highlight w:val="none"/>
        </w:rPr>
        <w:t>（2）交流</w:t>
      </w:r>
      <w:r>
        <w:rPr>
          <w:rFonts w:hint="eastAsia"/>
          <w:color w:val="auto"/>
          <w:sz w:val="24"/>
          <w:szCs w:val="24"/>
          <w:highlight w:val="none"/>
          <w:u w:val="single"/>
        </w:rPr>
        <w:t xml:space="preserve">    </w:t>
      </w:r>
      <w:r>
        <w:rPr>
          <w:rFonts w:hint="eastAsia"/>
          <w:color w:val="auto"/>
          <w:sz w:val="24"/>
          <w:szCs w:val="24"/>
          <w:highlight w:val="none"/>
        </w:rPr>
        <w:t>kV主接线，对远近期结合的过渡接线以及各种运行方式的适应性做重点论述，提出推荐方案。</w:t>
      </w:r>
    </w:p>
    <w:p w14:paraId="14195DBE">
      <w:pPr>
        <w:spacing w:line="360" w:lineRule="auto"/>
        <w:ind w:firstLine="480" w:firstLineChars="200"/>
        <w:rPr>
          <w:color w:val="auto"/>
          <w:sz w:val="24"/>
          <w:szCs w:val="24"/>
          <w:highlight w:val="none"/>
        </w:rPr>
      </w:pPr>
      <w:r>
        <w:rPr>
          <w:rFonts w:hint="eastAsia"/>
          <w:color w:val="auto"/>
          <w:sz w:val="24"/>
          <w:szCs w:val="24"/>
          <w:highlight w:val="none"/>
        </w:rPr>
        <w:t xml:space="preserve">3.2 </w:t>
      </w:r>
      <w:r>
        <w:rPr>
          <w:rFonts w:hint="eastAsia"/>
          <w:color w:val="auto"/>
          <w:sz w:val="24"/>
          <w:szCs w:val="24"/>
          <w:highlight w:val="none"/>
          <w:u w:val="single"/>
        </w:rPr>
        <w:t xml:space="preserve">             </w:t>
      </w:r>
      <w:r>
        <w:rPr>
          <w:rFonts w:hint="eastAsia"/>
          <w:color w:val="auto"/>
          <w:sz w:val="24"/>
          <w:szCs w:val="24"/>
          <w:highlight w:val="none"/>
        </w:rPr>
        <w:t>及电气一次主要设备选择：</w:t>
      </w:r>
    </w:p>
    <w:p w14:paraId="771BCC6B">
      <w:pPr>
        <w:spacing w:line="360" w:lineRule="auto"/>
        <w:ind w:firstLine="480" w:firstLineChars="200"/>
        <w:rPr>
          <w:color w:val="auto"/>
          <w:sz w:val="24"/>
          <w:szCs w:val="24"/>
          <w:highlight w:val="none"/>
        </w:rPr>
      </w:pPr>
      <w:r>
        <w:rPr>
          <w:rFonts w:hint="eastAsia"/>
          <w:color w:val="auto"/>
          <w:sz w:val="24"/>
          <w:szCs w:val="24"/>
          <w:highlight w:val="none"/>
        </w:rPr>
        <w:t>（1）电气设备选型可用说明、表格及插图的方式表述。</w:t>
      </w:r>
    </w:p>
    <w:p w14:paraId="24F866DF">
      <w:pPr>
        <w:spacing w:line="360" w:lineRule="auto"/>
        <w:ind w:firstLine="480" w:firstLineChars="200"/>
        <w:rPr>
          <w:color w:val="auto"/>
          <w:sz w:val="24"/>
          <w:szCs w:val="24"/>
          <w:highlight w:val="none"/>
        </w:rPr>
      </w:pPr>
      <w:r>
        <w:rPr>
          <w:rFonts w:hint="eastAsia"/>
          <w:color w:val="auto"/>
          <w:sz w:val="24"/>
          <w:szCs w:val="24"/>
          <w:highlight w:val="none"/>
        </w:rPr>
        <w:t>（2）所有设备均只提出参数和型式，不选厂家，对采用国产设备或进口设备应提出建议。若建议采用进口设备，需详细说明理由。</w:t>
      </w:r>
    </w:p>
    <w:p w14:paraId="7218BB36">
      <w:pPr>
        <w:spacing w:line="360" w:lineRule="auto"/>
        <w:ind w:firstLine="480" w:firstLineChars="200"/>
        <w:rPr>
          <w:color w:val="auto"/>
          <w:sz w:val="24"/>
          <w:szCs w:val="24"/>
          <w:highlight w:val="none"/>
        </w:rPr>
      </w:pPr>
      <w:r>
        <w:rPr>
          <w:rFonts w:hint="eastAsia"/>
          <w:color w:val="auto"/>
          <w:sz w:val="24"/>
          <w:szCs w:val="24"/>
          <w:highlight w:val="none"/>
        </w:rPr>
        <w:t>（3）主要简述</w:t>
      </w:r>
      <w:r>
        <w:rPr>
          <w:rFonts w:hint="eastAsia"/>
          <w:color w:val="auto"/>
          <w:sz w:val="24"/>
          <w:szCs w:val="24"/>
          <w:highlight w:val="none"/>
          <w:u w:val="single"/>
        </w:rPr>
        <w:t xml:space="preserve">     </w:t>
      </w:r>
      <w:r>
        <w:rPr>
          <w:rFonts w:hint="eastAsia"/>
          <w:color w:val="auto"/>
          <w:sz w:val="24"/>
          <w:szCs w:val="24"/>
          <w:highlight w:val="none"/>
        </w:rPr>
        <w:t>、</w:t>
      </w:r>
      <w:r>
        <w:rPr>
          <w:rFonts w:hint="eastAsia"/>
          <w:color w:val="auto"/>
          <w:sz w:val="24"/>
          <w:szCs w:val="24"/>
          <w:highlight w:val="none"/>
          <w:u w:val="single"/>
        </w:rPr>
        <w:t xml:space="preserve">        </w:t>
      </w:r>
      <w:r>
        <w:rPr>
          <w:rFonts w:hint="eastAsia"/>
          <w:color w:val="auto"/>
          <w:sz w:val="24"/>
          <w:szCs w:val="24"/>
          <w:highlight w:val="none"/>
        </w:rPr>
        <w:t>变压器，</w:t>
      </w:r>
      <w:r>
        <w:rPr>
          <w:rFonts w:hint="eastAsia"/>
          <w:color w:val="auto"/>
          <w:sz w:val="24"/>
          <w:szCs w:val="24"/>
          <w:highlight w:val="none"/>
          <w:u w:val="single"/>
        </w:rPr>
        <w:t xml:space="preserve">    </w:t>
      </w:r>
      <w:r>
        <w:rPr>
          <w:rFonts w:hint="eastAsia"/>
          <w:color w:val="auto"/>
          <w:sz w:val="24"/>
          <w:szCs w:val="24"/>
          <w:highlight w:val="none"/>
        </w:rPr>
        <w:t>、</w:t>
      </w:r>
      <w:r>
        <w:rPr>
          <w:rFonts w:hint="eastAsia"/>
          <w:color w:val="auto"/>
          <w:sz w:val="24"/>
          <w:szCs w:val="24"/>
          <w:highlight w:val="none"/>
          <w:u w:val="single"/>
        </w:rPr>
        <w:t xml:space="preserve">    </w:t>
      </w:r>
      <w:r>
        <w:rPr>
          <w:rFonts w:hint="eastAsia"/>
          <w:color w:val="auto"/>
          <w:sz w:val="24"/>
          <w:szCs w:val="24"/>
          <w:highlight w:val="none"/>
        </w:rPr>
        <w:t>、</w:t>
      </w:r>
      <w:r>
        <w:rPr>
          <w:rFonts w:hint="eastAsia"/>
          <w:color w:val="auto"/>
          <w:sz w:val="24"/>
          <w:szCs w:val="24"/>
          <w:highlight w:val="none"/>
          <w:u w:val="single"/>
        </w:rPr>
        <w:t xml:space="preserve">    </w:t>
      </w:r>
      <w:r>
        <w:rPr>
          <w:rFonts w:hint="eastAsia"/>
          <w:color w:val="auto"/>
          <w:sz w:val="24"/>
          <w:szCs w:val="24"/>
          <w:highlight w:val="none"/>
        </w:rPr>
        <w:t>设备，</w:t>
      </w:r>
      <w:r>
        <w:rPr>
          <w:rFonts w:hint="eastAsia"/>
          <w:color w:val="auto"/>
          <w:sz w:val="24"/>
          <w:szCs w:val="24"/>
          <w:highlight w:val="none"/>
          <w:u w:val="single"/>
        </w:rPr>
        <w:t xml:space="preserve">     </w:t>
      </w:r>
      <w:r>
        <w:rPr>
          <w:rFonts w:hint="eastAsia"/>
          <w:color w:val="auto"/>
          <w:sz w:val="24"/>
          <w:szCs w:val="24"/>
          <w:highlight w:val="none"/>
        </w:rPr>
        <w:t>kV开关设备的主要参数和型式选择。其他一次设备不论述，只给出参数和型式选择结果。</w:t>
      </w:r>
    </w:p>
    <w:p w14:paraId="34745CA5">
      <w:pPr>
        <w:spacing w:line="360" w:lineRule="auto"/>
        <w:ind w:firstLine="480" w:firstLineChars="200"/>
        <w:rPr>
          <w:color w:val="auto"/>
          <w:sz w:val="24"/>
          <w:szCs w:val="24"/>
          <w:highlight w:val="none"/>
        </w:rPr>
      </w:pPr>
      <w:r>
        <w:rPr>
          <w:rFonts w:hint="eastAsia"/>
          <w:color w:val="auto"/>
          <w:sz w:val="24"/>
          <w:szCs w:val="24"/>
          <w:highlight w:val="none"/>
        </w:rPr>
        <w:t>3.3 配电装置：</w:t>
      </w:r>
    </w:p>
    <w:p w14:paraId="510BC004">
      <w:pPr>
        <w:spacing w:line="360" w:lineRule="auto"/>
        <w:ind w:firstLine="480" w:firstLineChars="200"/>
        <w:rPr>
          <w:color w:val="auto"/>
          <w:sz w:val="24"/>
          <w:szCs w:val="24"/>
          <w:highlight w:val="none"/>
        </w:rPr>
      </w:pPr>
      <w:r>
        <w:rPr>
          <w:rFonts w:hint="eastAsia"/>
          <w:color w:val="auto"/>
          <w:sz w:val="24"/>
          <w:szCs w:val="24"/>
          <w:highlight w:val="none"/>
        </w:rPr>
        <w:t>（1）根据系统参数特点和站址条件，论证并确定配电装置设计参数。</w:t>
      </w:r>
    </w:p>
    <w:p w14:paraId="7C6E45A6">
      <w:pPr>
        <w:spacing w:line="360" w:lineRule="auto"/>
        <w:ind w:firstLine="480" w:firstLineChars="200"/>
        <w:rPr>
          <w:color w:val="auto"/>
          <w:sz w:val="24"/>
          <w:szCs w:val="24"/>
          <w:highlight w:val="none"/>
        </w:rPr>
      </w:pPr>
      <w:r>
        <w:rPr>
          <w:rFonts w:hint="eastAsia"/>
          <w:color w:val="auto"/>
          <w:sz w:val="24"/>
          <w:szCs w:val="24"/>
          <w:highlight w:val="none"/>
        </w:rPr>
        <w:t>（2）应重点对___kV、___kV的电气布置方案进行论述。</w:t>
      </w:r>
    </w:p>
    <w:p w14:paraId="4144EB05">
      <w:pPr>
        <w:spacing w:line="360" w:lineRule="auto"/>
        <w:ind w:firstLine="480" w:firstLineChars="200"/>
        <w:rPr>
          <w:color w:val="auto"/>
          <w:sz w:val="24"/>
          <w:szCs w:val="24"/>
          <w:highlight w:val="none"/>
        </w:rPr>
      </w:pPr>
      <w:r>
        <w:rPr>
          <w:rFonts w:hint="eastAsia"/>
          <w:color w:val="auto"/>
          <w:sz w:val="24"/>
          <w:szCs w:val="24"/>
          <w:highlight w:val="none"/>
        </w:rPr>
        <w:t>（3）配电装置应附有配电装置平、断面图。除要求的图纸外，还应简述主要结构、尺寸、技术经济指标。</w:t>
      </w:r>
    </w:p>
    <w:p w14:paraId="6FF3C7C1">
      <w:pPr>
        <w:spacing w:line="360" w:lineRule="auto"/>
        <w:ind w:firstLine="480" w:firstLineChars="200"/>
        <w:rPr>
          <w:color w:val="auto"/>
          <w:sz w:val="24"/>
          <w:szCs w:val="24"/>
          <w:highlight w:val="none"/>
        </w:rPr>
      </w:pPr>
      <w:r>
        <w:rPr>
          <w:rFonts w:hint="eastAsia"/>
          <w:color w:val="auto"/>
          <w:sz w:val="24"/>
          <w:szCs w:val="24"/>
          <w:highlight w:val="none"/>
        </w:rPr>
        <w:t>3.4 站区规划和总平面布置：</w:t>
      </w:r>
    </w:p>
    <w:p w14:paraId="0AB834CB">
      <w:pPr>
        <w:spacing w:line="360" w:lineRule="auto"/>
        <w:ind w:firstLine="480" w:firstLineChars="200"/>
        <w:rPr>
          <w:color w:val="auto"/>
          <w:sz w:val="24"/>
          <w:szCs w:val="24"/>
          <w:highlight w:val="none"/>
        </w:rPr>
      </w:pPr>
      <w:r>
        <w:rPr>
          <w:rFonts w:hint="eastAsia"/>
          <w:color w:val="auto"/>
          <w:sz w:val="24"/>
          <w:szCs w:val="24"/>
          <w:highlight w:val="none"/>
        </w:rPr>
        <w:t>（1）本部分主要内容应重点论述。</w:t>
      </w:r>
    </w:p>
    <w:p w14:paraId="0CB76565">
      <w:pPr>
        <w:spacing w:line="360" w:lineRule="auto"/>
        <w:ind w:firstLine="480" w:firstLineChars="200"/>
        <w:rPr>
          <w:color w:val="auto"/>
          <w:sz w:val="24"/>
          <w:szCs w:val="24"/>
          <w:highlight w:val="none"/>
        </w:rPr>
      </w:pPr>
      <w:r>
        <w:rPr>
          <w:rFonts w:hint="eastAsia"/>
          <w:color w:val="auto"/>
          <w:sz w:val="24"/>
          <w:szCs w:val="24"/>
          <w:highlight w:val="none"/>
        </w:rPr>
        <w:t>（2）站区规划图和总平面布置图应分开出图。图中进出线方向由投标人根据对侧站方位和本站地形及周围环境优化确定。论述出线规划与站址布置的设计方案。图中均应反映出相关的技术经济指标。</w:t>
      </w:r>
    </w:p>
    <w:p w14:paraId="4DF59CE6">
      <w:pPr>
        <w:spacing w:line="360" w:lineRule="auto"/>
        <w:ind w:firstLine="480" w:firstLineChars="200"/>
        <w:rPr>
          <w:color w:val="auto"/>
          <w:sz w:val="24"/>
          <w:szCs w:val="24"/>
          <w:highlight w:val="none"/>
        </w:rPr>
      </w:pPr>
      <w:r>
        <w:rPr>
          <w:rFonts w:hint="eastAsia"/>
          <w:color w:val="auto"/>
          <w:sz w:val="24"/>
          <w:szCs w:val="24"/>
          <w:highlight w:val="none"/>
        </w:rPr>
        <w:t>（3）除站址本身外，站区规划图还应包括服务于工程的站外设施，例如：出线走廊、进站道路、站外排水沟等（如果有），均应在站区规划图中表示。还应包括扩建、近远期的处理及站内外设施与周围环境协调等问题的分析和论证。</w:t>
      </w:r>
    </w:p>
    <w:p w14:paraId="762213C7">
      <w:pPr>
        <w:spacing w:line="360" w:lineRule="auto"/>
        <w:ind w:firstLine="480" w:firstLineChars="200"/>
        <w:rPr>
          <w:color w:val="auto"/>
          <w:sz w:val="24"/>
          <w:szCs w:val="24"/>
          <w:highlight w:val="none"/>
        </w:rPr>
      </w:pPr>
      <w:r>
        <w:rPr>
          <w:rFonts w:hint="eastAsia"/>
          <w:color w:val="auto"/>
          <w:sz w:val="24"/>
          <w:szCs w:val="24"/>
          <w:highlight w:val="none"/>
        </w:rPr>
        <w:t>（4）对于进站道路方案，请投标人从技术、经济和国家耕地政策等几方面进行论证，提出推荐方案。</w:t>
      </w:r>
    </w:p>
    <w:p w14:paraId="72554B74">
      <w:pPr>
        <w:spacing w:line="360" w:lineRule="auto"/>
        <w:ind w:firstLine="480" w:firstLineChars="200"/>
        <w:rPr>
          <w:color w:val="auto"/>
          <w:sz w:val="24"/>
          <w:szCs w:val="24"/>
          <w:highlight w:val="none"/>
        </w:rPr>
      </w:pPr>
      <w:r>
        <w:rPr>
          <w:rFonts w:hint="eastAsia"/>
          <w:color w:val="auto"/>
          <w:sz w:val="24"/>
          <w:szCs w:val="24"/>
          <w:highlight w:val="none"/>
        </w:rPr>
        <w:t>（5）需对因工程的建设，给当地水渠、道路等设施造成的影响进行论述，并在相关图纸中表示和说明：如有拆迁情况应简述拆迁量。</w:t>
      </w:r>
    </w:p>
    <w:p w14:paraId="07AE7F8F">
      <w:pPr>
        <w:spacing w:line="360" w:lineRule="auto"/>
        <w:ind w:firstLine="480" w:firstLineChars="200"/>
        <w:rPr>
          <w:color w:val="auto"/>
          <w:sz w:val="24"/>
          <w:szCs w:val="24"/>
          <w:highlight w:val="none"/>
        </w:rPr>
      </w:pPr>
      <w:r>
        <w:rPr>
          <w:rFonts w:hint="eastAsia"/>
          <w:color w:val="auto"/>
          <w:sz w:val="24"/>
          <w:szCs w:val="24"/>
          <w:highlight w:val="none"/>
        </w:rPr>
        <w:t>（6）根据提供的测量图，进行土方竖向设计，根据地形优化站址位置和标高，计算土方量。</w:t>
      </w:r>
    </w:p>
    <w:p w14:paraId="2543C315">
      <w:pPr>
        <w:spacing w:line="360" w:lineRule="auto"/>
        <w:ind w:firstLine="480" w:firstLineChars="200"/>
        <w:rPr>
          <w:color w:val="auto"/>
          <w:sz w:val="24"/>
          <w:szCs w:val="24"/>
          <w:highlight w:val="none"/>
        </w:rPr>
      </w:pPr>
      <w:r>
        <w:rPr>
          <w:rFonts w:hint="eastAsia"/>
          <w:color w:val="auto"/>
          <w:sz w:val="24"/>
          <w:szCs w:val="24"/>
          <w:highlight w:val="none"/>
        </w:rPr>
        <w:t>（7）总平面布置图应包含电气总平面和总交总平面的相关内容，两者应分开出图。</w:t>
      </w:r>
    </w:p>
    <w:p w14:paraId="49D2B0F0">
      <w:pPr>
        <w:spacing w:line="360" w:lineRule="auto"/>
        <w:ind w:firstLine="480" w:firstLineChars="200"/>
        <w:rPr>
          <w:color w:val="auto"/>
          <w:sz w:val="24"/>
          <w:szCs w:val="24"/>
          <w:highlight w:val="none"/>
        </w:rPr>
      </w:pPr>
      <w:r>
        <w:rPr>
          <w:rFonts w:hint="eastAsia"/>
          <w:color w:val="auto"/>
          <w:sz w:val="24"/>
          <w:szCs w:val="24"/>
          <w:highlight w:val="none"/>
        </w:rPr>
        <w:t>（8）结合电气主接线，从技术、经济和国家耕地政策角度对全站的布局进行优化和协调。</w:t>
      </w:r>
    </w:p>
    <w:p w14:paraId="5EBCA2F0">
      <w:pPr>
        <w:spacing w:line="360" w:lineRule="auto"/>
        <w:ind w:firstLine="480" w:firstLineChars="200"/>
        <w:rPr>
          <w:color w:val="auto"/>
          <w:sz w:val="24"/>
          <w:szCs w:val="24"/>
          <w:highlight w:val="none"/>
        </w:rPr>
      </w:pPr>
      <w:r>
        <w:rPr>
          <w:rFonts w:hint="eastAsia"/>
          <w:color w:val="auto"/>
          <w:sz w:val="24"/>
          <w:szCs w:val="24"/>
          <w:highlight w:val="none"/>
        </w:rPr>
        <w:t>（9）简述设备支架的选型。</w:t>
      </w:r>
    </w:p>
    <w:p w14:paraId="6105D061">
      <w:pPr>
        <w:spacing w:line="360" w:lineRule="auto"/>
        <w:ind w:firstLine="480" w:firstLineChars="200"/>
        <w:rPr>
          <w:color w:val="auto"/>
          <w:sz w:val="24"/>
          <w:szCs w:val="24"/>
          <w:highlight w:val="none"/>
        </w:rPr>
      </w:pPr>
      <w:r>
        <w:rPr>
          <w:rFonts w:hint="eastAsia"/>
          <w:color w:val="auto"/>
          <w:sz w:val="24"/>
          <w:szCs w:val="24"/>
          <w:highlight w:val="none"/>
        </w:rPr>
        <w:t>3.5 主要建、构筑物设计方案；</w:t>
      </w:r>
    </w:p>
    <w:p w14:paraId="02D7A3B6">
      <w:pPr>
        <w:spacing w:line="360" w:lineRule="auto"/>
        <w:ind w:firstLine="480" w:firstLineChars="200"/>
        <w:rPr>
          <w:color w:val="auto"/>
          <w:sz w:val="24"/>
          <w:szCs w:val="24"/>
          <w:highlight w:val="none"/>
        </w:rPr>
      </w:pPr>
      <w:r>
        <w:rPr>
          <w:rFonts w:hint="eastAsia"/>
          <w:color w:val="auto"/>
          <w:sz w:val="24"/>
          <w:szCs w:val="24"/>
          <w:highlight w:val="none"/>
        </w:rPr>
        <w:t>（1）主控楼、阀厅（如果有）要求提出两个方案，并应提出平、立剖图；有条件时可以出彩色效果图，并配以相关说明。</w:t>
      </w:r>
    </w:p>
    <w:p w14:paraId="53BB07E8">
      <w:pPr>
        <w:spacing w:line="360" w:lineRule="auto"/>
        <w:ind w:firstLine="480" w:firstLineChars="200"/>
        <w:rPr>
          <w:color w:val="auto"/>
          <w:sz w:val="24"/>
          <w:szCs w:val="24"/>
          <w:highlight w:val="none"/>
        </w:rPr>
      </w:pPr>
      <w:r>
        <w:rPr>
          <w:rFonts w:hint="eastAsia"/>
          <w:color w:val="auto"/>
          <w:sz w:val="24"/>
          <w:szCs w:val="24"/>
          <w:highlight w:val="none"/>
        </w:rPr>
        <w:t>（2）重点论述主控楼、阀厅（如果有）的建筑造型、结构形式、主要使用功能和建筑面积指标，简述装修标准、技术经济指标和突出特点。</w:t>
      </w:r>
    </w:p>
    <w:p w14:paraId="0730DE92">
      <w:pPr>
        <w:spacing w:line="360" w:lineRule="auto"/>
        <w:ind w:firstLine="480" w:firstLineChars="200"/>
        <w:rPr>
          <w:color w:val="auto"/>
          <w:sz w:val="24"/>
          <w:szCs w:val="24"/>
          <w:highlight w:val="none"/>
        </w:rPr>
      </w:pPr>
      <w:r>
        <w:rPr>
          <w:rFonts w:hint="eastAsia"/>
          <w:color w:val="auto"/>
          <w:sz w:val="24"/>
          <w:szCs w:val="24"/>
          <w:highlight w:val="none"/>
        </w:rPr>
        <w:t>（3）主控楼、阀厅（如果有）采用联合建筑的形式。</w:t>
      </w:r>
    </w:p>
    <w:p w14:paraId="4C913079">
      <w:pPr>
        <w:spacing w:line="360" w:lineRule="auto"/>
        <w:ind w:firstLine="480" w:firstLineChars="200"/>
        <w:rPr>
          <w:color w:val="auto"/>
          <w:sz w:val="24"/>
          <w:szCs w:val="24"/>
          <w:highlight w:val="none"/>
        </w:rPr>
      </w:pPr>
      <w:r>
        <w:rPr>
          <w:rFonts w:hint="eastAsia"/>
          <w:color w:val="auto"/>
          <w:sz w:val="24"/>
          <w:szCs w:val="24"/>
          <w:highlight w:val="none"/>
        </w:rPr>
        <w:t>（4）参照南网标准设计思路，充分体现南网工程特点。</w:t>
      </w:r>
    </w:p>
    <w:p w14:paraId="070AF2AF">
      <w:pPr>
        <w:spacing w:line="360" w:lineRule="auto"/>
        <w:ind w:firstLine="480" w:firstLineChars="200"/>
        <w:rPr>
          <w:color w:val="auto"/>
          <w:sz w:val="24"/>
          <w:szCs w:val="24"/>
          <w:highlight w:val="none"/>
        </w:rPr>
      </w:pPr>
      <w:r>
        <w:rPr>
          <w:rFonts w:hint="eastAsia"/>
          <w:color w:val="auto"/>
          <w:sz w:val="24"/>
          <w:szCs w:val="24"/>
          <w:highlight w:val="none"/>
        </w:rPr>
        <w:t>（5）对地基处理方案进行重点论证。</w:t>
      </w:r>
    </w:p>
    <w:p w14:paraId="23C9441F">
      <w:pPr>
        <w:spacing w:line="360" w:lineRule="auto"/>
        <w:ind w:firstLine="480" w:firstLineChars="200"/>
        <w:rPr>
          <w:color w:val="auto"/>
          <w:sz w:val="24"/>
          <w:szCs w:val="24"/>
          <w:highlight w:val="none"/>
        </w:rPr>
      </w:pPr>
      <w:r>
        <w:rPr>
          <w:rFonts w:hint="eastAsia"/>
          <w:color w:val="auto"/>
          <w:sz w:val="24"/>
          <w:szCs w:val="24"/>
          <w:highlight w:val="none"/>
        </w:rPr>
        <w:t>（6）简述构架和设备支架。</w:t>
      </w:r>
    </w:p>
    <w:p w14:paraId="2B51112E">
      <w:pPr>
        <w:spacing w:line="360" w:lineRule="auto"/>
        <w:ind w:firstLine="480" w:firstLineChars="200"/>
        <w:rPr>
          <w:color w:val="auto"/>
          <w:sz w:val="24"/>
          <w:szCs w:val="24"/>
          <w:highlight w:val="none"/>
        </w:rPr>
      </w:pPr>
      <w:r>
        <w:rPr>
          <w:rFonts w:hint="eastAsia"/>
          <w:color w:val="auto"/>
          <w:sz w:val="24"/>
          <w:szCs w:val="24"/>
          <w:highlight w:val="none"/>
        </w:rPr>
        <w:t>3.6 论述换流站接地极（如果有）对周围环境可能产生的影响，并提出解决措施。</w:t>
      </w:r>
    </w:p>
    <w:p w14:paraId="260282D7">
      <w:pPr>
        <w:spacing w:line="360" w:lineRule="auto"/>
        <w:ind w:firstLine="480" w:firstLineChars="200"/>
        <w:rPr>
          <w:color w:val="auto"/>
          <w:sz w:val="24"/>
          <w:szCs w:val="24"/>
          <w:highlight w:val="none"/>
        </w:rPr>
      </w:pPr>
      <w:r>
        <w:rPr>
          <w:rFonts w:hint="eastAsia"/>
          <w:color w:val="auto"/>
          <w:sz w:val="24"/>
          <w:szCs w:val="24"/>
          <w:highlight w:val="none"/>
        </w:rPr>
        <w:t>3.7 论述大件运输方案。</w:t>
      </w:r>
    </w:p>
    <w:p w14:paraId="77552F9B">
      <w:pPr>
        <w:spacing w:line="360" w:lineRule="auto"/>
        <w:ind w:firstLine="482" w:firstLineChars="200"/>
        <w:rPr>
          <w:b/>
          <w:bCs/>
          <w:color w:val="auto"/>
          <w:sz w:val="24"/>
          <w:szCs w:val="24"/>
          <w:highlight w:val="none"/>
        </w:rPr>
      </w:pPr>
      <w:r>
        <w:rPr>
          <w:rFonts w:hint="eastAsia"/>
          <w:b/>
          <w:bCs/>
          <w:color w:val="auto"/>
          <w:sz w:val="24"/>
          <w:szCs w:val="24"/>
          <w:highlight w:val="none"/>
        </w:rPr>
        <w:t>4、线路具体内容要求（包括但不限于）：</w:t>
      </w:r>
    </w:p>
    <w:p w14:paraId="533DC96D">
      <w:pPr>
        <w:spacing w:line="360" w:lineRule="auto"/>
        <w:ind w:firstLine="480" w:firstLineChars="200"/>
        <w:rPr>
          <w:color w:val="auto"/>
          <w:sz w:val="24"/>
          <w:szCs w:val="24"/>
          <w:highlight w:val="none"/>
        </w:rPr>
      </w:pPr>
      <w:r>
        <w:rPr>
          <w:rFonts w:hint="eastAsia"/>
          <w:color w:val="auto"/>
          <w:sz w:val="24"/>
          <w:szCs w:val="24"/>
          <w:highlight w:val="none"/>
        </w:rPr>
        <w:t>4.1按照招标文件给定的工程技术基础资料，设计方选择（线路径方案、长度及其他工程技术条件等）进行投标技术设计。</w:t>
      </w:r>
    </w:p>
    <w:p w14:paraId="76E754D7">
      <w:pPr>
        <w:spacing w:line="360" w:lineRule="auto"/>
        <w:ind w:firstLine="480" w:firstLineChars="200"/>
        <w:rPr>
          <w:color w:val="auto"/>
          <w:sz w:val="24"/>
          <w:szCs w:val="24"/>
          <w:highlight w:val="none"/>
        </w:rPr>
      </w:pPr>
      <w:r>
        <w:rPr>
          <w:rFonts w:hint="eastAsia"/>
          <w:color w:val="auto"/>
          <w:sz w:val="24"/>
          <w:szCs w:val="24"/>
          <w:highlight w:val="none"/>
        </w:rPr>
        <w:t>4.2应按照招标文件和现阶段的有关要求（环境保护和水土保持、防雷击、防风偏、防污闪、防冰闪、工程设计上的全寿命周期管理等），进行投标技术设计工作。其中应重点针对铁塔和基础的规划和优化设计工作：针对工程特殊技术问题，投标人应提出相应的技术处理方案。作为技术评分的参考，还要求以表格形式提供规划塔型的单基技术经济指标及使用条件的说明。有关导线选型和比较、绝缘配合、金具及防雷接地、铁塔和基础的规划和优化设计等方面也应加以论述。提出设计单位贯彻建设工程全寿命周期管理的措施、方案。</w:t>
      </w:r>
    </w:p>
    <w:p w14:paraId="74891DA1">
      <w:pPr>
        <w:spacing w:line="360" w:lineRule="auto"/>
        <w:ind w:firstLine="480" w:firstLineChars="200"/>
        <w:rPr>
          <w:color w:val="auto"/>
          <w:sz w:val="24"/>
          <w:szCs w:val="24"/>
          <w:highlight w:val="none"/>
        </w:rPr>
      </w:pPr>
      <w:r>
        <w:rPr>
          <w:rFonts w:hint="eastAsia"/>
          <w:color w:val="auto"/>
          <w:sz w:val="24"/>
          <w:szCs w:val="24"/>
          <w:highlight w:val="none"/>
        </w:rPr>
        <w:t>4.3投标设计应贯穿以人为本和环境保护的意识，综合考虑经济效益、社会效益和环境效益。对于线路工程施工、运行期间可能对环境构成的主要影响（如地表、植被的破坏，水土流失，树木砍伐，塔位、通道的占用，民房及其他设施的拆迁，电磁场影响和无线电干扰等），要有针对性的措施及相关论述。对于线路经过林区，原则上应按高跨考虑（区别树种、自然生长高度）。投标设计方案还应便于线路的施工和运行维护。</w:t>
      </w:r>
    </w:p>
    <w:p w14:paraId="7AEC195B">
      <w:pPr>
        <w:spacing w:line="360" w:lineRule="auto"/>
        <w:ind w:firstLine="480" w:firstLineChars="200"/>
        <w:rPr>
          <w:color w:val="auto"/>
          <w:sz w:val="24"/>
          <w:szCs w:val="24"/>
          <w:highlight w:val="none"/>
        </w:rPr>
      </w:pPr>
      <w:r>
        <w:rPr>
          <w:rFonts w:hint="eastAsia"/>
          <w:color w:val="auto"/>
          <w:sz w:val="24"/>
          <w:szCs w:val="24"/>
          <w:highlight w:val="none"/>
        </w:rPr>
        <w:t>4.4设计投标不必做完整概算（需按预规表1、表2、表3、表4格式计算）。作为技术评分的参考，要以表格形式给出技术设计的各项主要技术经济指标（每公里铁塔钢材量、基础钢材量、混凝土量、土石方量、导线绝缘子量、房屋拆迁量、树木砍伐量、本体投资等），并应注意表格的简洁明晰，以便进行横向比较和综合评定。若有采用假定条件的，应在说明中特意指明。</w:t>
      </w:r>
    </w:p>
    <w:p w14:paraId="55A6160F">
      <w:pPr>
        <w:spacing w:line="360" w:lineRule="auto"/>
        <w:ind w:firstLine="480" w:firstLineChars="200"/>
        <w:rPr>
          <w:color w:val="auto"/>
          <w:sz w:val="24"/>
          <w:szCs w:val="24"/>
          <w:highlight w:val="none"/>
        </w:rPr>
      </w:pPr>
      <w:r>
        <w:rPr>
          <w:rFonts w:hint="eastAsia"/>
          <w:color w:val="auto"/>
          <w:sz w:val="24"/>
          <w:szCs w:val="24"/>
          <w:highlight w:val="none"/>
        </w:rPr>
        <w:t>4.5在招标文件所要求的内容（包括制定的专题研究）之外，投标方可根据工程实际，认为确有必要提出其他的研究项目（如采用新技术、新工艺、新材料等的建议）报告时，可以“专题报告”的形式随投标文件一起提出。除此之外，应在招标文件正文中论述。</w:t>
      </w:r>
    </w:p>
    <w:p w14:paraId="302095C8">
      <w:pPr>
        <w:spacing w:line="360" w:lineRule="auto"/>
        <w:ind w:firstLine="480" w:firstLineChars="200"/>
        <w:rPr>
          <w:color w:val="auto"/>
          <w:sz w:val="24"/>
          <w:szCs w:val="24"/>
          <w:highlight w:val="none"/>
        </w:rPr>
      </w:pPr>
      <w:r>
        <w:rPr>
          <w:rFonts w:hint="eastAsia"/>
          <w:color w:val="auto"/>
          <w:sz w:val="24"/>
          <w:szCs w:val="24"/>
          <w:highlight w:val="none"/>
        </w:rPr>
        <w:t>4.6 补充电缆线路具体内容要求（如</w:t>
      </w:r>
      <w:r>
        <w:rPr>
          <w:color w:val="auto"/>
          <w:sz w:val="24"/>
          <w:szCs w:val="24"/>
          <w:highlight w:val="none"/>
        </w:rPr>
        <w:t>有）</w:t>
      </w:r>
      <w:r>
        <w:rPr>
          <w:rFonts w:hint="eastAsia"/>
          <w:color w:val="auto"/>
          <w:sz w:val="24"/>
          <w:szCs w:val="24"/>
          <w:highlight w:val="none"/>
        </w:rPr>
        <w:t>，</w:t>
      </w:r>
      <w:r>
        <w:rPr>
          <w:color w:val="auto"/>
          <w:sz w:val="24"/>
          <w:szCs w:val="24"/>
          <w:highlight w:val="none"/>
        </w:rPr>
        <w:t>包括路径方案、气象条件，电缆电缆、</w:t>
      </w:r>
      <w:r>
        <w:rPr>
          <w:rFonts w:hint="eastAsia"/>
          <w:color w:val="auto"/>
          <w:sz w:val="24"/>
          <w:szCs w:val="24"/>
          <w:highlight w:val="none"/>
        </w:rPr>
        <w:t>防火、避雷及接地</w:t>
      </w:r>
      <w:r>
        <w:rPr>
          <w:color w:val="auto"/>
          <w:sz w:val="24"/>
          <w:szCs w:val="24"/>
          <w:highlight w:val="none"/>
        </w:rPr>
        <w:t>方案</w:t>
      </w:r>
      <w:r>
        <w:rPr>
          <w:rFonts w:hint="eastAsia"/>
          <w:color w:val="auto"/>
          <w:sz w:val="24"/>
          <w:szCs w:val="24"/>
          <w:highlight w:val="none"/>
        </w:rPr>
        <w:t>，</w:t>
      </w:r>
      <w:r>
        <w:rPr>
          <w:color w:val="auto"/>
          <w:sz w:val="24"/>
          <w:szCs w:val="24"/>
          <w:highlight w:val="none"/>
        </w:rPr>
        <w:t>电缆沟、</w:t>
      </w:r>
      <w:r>
        <w:rPr>
          <w:rFonts w:hint="eastAsia"/>
          <w:color w:val="auto"/>
          <w:sz w:val="24"/>
          <w:szCs w:val="24"/>
          <w:highlight w:val="none"/>
        </w:rPr>
        <w:t>井、隧道、小间及保护管方案，电缆两端工程方案，环保、水保措施等</w:t>
      </w:r>
      <w:r>
        <w:rPr>
          <w:color w:val="auto"/>
          <w:sz w:val="24"/>
          <w:szCs w:val="24"/>
          <w:highlight w:val="none"/>
        </w:rPr>
        <w:t>要求。</w:t>
      </w:r>
    </w:p>
    <w:p w14:paraId="24E67FBD">
      <w:pPr>
        <w:spacing w:line="360" w:lineRule="auto"/>
        <w:ind w:firstLine="482" w:firstLineChars="200"/>
        <w:rPr>
          <w:b/>
          <w:bCs/>
          <w:color w:val="auto"/>
          <w:sz w:val="24"/>
          <w:szCs w:val="24"/>
          <w:highlight w:val="none"/>
        </w:rPr>
      </w:pPr>
      <w:r>
        <w:rPr>
          <w:rFonts w:hint="eastAsia"/>
          <w:b/>
          <w:bCs/>
          <w:color w:val="auto"/>
          <w:sz w:val="24"/>
          <w:szCs w:val="24"/>
          <w:highlight w:val="none"/>
        </w:rPr>
        <w:t>5、必须进行论证的项目和内容：</w:t>
      </w:r>
    </w:p>
    <w:p w14:paraId="18F1372A">
      <w:pPr>
        <w:spacing w:line="360" w:lineRule="auto"/>
        <w:ind w:firstLine="480" w:firstLineChars="200"/>
        <w:rPr>
          <w:color w:val="auto"/>
          <w:sz w:val="24"/>
          <w:szCs w:val="24"/>
          <w:highlight w:val="none"/>
        </w:rPr>
      </w:pPr>
      <w:r>
        <w:rPr>
          <w:rFonts w:hint="eastAsia"/>
          <w:color w:val="auto"/>
          <w:sz w:val="24"/>
          <w:szCs w:val="24"/>
          <w:highlight w:val="none"/>
        </w:rPr>
        <w:t>5.1路径方案（招标按招标文件给定的路径方案进行工作，可重点针对微地形气象条件进行局部路径优化工作）。</w:t>
      </w:r>
    </w:p>
    <w:p w14:paraId="44F26A85">
      <w:pPr>
        <w:spacing w:line="360" w:lineRule="auto"/>
        <w:ind w:firstLine="480" w:firstLineChars="200"/>
        <w:rPr>
          <w:color w:val="auto"/>
          <w:sz w:val="24"/>
          <w:szCs w:val="24"/>
          <w:highlight w:val="none"/>
        </w:rPr>
      </w:pPr>
      <w:r>
        <w:rPr>
          <w:rFonts w:hint="eastAsia"/>
          <w:color w:val="auto"/>
          <w:sz w:val="24"/>
          <w:szCs w:val="24"/>
          <w:highlight w:val="none"/>
        </w:rPr>
        <w:t>5.2设计气象条件的选取（招标原则上按招标文件规定的气象条件进行，必要时各投标人可对冰区、为气象条件等进行调查论证）。</w:t>
      </w:r>
    </w:p>
    <w:p w14:paraId="2DBA9E27">
      <w:pPr>
        <w:spacing w:line="360" w:lineRule="auto"/>
        <w:ind w:firstLine="480" w:firstLineChars="200"/>
        <w:rPr>
          <w:color w:val="auto"/>
          <w:sz w:val="24"/>
          <w:szCs w:val="24"/>
          <w:highlight w:val="none"/>
        </w:rPr>
      </w:pPr>
      <w:r>
        <w:rPr>
          <w:rFonts w:hint="eastAsia"/>
          <w:color w:val="auto"/>
          <w:sz w:val="24"/>
          <w:szCs w:val="24"/>
          <w:highlight w:val="none"/>
        </w:rPr>
        <w:t>5.3导线选型及换位。</w:t>
      </w:r>
    </w:p>
    <w:p w14:paraId="3A1DF038">
      <w:pPr>
        <w:spacing w:line="360" w:lineRule="auto"/>
        <w:ind w:firstLine="480" w:firstLineChars="200"/>
        <w:rPr>
          <w:color w:val="auto"/>
          <w:sz w:val="24"/>
          <w:szCs w:val="24"/>
          <w:highlight w:val="none"/>
        </w:rPr>
      </w:pPr>
      <w:r>
        <w:rPr>
          <w:rFonts w:hint="eastAsia"/>
          <w:color w:val="auto"/>
          <w:sz w:val="24"/>
          <w:szCs w:val="24"/>
          <w:highlight w:val="none"/>
        </w:rPr>
        <w:t>5.4绝缘配合、金具及防雷接地。</w:t>
      </w:r>
    </w:p>
    <w:p w14:paraId="46EF4A7C">
      <w:pPr>
        <w:spacing w:line="360" w:lineRule="auto"/>
        <w:ind w:firstLine="480" w:firstLineChars="200"/>
        <w:rPr>
          <w:color w:val="auto"/>
          <w:sz w:val="24"/>
          <w:szCs w:val="24"/>
          <w:highlight w:val="none"/>
        </w:rPr>
      </w:pPr>
      <w:r>
        <w:rPr>
          <w:rFonts w:hint="eastAsia"/>
          <w:color w:val="auto"/>
          <w:sz w:val="24"/>
          <w:szCs w:val="24"/>
          <w:highlight w:val="none"/>
        </w:rPr>
        <w:t>5.5杆塔规划及型式。</w:t>
      </w:r>
    </w:p>
    <w:p w14:paraId="1729ACF5">
      <w:pPr>
        <w:spacing w:line="360" w:lineRule="auto"/>
        <w:ind w:firstLine="480" w:firstLineChars="200"/>
        <w:rPr>
          <w:color w:val="auto"/>
          <w:sz w:val="24"/>
          <w:szCs w:val="24"/>
          <w:highlight w:val="none"/>
        </w:rPr>
      </w:pPr>
      <w:r>
        <w:rPr>
          <w:rFonts w:hint="eastAsia"/>
          <w:color w:val="auto"/>
          <w:sz w:val="24"/>
          <w:szCs w:val="24"/>
          <w:highlight w:val="none"/>
        </w:rPr>
        <w:t>5.6基础型式选择。</w:t>
      </w:r>
    </w:p>
    <w:p w14:paraId="6B71B961">
      <w:pPr>
        <w:spacing w:line="360" w:lineRule="auto"/>
        <w:ind w:firstLine="480" w:firstLineChars="200"/>
        <w:rPr>
          <w:color w:val="auto"/>
          <w:sz w:val="24"/>
          <w:szCs w:val="24"/>
          <w:highlight w:val="none"/>
        </w:rPr>
      </w:pPr>
      <w:r>
        <w:rPr>
          <w:rFonts w:hint="eastAsia"/>
          <w:color w:val="auto"/>
          <w:sz w:val="24"/>
          <w:szCs w:val="24"/>
          <w:highlight w:val="none"/>
        </w:rPr>
        <w:t>5.7主要技术经济指标。</w:t>
      </w:r>
    </w:p>
    <w:p w14:paraId="09B58CF9">
      <w:pPr>
        <w:spacing w:line="360" w:lineRule="auto"/>
        <w:ind w:firstLine="480" w:firstLineChars="200"/>
        <w:rPr>
          <w:color w:val="auto"/>
          <w:sz w:val="24"/>
          <w:szCs w:val="24"/>
          <w:highlight w:val="none"/>
        </w:rPr>
      </w:pPr>
      <w:r>
        <w:rPr>
          <w:rFonts w:hint="eastAsia"/>
          <w:color w:val="auto"/>
          <w:sz w:val="24"/>
          <w:szCs w:val="24"/>
          <w:highlight w:val="none"/>
        </w:rPr>
        <w:t>5.8环保及综合效益。</w:t>
      </w:r>
    </w:p>
    <w:p w14:paraId="3A4FA8BA">
      <w:pPr>
        <w:spacing w:line="360" w:lineRule="auto"/>
        <w:ind w:firstLine="480" w:firstLineChars="200"/>
        <w:rPr>
          <w:color w:val="auto"/>
          <w:sz w:val="24"/>
          <w:szCs w:val="24"/>
          <w:highlight w:val="none"/>
        </w:rPr>
      </w:pPr>
      <w:r>
        <w:rPr>
          <w:rFonts w:hint="eastAsia"/>
          <w:color w:val="auto"/>
          <w:sz w:val="24"/>
          <w:szCs w:val="24"/>
          <w:highlight w:val="none"/>
        </w:rPr>
        <w:t>5.9大跨越技术方案专题报告（如包含大跨越工程）。</w:t>
      </w:r>
    </w:p>
    <w:p w14:paraId="35762A1A">
      <w:pPr>
        <w:spacing w:line="360" w:lineRule="auto"/>
        <w:ind w:firstLine="480" w:firstLineChars="200"/>
        <w:rPr>
          <w:color w:val="auto"/>
          <w:sz w:val="24"/>
          <w:szCs w:val="24"/>
          <w:highlight w:val="none"/>
        </w:rPr>
      </w:pPr>
      <w:r>
        <w:rPr>
          <w:rFonts w:hint="eastAsia"/>
          <w:color w:val="auto"/>
          <w:sz w:val="24"/>
          <w:szCs w:val="24"/>
          <w:highlight w:val="none"/>
        </w:rPr>
        <w:t>5.10其他特殊问题（如跨越河流、湿陷性黄土的处理等）。</w:t>
      </w:r>
    </w:p>
    <w:p w14:paraId="2C22735F">
      <w:pPr>
        <w:spacing w:line="360" w:lineRule="auto"/>
        <w:ind w:firstLine="480" w:firstLineChars="200"/>
        <w:rPr>
          <w:color w:val="auto"/>
          <w:sz w:val="24"/>
          <w:szCs w:val="24"/>
          <w:highlight w:val="none"/>
        </w:rPr>
      </w:pPr>
      <w:r>
        <w:rPr>
          <w:rFonts w:hint="eastAsia"/>
          <w:color w:val="auto"/>
          <w:sz w:val="24"/>
          <w:szCs w:val="24"/>
          <w:highlight w:val="none"/>
        </w:rPr>
        <w:t>5.11专题研究（可包括以下内容，但应针对工程情况提出有效建议，没有研究价值的专题评标时将不予评议，投标时尽量不要凭空任意超范围投标）：</w:t>
      </w:r>
    </w:p>
    <w:p w14:paraId="20B0CC1F">
      <w:pPr>
        <w:spacing w:line="360" w:lineRule="auto"/>
        <w:ind w:firstLine="480" w:firstLineChars="200"/>
        <w:rPr>
          <w:color w:val="auto"/>
          <w:sz w:val="24"/>
          <w:szCs w:val="24"/>
          <w:highlight w:val="none"/>
        </w:rPr>
      </w:pPr>
      <w:r>
        <w:rPr>
          <w:rFonts w:hint="eastAsia"/>
          <w:color w:val="auto"/>
          <w:sz w:val="24"/>
          <w:szCs w:val="24"/>
          <w:highlight w:val="none"/>
        </w:rPr>
        <w:t>（1）绝缘配置研究。</w:t>
      </w:r>
    </w:p>
    <w:p w14:paraId="4359C8F8">
      <w:pPr>
        <w:spacing w:line="360" w:lineRule="auto"/>
        <w:ind w:firstLine="480" w:firstLineChars="200"/>
        <w:rPr>
          <w:color w:val="auto"/>
          <w:sz w:val="24"/>
          <w:szCs w:val="24"/>
          <w:highlight w:val="none"/>
        </w:rPr>
      </w:pPr>
      <w:r>
        <w:rPr>
          <w:rFonts w:hint="eastAsia"/>
          <w:color w:val="auto"/>
          <w:sz w:val="24"/>
          <w:szCs w:val="24"/>
          <w:highlight w:val="none"/>
        </w:rPr>
        <w:t>（2）工程量及工程本体造价合理性及先进性分析。</w:t>
      </w:r>
    </w:p>
    <w:p w14:paraId="63342873">
      <w:pPr>
        <w:spacing w:line="360" w:lineRule="auto"/>
        <w:ind w:firstLine="480" w:firstLineChars="200"/>
        <w:rPr>
          <w:color w:val="auto"/>
          <w:sz w:val="24"/>
          <w:szCs w:val="24"/>
          <w:highlight w:val="none"/>
        </w:rPr>
      </w:pPr>
      <w:r>
        <w:rPr>
          <w:rFonts w:hint="eastAsia"/>
          <w:color w:val="auto"/>
          <w:sz w:val="24"/>
          <w:szCs w:val="24"/>
          <w:highlight w:val="none"/>
        </w:rPr>
        <w:t>（3）新技术、新工艺、新材料应用的建议。</w:t>
      </w:r>
    </w:p>
    <w:p w14:paraId="4538AB35">
      <w:pPr>
        <w:spacing w:line="360" w:lineRule="auto"/>
        <w:ind w:firstLine="480" w:firstLineChars="200"/>
        <w:rPr>
          <w:color w:val="auto"/>
          <w:sz w:val="24"/>
          <w:szCs w:val="24"/>
          <w:highlight w:val="none"/>
        </w:rPr>
      </w:pPr>
      <w:r>
        <w:rPr>
          <w:rFonts w:hint="eastAsia"/>
          <w:color w:val="auto"/>
          <w:sz w:val="24"/>
          <w:szCs w:val="24"/>
          <w:highlight w:val="none"/>
        </w:rPr>
        <w:t>5.12附图：</w:t>
      </w:r>
    </w:p>
    <w:p w14:paraId="478A4D98">
      <w:pPr>
        <w:spacing w:line="360" w:lineRule="auto"/>
        <w:ind w:firstLine="480" w:firstLineChars="200"/>
        <w:rPr>
          <w:color w:val="auto"/>
          <w:sz w:val="24"/>
          <w:szCs w:val="24"/>
          <w:highlight w:val="none"/>
        </w:rPr>
      </w:pPr>
      <w:r>
        <w:rPr>
          <w:rFonts w:hint="eastAsia"/>
          <w:color w:val="auto"/>
          <w:sz w:val="24"/>
          <w:szCs w:val="24"/>
          <w:highlight w:val="none"/>
        </w:rPr>
        <w:t>（1）路径方案图（五万分之一）。</w:t>
      </w:r>
    </w:p>
    <w:p w14:paraId="260A51FE">
      <w:pPr>
        <w:spacing w:line="360" w:lineRule="auto"/>
        <w:ind w:firstLine="480" w:firstLineChars="200"/>
        <w:rPr>
          <w:color w:val="auto"/>
          <w:sz w:val="24"/>
          <w:szCs w:val="24"/>
          <w:highlight w:val="none"/>
        </w:rPr>
      </w:pPr>
      <w:r>
        <w:rPr>
          <w:rFonts w:hint="eastAsia"/>
          <w:color w:val="auto"/>
          <w:sz w:val="24"/>
          <w:szCs w:val="24"/>
          <w:highlight w:val="none"/>
        </w:rPr>
        <w:t>（2）绝缘子串及金具组装图（主要型式）。</w:t>
      </w:r>
    </w:p>
    <w:p w14:paraId="24C03D63">
      <w:pPr>
        <w:spacing w:line="360" w:lineRule="auto"/>
        <w:ind w:firstLine="480" w:firstLineChars="200"/>
        <w:rPr>
          <w:color w:val="auto"/>
          <w:sz w:val="24"/>
          <w:szCs w:val="24"/>
          <w:highlight w:val="none"/>
        </w:rPr>
      </w:pPr>
      <w:r>
        <w:rPr>
          <w:rFonts w:hint="eastAsia"/>
          <w:color w:val="auto"/>
          <w:sz w:val="24"/>
          <w:szCs w:val="24"/>
          <w:highlight w:val="none"/>
        </w:rPr>
        <w:t>（3）杆塔及基础型式一览图（主要型式）。</w:t>
      </w:r>
    </w:p>
    <w:p w14:paraId="5FD85E6F">
      <w:pPr>
        <w:spacing w:line="360" w:lineRule="auto"/>
        <w:ind w:firstLine="482" w:firstLineChars="200"/>
        <w:rPr>
          <w:b/>
          <w:bCs/>
          <w:color w:val="auto"/>
          <w:sz w:val="24"/>
          <w:szCs w:val="24"/>
          <w:highlight w:val="none"/>
        </w:rPr>
      </w:pPr>
      <w:r>
        <w:rPr>
          <w:rFonts w:hint="eastAsia"/>
          <w:b/>
          <w:bCs/>
          <w:color w:val="auto"/>
          <w:sz w:val="24"/>
          <w:szCs w:val="24"/>
          <w:highlight w:val="none"/>
        </w:rPr>
        <w:t>6、其他事项：投标阶段暂不考虑线路工程对邻近通信线路的影响。</w:t>
      </w:r>
    </w:p>
    <w:p w14:paraId="570412AA">
      <w:pPr>
        <w:spacing w:line="360" w:lineRule="auto"/>
        <w:ind w:firstLine="482" w:firstLineChars="200"/>
        <w:rPr>
          <w:b/>
          <w:bCs/>
          <w:color w:val="auto"/>
          <w:sz w:val="24"/>
          <w:szCs w:val="24"/>
          <w:highlight w:val="none"/>
        </w:rPr>
      </w:pPr>
      <w:r>
        <w:rPr>
          <w:rFonts w:hint="eastAsia"/>
          <w:b/>
          <w:bCs/>
          <w:color w:val="auto"/>
          <w:sz w:val="24"/>
          <w:szCs w:val="24"/>
          <w:highlight w:val="none"/>
        </w:rPr>
        <w:t>7、</w:t>
      </w:r>
      <w:r>
        <w:rPr>
          <w:rFonts w:hint="eastAsia"/>
          <w:b/>
          <w:bCs/>
          <w:color w:val="auto"/>
          <w:sz w:val="24"/>
          <w:szCs w:val="24"/>
          <w:highlight w:val="none"/>
          <w:lang w:val="zh-CN"/>
        </w:rPr>
        <w:t>南方电网公司基建管理制度、建设单位的质量、环境和职业健康安全管理体系文件、其他有关制度和规定。</w:t>
      </w:r>
    </w:p>
    <w:p w14:paraId="61A66EAE">
      <w:pPr>
        <w:pStyle w:val="9"/>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both"/>
        <w:rPr>
          <w:rFonts w:hint="eastAsia" w:hAnsi="宋体"/>
          <w:color w:val="auto"/>
          <w:sz w:val="24"/>
          <w:szCs w:val="24"/>
          <w:highlight w:val="none"/>
          <w:u w:val="none"/>
          <w:lang w:val="en-US" w:eastAsia="zh-CN"/>
        </w:rPr>
      </w:pPr>
    </w:p>
    <w:p w14:paraId="29392C6C">
      <w:pPr>
        <w:pStyle w:val="2"/>
        <w:keepNext w:val="0"/>
        <w:keepLines w:val="0"/>
        <w:pageBreakBefore w:val="0"/>
        <w:widowControl w:val="0"/>
        <w:shd w:val="clear" w:color="auto" w:fill="auto"/>
        <w:kinsoku/>
        <w:wordWrap/>
        <w:overflowPunct/>
        <w:topLinePunct w:val="0"/>
        <w:autoSpaceDE w:val="0"/>
        <w:autoSpaceDN w:val="0"/>
        <w:bidi w:val="0"/>
        <w:adjustRightInd w:val="0"/>
        <w:snapToGrid/>
        <w:spacing w:before="157" w:beforeLines="50" w:after="157" w:afterLines="50" w:line="240" w:lineRule="auto"/>
        <w:textAlignment w:val="auto"/>
        <w:rPr>
          <w:rFonts w:hint="eastAsia" w:asciiTheme="minorEastAsia" w:hAnsiTheme="minorEastAsia" w:eastAsiaTheme="minorEastAsia" w:cstheme="minorEastAsia"/>
          <w:i w:val="0"/>
          <w:iCs/>
          <w:color w:val="auto"/>
          <w:sz w:val="24"/>
          <w:szCs w:val="24"/>
          <w:highlight w:val="none"/>
          <w:lang w:eastAsia="zh-CN"/>
        </w:rPr>
      </w:pPr>
      <w:bookmarkStart w:id="1" w:name="_Toc482188640"/>
      <w:bookmarkStart w:id="2" w:name="_Toc11396"/>
      <w:r>
        <w:rPr>
          <w:rFonts w:hint="eastAsia" w:asciiTheme="minorEastAsia" w:hAnsiTheme="minorEastAsia" w:eastAsiaTheme="minorEastAsia" w:cstheme="minorEastAsia"/>
          <w:i w:val="0"/>
          <w:iCs/>
          <w:color w:val="auto"/>
          <w:sz w:val="24"/>
          <w:szCs w:val="24"/>
          <w:highlight w:val="none"/>
          <w:lang w:eastAsia="zh-CN"/>
        </w:rPr>
        <w:t>三、</w:t>
      </w:r>
      <w:bookmarkEnd w:id="1"/>
      <w:r>
        <w:rPr>
          <w:rFonts w:hint="eastAsia" w:asciiTheme="minorEastAsia" w:hAnsiTheme="minorEastAsia" w:eastAsiaTheme="minorEastAsia" w:cstheme="minorEastAsia"/>
          <w:i w:val="0"/>
          <w:iCs/>
          <w:color w:val="auto"/>
          <w:sz w:val="24"/>
          <w:szCs w:val="24"/>
          <w:highlight w:val="none"/>
          <w:lang w:eastAsia="zh-CN"/>
        </w:rPr>
        <w:t>图纸</w:t>
      </w:r>
      <w:bookmarkEnd w:id="2"/>
    </w:p>
    <w:p w14:paraId="5ECC91E0">
      <w:pPr>
        <w:spacing w:line="360" w:lineRule="auto"/>
        <w:ind w:firstLine="480" w:firstLineChars="200"/>
        <w:rPr>
          <w:rFonts w:hint="eastAsia"/>
          <w:color w:val="auto"/>
          <w:sz w:val="24"/>
          <w:szCs w:val="24"/>
          <w:highlight w:val="none"/>
        </w:rPr>
      </w:pPr>
      <w:bookmarkStart w:id="3" w:name="_Toc482188644"/>
      <w:r>
        <w:rPr>
          <w:rFonts w:hint="eastAsia"/>
          <w:color w:val="auto"/>
          <w:sz w:val="24"/>
          <w:szCs w:val="24"/>
          <w:highlight w:val="none"/>
          <w:lang w:val="en-US" w:eastAsia="zh-CN"/>
        </w:rPr>
        <w:t>无</w:t>
      </w:r>
      <w:r>
        <w:rPr>
          <w:rFonts w:hint="eastAsia"/>
          <w:color w:val="auto"/>
          <w:sz w:val="24"/>
          <w:szCs w:val="24"/>
          <w:highlight w:val="none"/>
        </w:rPr>
        <w:t>。</w:t>
      </w:r>
    </w:p>
    <w:p w14:paraId="7E3D9169">
      <w:pPr>
        <w:pStyle w:val="2"/>
        <w:keepNext w:val="0"/>
        <w:keepLines w:val="0"/>
        <w:pageBreakBefore w:val="0"/>
        <w:widowControl w:val="0"/>
        <w:shd w:val="clear" w:color="auto" w:fill="auto"/>
        <w:kinsoku/>
        <w:wordWrap/>
        <w:overflowPunct/>
        <w:topLinePunct w:val="0"/>
        <w:autoSpaceDE w:val="0"/>
        <w:autoSpaceDN w:val="0"/>
        <w:bidi w:val="0"/>
        <w:adjustRightInd w:val="0"/>
        <w:snapToGrid/>
        <w:spacing w:before="157" w:beforeLines="50" w:after="157" w:afterLines="50" w:line="240" w:lineRule="auto"/>
        <w:textAlignment w:val="auto"/>
        <w:rPr>
          <w:rFonts w:hint="eastAsia" w:asciiTheme="minorEastAsia" w:hAnsiTheme="minorEastAsia" w:eastAsiaTheme="minorEastAsia" w:cstheme="minorEastAsia"/>
          <w:i w:val="0"/>
          <w:iCs/>
          <w:color w:val="auto"/>
          <w:sz w:val="24"/>
          <w:szCs w:val="24"/>
          <w:highlight w:val="none"/>
          <w:lang w:eastAsia="zh-CN"/>
        </w:rPr>
      </w:pPr>
      <w:bookmarkStart w:id="4" w:name="_Toc30760"/>
      <w:r>
        <w:rPr>
          <w:rFonts w:hint="eastAsia" w:asciiTheme="minorEastAsia" w:hAnsiTheme="minorEastAsia" w:eastAsiaTheme="minorEastAsia" w:cstheme="minorEastAsia"/>
          <w:i w:val="0"/>
          <w:iCs/>
          <w:color w:val="auto"/>
          <w:sz w:val="24"/>
          <w:szCs w:val="24"/>
          <w:highlight w:val="none"/>
          <w:lang w:eastAsia="zh-CN"/>
        </w:rPr>
        <w:t>四、</w:t>
      </w:r>
      <w:bookmarkEnd w:id="3"/>
      <w:bookmarkStart w:id="5" w:name="_Toc482188646"/>
      <w:r>
        <w:rPr>
          <w:rFonts w:hint="eastAsia" w:asciiTheme="minorEastAsia" w:hAnsiTheme="minorEastAsia" w:eastAsiaTheme="minorEastAsia" w:cstheme="minorEastAsia"/>
          <w:i w:val="0"/>
          <w:iCs/>
          <w:color w:val="auto"/>
          <w:sz w:val="24"/>
          <w:szCs w:val="24"/>
          <w:highlight w:val="none"/>
          <w:lang w:eastAsia="zh-CN"/>
        </w:rPr>
        <w:t>其他要求</w:t>
      </w:r>
      <w:bookmarkEnd w:id="4"/>
      <w:bookmarkEnd w:id="5"/>
    </w:p>
    <w:p w14:paraId="6766BEC0">
      <w:pPr>
        <w:spacing w:line="360" w:lineRule="auto"/>
        <w:ind w:firstLine="480" w:firstLineChars="200"/>
        <w:rPr>
          <w:color w:val="auto"/>
          <w:sz w:val="24"/>
          <w:szCs w:val="24"/>
          <w:highlight w:val="none"/>
        </w:rPr>
      </w:pPr>
      <w:r>
        <w:rPr>
          <w:rFonts w:hint="eastAsia"/>
          <w:color w:val="auto"/>
          <w:sz w:val="24"/>
          <w:szCs w:val="24"/>
          <w:highlight w:val="none"/>
          <w:lang w:val="en-US" w:eastAsia="zh-CN"/>
        </w:rPr>
        <w:t>无</w:t>
      </w:r>
      <w:r>
        <w:rPr>
          <w:color w:val="auto"/>
          <w:sz w:val="24"/>
          <w:szCs w:val="24"/>
          <w:highlight w:val="none"/>
        </w:rPr>
        <w:t>。</w:t>
      </w:r>
    </w:p>
    <w:p w14:paraId="69A552F7">
      <w:pPr>
        <w:pStyle w:val="9"/>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4"/>
          <w:szCs w:val="24"/>
          <w:highlight w:val="none"/>
          <w:u w:val="single"/>
          <w:lang w:val="en-US" w:eastAsia="zh-CN"/>
        </w:rPr>
      </w:pPr>
      <w:bookmarkStart w:id="6" w:name="_GoBack"/>
      <w:bookmarkEnd w:id="6"/>
    </w:p>
    <w:sectPr>
      <w:pgSz w:w="11906" w:h="16838"/>
      <w:pgMar w:top="1134" w:right="1080" w:bottom="1134"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EE20F8"/>
    <w:multiLevelType w:val="singleLevel"/>
    <w:tmpl w:val="EAEE20F8"/>
    <w:lvl w:ilvl="0" w:tentative="0">
      <w:start w:val="2"/>
      <w:numFmt w:val="chineseCounting"/>
      <w:suff w:val="nothing"/>
      <w:lvlText w:val="第%1部分."/>
      <w:lvlJc w:val="left"/>
      <w:rPr>
        <w:rFonts w:hint="eastAsia"/>
      </w:rPr>
    </w:lvl>
  </w:abstractNum>
  <w:abstractNum w:abstractNumId="1">
    <w:nsid w:val="0D7920FF"/>
    <w:multiLevelType w:val="singleLevel"/>
    <w:tmpl w:val="0D7920FF"/>
    <w:lvl w:ilvl="0" w:tentative="0">
      <w:start w:val="1"/>
      <w:numFmt w:val="chineseCounting"/>
      <w:suff w:val="nothing"/>
      <w:lvlText w:val="第%1部分."/>
      <w:lvlJc w:val="left"/>
      <w:rPr>
        <w:rFonts w:hint="eastAsia"/>
      </w:rPr>
    </w:lvl>
  </w:abstractNum>
  <w:abstractNum w:abstractNumId="2">
    <w:nsid w:val="4122DDE1"/>
    <w:multiLevelType w:val="singleLevel"/>
    <w:tmpl w:val="4122DDE1"/>
    <w:lvl w:ilvl="0" w:tentative="0">
      <w:start w:val="2"/>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xZGUyZmQ5MDU5MjhiNzUxNWY4N2Q0ZGU2Y2VhOTgifQ=="/>
  </w:docVars>
  <w:rsids>
    <w:rsidRoot w:val="24F737D8"/>
    <w:rsid w:val="001270A5"/>
    <w:rsid w:val="007A4AD7"/>
    <w:rsid w:val="01293E78"/>
    <w:rsid w:val="016D037B"/>
    <w:rsid w:val="04A24F71"/>
    <w:rsid w:val="04B73549"/>
    <w:rsid w:val="04FA61BE"/>
    <w:rsid w:val="05817C07"/>
    <w:rsid w:val="075F78B6"/>
    <w:rsid w:val="076F3B3B"/>
    <w:rsid w:val="07CA37DF"/>
    <w:rsid w:val="07CE18DD"/>
    <w:rsid w:val="09285011"/>
    <w:rsid w:val="0AFD4F98"/>
    <w:rsid w:val="0BC07002"/>
    <w:rsid w:val="0E2F4C02"/>
    <w:rsid w:val="0E3616E0"/>
    <w:rsid w:val="0F81532F"/>
    <w:rsid w:val="104014F1"/>
    <w:rsid w:val="107144D2"/>
    <w:rsid w:val="116419AD"/>
    <w:rsid w:val="11DF6CFE"/>
    <w:rsid w:val="13383335"/>
    <w:rsid w:val="14440D4B"/>
    <w:rsid w:val="14B666F3"/>
    <w:rsid w:val="15056A61"/>
    <w:rsid w:val="15D11A52"/>
    <w:rsid w:val="16AD03B2"/>
    <w:rsid w:val="18E57496"/>
    <w:rsid w:val="1A386933"/>
    <w:rsid w:val="1A4F176B"/>
    <w:rsid w:val="1B663F82"/>
    <w:rsid w:val="1B9E25D7"/>
    <w:rsid w:val="1C2D4629"/>
    <w:rsid w:val="1C43636C"/>
    <w:rsid w:val="1D376F7C"/>
    <w:rsid w:val="1D904223"/>
    <w:rsid w:val="1E537DB4"/>
    <w:rsid w:val="1EA175CA"/>
    <w:rsid w:val="1F4703E8"/>
    <w:rsid w:val="1F653C49"/>
    <w:rsid w:val="1FF914D4"/>
    <w:rsid w:val="20735046"/>
    <w:rsid w:val="216F4D5B"/>
    <w:rsid w:val="23A06953"/>
    <w:rsid w:val="23B738BA"/>
    <w:rsid w:val="24E67795"/>
    <w:rsid w:val="24F737D8"/>
    <w:rsid w:val="261A1293"/>
    <w:rsid w:val="26A52617"/>
    <w:rsid w:val="27ED669D"/>
    <w:rsid w:val="29A25BFA"/>
    <w:rsid w:val="29B554FB"/>
    <w:rsid w:val="2A600AD6"/>
    <w:rsid w:val="2A9A1CF1"/>
    <w:rsid w:val="2BFB3E6A"/>
    <w:rsid w:val="2CA17C08"/>
    <w:rsid w:val="2D7711A5"/>
    <w:rsid w:val="2DDF66E3"/>
    <w:rsid w:val="2FC94E71"/>
    <w:rsid w:val="2FF65FF8"/>
    <w:rsid w:val="300D195C"/>
    <w:rsid w:val="30BF37B5"/>
    <w:rsid w:val="30ED33D6"/>
    <w:rsid w:val="31C955A9"/>
    <w:rsid w:val="3298366A"/>
    <w:rsid w:val="33B200AF"/>
    <w:rsid w:val="33E61BE2"/>
    <w:rsid w:val="34984755"/>
    <w:rsid w:val="35BF1FB9"/>
    <w:rsid w:val="361736AD"/>
    <w:rsid w:val="362F1373"/>
    <w:rsid w:val="364A40FF"/>
    <w:rsid w:val="36D200CF"/>
    <w:rsid w:val="379951F8"/>
    <w:rsid w:val="38382DC3"/>
    <w:rsid w:val="38DE045C"/>
    <w:rsid w:val="398D7AFC"/>
    <w:rsid w:val="3BB11B52"/>
    <w:rsid w:val="3BF24D81"/>
    <w:rsid w:val="3BFE7BEA"/>
    <w:rsid w:val="3C4750A3"/>
    <w:rsid w:val="3C4A35F1"/>
    <w:rsid w:val="3DC52364"/>
    <w:rsid w:val="3FEF1554"/>
    <w:rsid w:val="416702DC"/>
    <w:rsid w:val="424051B0"/>
    <w:rsid w:val="43F669B3"/>
    <w:rsid w:val="44982260"/>
    <w:rsid w:val="44D414C9"/>
    <w:rsid w:val="46472D5E"/>
    <w:rsid w:val="47AC2E6C"/>
    <w:rsid w:val="47AE036C"/>
    <w:rsid w:val="496A657E"/>
    <w:rsid w:val="49843C09"/>
    <w:rsid w:val="4B3A1BDA"/>
    <w:rsid w:val="4BF83760"/>
    <w:rsid w:val="4C8349B8"/>
    <w:rsid w:val="4D775A80"/>
    <w:rsid w:val="50CD1DA7"/>
    <w:rsid w:val="54216091"/>
    <w:rsid w:val="55C3156A"/>
    <w:rsid w:val="5782183A"/>
    <w:rsid w:val="57BD355E"/>
    <w:rsid w:val="595225BF"/>
    <w:rsid w:val="5B0320E2"/>
    <w:rsid w:val="5B8B11A7"/>
    <w:rsid w:val="5B9E2EC4"/>
    <w:rsid w:val="5BBC5C2A"/>
    <w:rsid w:val="5C057775"/>
    <w:rsid w:val="5DBB19FE"/>
    <w:rsid w:val="60184133"/>
    <w:rsid w:val="608606DE"/>
    <w:rsid w:val="610E324A"/>
    <w:rsid w:val="61A819AA"/>
    <w:rsid w:val="61B87303"/>
    <w:rsid w:val="61F31EFD"/>
    <w:rsid w:val="63066BC7"/>
    <w:rsid w:val="63D0487B"/>
    <w:rsid w:val="64672037"/>
    <w:rsid w:val="64911DA0"/>
    <w:rsid w:val="65945D8D"/>
    <w:rsid w:val="66017FCB"/>
    <w:rsid w:val="6679092A"/>
    <w:rsid w:val="66C35559"/>
    <w:rsid w:val="673D548C"/>
    <w:rsid w:val="67D57489"/>
    <w:rsid w:val="68265523"/>
    <w:rsid w:val="68570F93"/>
    <w:rsid w:val="6A287B5E"/>
    <w:rsid w:val="6B303A1A"/>
    <w:rsid w:val="6B5C0EAC"/>
    <w:rsid w:val="6C7424B0"/>
    <w:rsid w:val="6DAA2FDF"/>
    <w:rsid w:val="6E0B0D16"/>
    <w:rsid w:val="6E121228"/>
    <w:rsid w:val="6E2717A7"/>
    <w:rsid w:val="6ECC1FBE"/>
    <w:rsid w:val="70BE194E"/>
    <w:rsid w:val="70D1495F"/>
    <w:rsid w:val="70ED510D"/>
    <w:rsid w:val="74695E39"/>
    <w:rsid w:val="754C6F3B"/>
    <w:rsid w:val="75B11AFF"/>
    <w:rsid w:val="75D32619"/>
    <w:rsid w:val="766F2031"/>
    <w:rsid w:val="77234D1D"/>
    <w:rsid w:val="780B6A75"/>
    <w:rsid w:val="789E258E"/>
    <w:rsid w:val="79F83E18"/>
    <w:rsid w:val="7C0F7997"/>
    <w:rsid w:val="7C8C7755"/>
    <w:rsid w:val="7D0F76D8"/>
    <w:rsid w:val="7D335CF6"/>
    <w:rsid w:val="7E246903"/>
    <w:rsid w:val="7E3420E0"/>
    <w:rsid w:val="7E5C0C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3">
    <w:name w:val="heading 1"/>
    <w:basedOn w:val="1"/>
    <w:next w:val="1"/>
    <w:autoRedefine/>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2">
    <w:name w:val="heading 2"/>
    <w:basedOn w:val="1"/>
    <w:next w:val="1"/>
    <w:autoRedefine/>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3">
    <w:name w:val="Default Paragraph Font"/>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4">
    <w:name w:val="Normal Indent"/>
    <w:basedOn w:val="1"/>
    <w:autoRedefine/>
    <w:qFormat/>
    <w:uiPriority w:val="0"/>
    <w:pPr>
      <w:ind w:firstLine="420"/>
    </w:pPr>
    <w:rPr>
      <w:rFonts w:ascii="Times New Roman" w:hAnsi="Times New Roman" w:cs="Times New Roman"/>
      <w:kern w:val="0"/>
      <w:sz w:val="20"/>
      <w:szCs w:val="20"/>
    </w:rPr>
  </w:style>
  <w:style w:type="paragraph" w:styleId="5">
    <w:name w:val="annotation text"/>
    <w:basedOn w:val="1"/>
    <w:qFormat/>
    <w:uiPriority w:val="0"/>
    <w:pPr>
      <w:jc w:val="left"/>
    </w:pPr>
  </w:style>
  <w:style w:type="paragraph" w:styleId="6">
    <w:name w:val="Body Text"/>
    <w:basedOn w:val="1"/>
    <w:next w:val="7"/>
    <w:autoRedefine/>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7">
    <w:name w:val="Title"/>
    <w:basedOn w:val="1"/>
    <w:next w:val="1"/>
    <w:autoRedefine/>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8">
    <w:name w:val="Body Text Indent"/>
    <w:basedOn w:val="1"/>
    <w:autoRedefine/>
    <w:qFormat/>
    <w:uiPriority w:val="0"/>
    <w:pPr>
      <w:spacing w:after="120"/>
      <w:ind w:left="420" w:leftChars="200"/>
    </w:pPr>
  </w:style>
  <w:style w:type="paragraph" w:styleId="9">
    <w:name w:val="Plain Text"/>
    <w:basedOn w:val="1"/>
    <w:autoRedefine/>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10">
    <w:name w:val="Body Text First Indent"/>
    <w:basedOn w:val="6"/>
    <w:autoRedefine/>
    <w:qFormat/>
    <w:uiPriority w:val="0"/>
    <w:pPr>
      <w:keepNext w:val="0"/>
      <w:keepLines w:val="0"/>
      <w:widowControl w:val="0"/>
      <w:suppressLineNumbers w:val="0"/>
      <w:pBdr>
        <w:top w:val="none" w:color="auto" w:sz="0" w:space="0"/>
        <w:left w:val="none" w:color="auto" w:sz="0" w:space="0"/>
        <w:bottom w:val="none" w:color="auto" w:sz="0" w:space="0"/>
        <w:right w:val="none" w:color="auto" w:sz="0" w:space="0"/>
      </w:pBdr>
      <w:spacing w:beforeLines="50" w:beforeAutospacing="0" w:afterLines="50" w:afterAutospacing="0" w:line="360" w:lineRule="auto"/>
      <w:ind w:firstLine="200" w:firstLineChars="200"/>
      <w:jc w:val="both"/>
    </w:pPr>
    <w:rPr>
      <w:rFonts w:hint="default" w:ascii="Times New Roman" w:hAnsi="Times New Roman" w:eastAsia="宋体" w:cs="Times New Roman"/>
      <w:kern w:val="2"/>
      <w:sz w:val="24"/>
      <w:szCs w:val="24"/>
      <w:lang w:val="en-US" w:eastAsia="zh-CN" w:bidi="ar"/>
    </w:rPr>
  </w:style>
  <w:style w:type="table" w:styleId="12">
    <w:name w:val="Table Grid"/>
    <w:basedOn w:val="1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目录 21"/>
    <w:basedOn w:val="1"/>
    <w:next w:val="1"/>
    <w:autoRedefine/>
    <w:qFormat/>
    <w:uiPriority w:val="0"/>
    <w:pPr>
      <w:spacing w:before="100" w:beforeAutospacing="1" w:after="100" w:afterAutospacing="1"/>
      <w:ind w:left="420" w:leftChars="200"/>
    </w:pPr>
  </w:style>
  <w:style w:type="paragraph" w:customStyle="1" w:styleId="15">
    <w:name w:val="正文首行缩进1"/>
    <w:basedOn w:val="1"/>
    <w:autoRedefine/>
    <w:qFormat/>
    <w:uiPriority w:val="0"/>
    <w:pPr>
      <w:spacing w:line="360" w:lineRule="auto"/>
      <w:ind w:firstLine="200" w:firstLineChars="200"/>
    </w:pPr>
    <w:rPr>
      <w:kern w:val="2"/>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Office_12.8.2.19795_F1E327BC-269C-435d-A152-05C5408002CA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Administrator</cp:lastModifiedBy>
  <dcterms:modified xsi:type="dcterms:W3CDTF">2025-10-28T07:57:25Z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2052-12.8.2.19795</vt:lpwstr>
  </property>
  <property fmtid="{D5CDD505-2E9C-101B-9397-08002B2CF9AE}" pid="3" name="ICV">
    <vt:lpwstr>637AA81A38EE4AC9AC2331DF7A96B0A5</vt:lpwstr>
  </property>
</Properties>
</file>