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 xml:space="preserve"> 医药港110千伏出线至冲口线路工程监理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广供电基〔2024 〕91号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ascii="宋体" w:hAnsi="宋体" w:eastAsia="宋体" w:cs="宋体"/>
                <w:sz w:val="24"/>
                <w:szCs w:val="24"/>
                <w:highlight w:val="none"/>
              </w:rPr>
              <w:t>穗发改核准〔2024〕29号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广供电资〔2024〕36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r>
              <w:rPr>
                <w:rFonts w:ascii="宋体" w:hAnsi="宋体" w:eastAsia="宋体" w:cs="宋体"/>
                <w:sz w:val="24"/>
                <w:szCs w:val="24"/>
                <w:highlight w:val="none"/>
              </w:rPr>
              <w:t>荔湾区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合同签订之日起至2026年12月30日，实际工期以开工报告、竣工报告为准。</w:t>
            </w:r>
          </w:p>
        </w:tc>
      </w:tr>
    </w:tbl>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w:t>
      </w:r>
      <w:r>
        <w:rPr>
          <w:rFonts w:hint="eastAsia" w:ascii="宋体" w:hAnsi="宋体" w:eastAsia="宋体" w:cs="宋体"/>
          <w:b/>
          <w:bCs/>
          <w:color w:val="auto"/>
          <w:sz w:val="24"/>
          <w:szCs w:val="24"/>
          <w:highlight w:val="none"/>
          <w:u w:val="none"/>
          <w:lang w:val="en-US" w:eastAsia="zh-CN"/>
        </w:rPr>
        <w:t>项目概况</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※变电部分：</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220kV医药港站扩建：本期利用杏花间隔，原至杏花（#1变）间隔改为至110kV桃园站，原杏花（#2变）间隔改为至110kV冲口站。本期2回出线间隔已经在首期建设，因此本期无扩建工程量，仅需考虑电缆接入原有间隔的费用。</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2、110kV冲口站扩建：本期在芳花增乙线冲口乙支线间隔增加一组T接电缆头。</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3、110kV桃园站扩建：本期在花桃甲线间隔增加一组T接电缆头。</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※架空线路部分：</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110kV芳花增甲乙线改接工程：拆除110kV芳花增甲乙线#18塔T接至增窖方向跳线及跳线串，同时拆除该塔芳花增乙线芳村至花地方向跳线；跳接芳花增甲乙线#18塔芳花增乙线芳村侧至增窖，实现芳花增乙线解口，形成1回芳村-增窖-冲口线路，1回花地-洪石-冲口线路。同步更换芳花增甲乙线、芳花增甲线冲口甲支线全线45基塔杆号牌共计90块。</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※电缆线路部分：</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1、110kV医药港站至冲口站单回电缆线路：110k医药港至冲口单回电缆线路路径长度约6.27km，电缆单线长度约1×6.54km。新建电缆采用FY-YJLW03-64/110kV-1×1200mm2。</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2、110kV医药港站至桃园站单回电缆线路：110kV医药港站至桃园站单回电缆线路路径长度约7.18km，电缆单线长度约1×7.54km。新建电缆采用FY-YJLW03-64/110kV-1×1200mm2。</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※通信部分：</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1、医药港110kV出线至冲口线路工程(配通信设备)：对侧站配套通信设备扩容。</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2、110kV医药港站至冲口站管道光缆：随110kV医药港站至冲口站单回电缆线路，新建医药港站至冲口站1条48芯管道光缆，长约7.25km。</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3、110kV医药港站至冲口站管道光缆：随110kV医药港站至桃园站单回电缆线路，新建医药港站至桃园站1条48芯管道光缆，长约7.85km。</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具体建设规模以施工图纸为准。</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eastAsia" w:ascii="宋体" w:hAnsi="宋体" w:eastAsia="宋体" w:cs="宋体"/>
          <w:b/>
          <w:bCs/>
          <w:i w:val="0"/>
          <w:iCs/>
          <w:color w:val="auto"/>
          <w:kern w:val="2"/>
          <w:sz w:val="24"/>
          <w:szCs w:val="24"/>
          <w:highlight w:val="none"/>
          <w:u w:val="none"/>
          <w:lang w:val="en-US" w:eastAsia="zh-CN" w:bidi="ar-SA"/>
        </w:rPr>
      </w:pPr>
      <w:r>
        <w:rPr>
          <w:rFonts w:hint="eastAsia" w:ascii="宋体" w:hAnsi="宋体" w:eastAsia="宋体" w:cs="宋体"/>
          <w:b/>
          <w:bCs/>
          <w:i w:val="0"/>
          <w:color w:val="auto"/>
          <w:kern w:val="2"/>
          <w:sz w:val="24"/>
          <w:szCs w:val="24"/>
          <w:highlight w:val="none"/>
          <w:u w:val="none"/>
          <w:lang w:val="en-US" w:eastAsia="zh-CN" w:bidi="ar-SA"/>
        </w:rPr>
        <w:t>二、招标采购范围</w:t>
      </w:r>
    </w:p>
    <w:p>
      <w:pPr>
        <w:keepNext w:val="0"/>
        <w:keepLines w:val="0"/>
        <w:pageBreakBefore w:val="0"/>
        <w:shd w:val="clear" w:color="auto" w:fill="auto"/>
        <w:kinsoku/>
        <w:wordWrap/>
        <w:overflowPunct/>
        <w:topLinePunct w:val="0"/>
        <w:autoSpaceDE/>
        <w:autoSpaceDN/>
        <w:bidi w:val="0"/>
        <w:adjustRightInd/>
        <w:snapToGrid/>
        <w:spacing w:before="157" w:beforeLines="50" w:after="157" w:afterLines="50"/>
        <w:ind w:firstLine="480" w:firstLineChars="200"/>
        <w:textAlignment w:val="auto"/>
        <w:rPr>
          <w:rFonts w:hint="eastAsia" w:hAnsi="宋体" w:eastAsia="宋体" w:cs="Times New Roman"/>
          <w:color w:val="auto"/>
          <w:sz w:val="24"/>
          <w:szCs w:val="24"/>
          <w:highlight w:val="none"/>
          <w:u w:val="single"/>
        </w:rPr>
      </w:pPr>
      <w:r>
        <w:rPr>
          <w:rFonts w:hint="eastAsia" w:hAnsi="宋体" w:eastAsia="宋体" w:cs="Times New Roman"/>
          <w:color w:val="auto"/>
          <w:sz w:val="24"/>
          <w:szCs w:val="24"/>
          <w:highlight w:val="none"/>
          <w:u w:val="single"/>
        </w:rPr>
        <w:t>勘察设计、施工准备（含三通一平）、施工（含工程本体建设以及除本体建设外发生的相关施工活动，除本体建设外相关施工包括但不限于路面修复（含市政路面、公路等）、交通疏解、跨（穿）越铁路/公路、管线迁移、绿化迁移、林木砍伐等）、竣工结算、缺陷责任期、</w:t>
      </w:r>
      <w:r>
        <w:rPr>
          <w:rFonts w:hint="eastAsia" w:hAnsi="宋体" w:cs="Times New Roman"/>
          <w:color w:val="auto"/>
          <w:sz w:val="24"/>
          <w:szCs w:val="24"/>
          <w:highlight w:val="none"/>
          <w:u w:val="single"/>
          <w:lang w:val="en-US" w:eastAsia="zh-CN"/>
        </w:rPr>
        <w:t>电子化移交、</w:t>
      </w:r>
      <w:r>
        <w:rPr>
          <w:rFonts w:hint="eastAsia" w:hAnsi="宋体" w:eastAsia="宋体" w:cs="Times New Roman"/>
          <w:color w:val="auto"/>
          <w:sz w:val="24"/>
          <w:szCs w:val="24"/>
          <w:highlight w:val="none"/>
          <w:u w:val="single"/>
        </w:rPr>
        <w:t>达标投产创优</w:t>
      </w:r>
      <w:r>
        <w:rPr>
          <w:rFonts w:hint="eastAsia" w:hAnsi="宋体" w:cs="Times New Roman"/>
          <w:color w:val="auto"/>
          <w:sz w:val="24"/>
          <w:szCs w:val="24"/>
          <w:highlight w:val="none"/>
          <w:u w:val="single"/>
          <w:lang w:val="en-US" w:eastAsia="zh-CN"/>
        </w:rPr>
        <w:t>的</w:t>
      </w:r>
      <w:r>
        <w:rPr>
          <w:rFonts w:hint="eastAsia" w:hAnsi="宋体" w:eastAsia="宋体" w:cs="Times New Roman"/>
          <w:color w:val="auto"/>
          <w:sz w:val="24"/>
          <w:szCs w:val="24"/>
          <w:highlight w:val="none"/>
          <w:u w:val="single"/>
          <w:lang w:eastAsia="zh-CN"/>
        </w:rPr>
        <w:t>全过程监理工作</w:t>
      </w:r>
      <w:r>
        <w:rPr>
          <w:rFonts w:hint="eastAsia" w:hAnsi="宋体" w:cs="Times New Roman"/>
          <w:color w:val="auto"/>
          <w:sz w:val="24"/>
          <w:szCs w:val="24"/>
          <w:highlight w:val="none"/>
          <w:u w:val="single"/>
          <w:lang w:eastAsia="zh-CN"/>
        </w:rPr>
        <w:t>，</w:t>
      </w:r>
      <w:r>
        <w:rPr>
          <w:rFonts w:hint="eastAsia" w:hAnsi="宋体" w:eastAsia="宋体" w:cs="Times New Roman"/>
          <w:color w:val="auto"/>
          <w:sz w:val="24"/>
          <w:szCs w:val="24"/>
          <w:highlight w:val="none"/>
          <w:u w:val="single"/>
          <w:lang w:eastAsia="zh-CN"/>
        </w:rPr>
        <w:t>以及初步设计概算（或施工图预算）中监理计费范围以外但与工程相关的监理工作。</w:t>
      </w:r>
      <w:r>
        <w:rPr>
          <w:rFonts w:hint="eastAsia" w:hAnsi="宋体" w:eastAsia="宋体" w:cs="Times New Roman"/>
          <w:color w:val="auto"/>
          <w:sz w:val="24"/>
          <w:szCs w:val="24"/>
          <w:highlight w:val="none"/>
          <w:u w:val="single"/>
        </w:rPr>
        <w:t>按照建设单位要求使用工程信息管理系统。</w:t>
      </w:r>
    </w:p>
    <w:p>
      <w:pPr>
        <w:rPr>
          <w:rFonts w:hint="eastAsia"/>
          <w:highlight w:val="none"/>
          <w:lang w:val="en-US" w:eastAsia="zh-CN"/>
        </w:rPr>
      </w:pPr>
    </w:p>
    <w:p>
      <w:pPr>
        <w:pStyle w:val="10"/>
        <w:rPr>
          <w:rFonts w:hint="eastAsia"/>
          <w:lang w:val="en-US" w:eastAsia="zh-CN"/>
        </w:rPr>
      </w:pPr>
    </w:p>
    <w:p>
      <w:pPr>
        <w:pStyle w:val="4"/>
        <w:keepNext w:val="0"/>
        <w:keepLines w:val="0"/>
        <w:pageBreakBefore w:val="0"/>
        <w:numPr>
          <w:ilvl w:val="0"/>
          <w:numId w:val="2"/>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报价表</w:t>
      </w:r>
    </w:p>
    <w:p>
      <w:pPr>
        <w:numPr>
          <w:ilvl w:val="0"/>
          <w:numId w:val="0"/>
        </w:numPr>
        <w:rPr>
          <w:rFonts w:hint="eastAsia"/>
          <w:lang w:val="en-US" w:eastAsia="zh-CN"/>
        </w:rPr>
      </w:pPr>
    </w:p>
    <w:tbl>
      <w:tblPr>
        <w:tblStyle w:val="11"/>
        <w:tblW w:w="92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8"/>
        <w:gridCol w:w="2567"/>
        <w:gridCol w:w="1629"/>
        <w:gridCol w:w="1537"/>
        <w:gridCol w:w="1719"/>
        <w:gridCol w:w="11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6"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tabs>
                <w:tab w:val="left" w:pos="900"/>
              </w:tabs>
              <w:snapToGrid w:val="0"/>
              <w:ind w:right="-24" w:rightChars="0"/>
              <w:jc w:val="center"/>
              <w:rPr>
                <w:rFonts w:hint="eastAsia" w:ascii="宋体" w:hAnsi="宋体" w:eastAsia="宋体" w:cs="宋体"/>
                <w:i w:val="0"/>
                <w:iCs w:val="0"/>
                <w:color w:val="000000"/>
                <w:sz w:val="22"/>
                <w:szCs w:val="22"/>
                <w:u w:val="none"/>
              </w:rPr>
            </w:pPr>
            <w:r>
              <w:rPr>
                <w:rFonts w:hint="eastAsia" w:ascii="宋体" w:hAnsi="宋体"/>
                <w:color w:val="auto"/>
                <w:highlight w:val="none"/>
              </w:rPr>
              <w:t>序号</w:t>
            </w:r>
          </w:p>
        </w:tc>
        <w:tc>
          <w:tcPr>
            <w:tcW w:w="2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tabs>
                <w:tab w:val="left" w:pos="900"/>
              </w:tabs>
              <w:snapToGrid w:val="0"/>
              <w:ind w:left="282" w:leftChars="0" w:right="-24" w:rightChars="0"/>
              <w:jc w:val="center"/>
              <w:rPr>
                <w:rFonts w:hint="eastAsia" w:ascii="宋体" w:hAnsi="宋体" w:eastAsia="宋体" w:cs="宋体"/>
                <w:i w:val="0"/>
                <w:iCs w:val="0"/>
                <w:color w:val="000000"/>
                <w:sz w:val="22"/>
                <w:szCs w:val="22"/>
                <w:u w:val="none"/>
              </w:rPr>
            </w:pPr>
            <w:r>
              <w:rPr>
                <w:rFonts w:hint="eastAsia" w:ascii="宋体" w:hAnsi="宋体"/>
                <w:color w:val="auto"/>
                <w:highlight w:val="none"/>
              </w:rPr>
              <w:t>费用名称</w:t>
            </w:r>
          </w:p>
        </w:tc>
        <w:tc>
          <w:tcPr>
            <w:tcW w:w="16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tabs>
                <w:tab w:val="left" w:pos="900"/>
              </w:tabs>
              <w:snapToGrid w:val="0"/>
              <w:spacing w:before="120" w:after="120"/>
              <w:ind w:right="-24" w:rightChars="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olor w:val="auto"/>
                <w:highlight w:val="none"/>
              </w:rPr>
              <w:t>最高投标限价(元)</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tabs>
                <w:tab w:val="left" w:pos="900"/>
              </w:tabs>
              <w:snapToGrid w:val="0"/>
              <w:spacing w:before="120" w:after="120"/>
              <w:ind w:right="-24" w:rightChars="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b w:val="0"/>
                <w:bCs/>
                <w:color w:val="auto"/>
                <w:highlight w:val="none"/>
              </w:rPr>
              <w:t>投标下浮率</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tabs>
                <w:tab w:val="left" w:pos="900"/>
              </w:tabs>
              <w:snapToGrid w:val="0"/>
              <w:spacing w:before="120" w:after="120"/>
              <w:ind w:right="-24" w:rightChars="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tabs>
                <w:tab w:val="left" w:pos="900"/>
              </w:tabs>
              <w:snapToGrid w:val="0"/>
              <w:spacing w:before="120" w:after="120"/>
              <w:ind w:right="-24" w:rightChars="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olor w:val="auto"/>
                <w:highlight w:val="none"/>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一</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变电工程</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 xml:space="preserve">56245.38 </w:t>
            </w:r>
          </w:p>
        </w:tc>
        <w:tc>
          <w:tcPr>
            <w:tcW w:w="1537"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1</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220kV医药港站扩建</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18468.96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2</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110kV冲口站扩建</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28893.11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3</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110kV桃园站扩建</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8883.31</w:t>
            </w:r>
            <w:r>
              <w:rPr>
                <w:rFonts w:hint="eastAsia" w:ascii="宋体" w:hAnsi="宋体" w:eastAsia="宋体" w:cs="宋体"/>
                <w:i w:val="0"/>
                <w:iCs w:val="0"/>
                <w:color w:val="000000"/>
                <w:kern w:val="0"/>
                <w:sz w:val="22"/>
                <w:szCs w:val="22"/>
                <w:u w:val="none"/>
                <w:lang w:val="en-US" w:eastAsia="zh-CN" w:bidi="ar"/>
              </w:rPr>
              <w:t xml:space="preserve">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二</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110kV线路工程</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 xml:space="preserve">684969.86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1</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110kV医药港站至冲口站单回电缆线路</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358394.86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2</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110kV医药港站至桃园站单回电缆线路</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326575.00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3</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110kV芳花增甲乙线改接工程</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0.00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三</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auto"/>
                <w:kern w:val="0"/>
                <w:sz w:val="21"/>
                <w:szCs w:val="21"/>
                <w:u w:val="none"/>
                <w:lang w:val="en-US" w:eastAsia="zh-CN" w:bidi="ar"/>
              </w:rPr>
              <w:t>配套</w:t>
            </w: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通信工程</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 xml:space="preserve">39414.25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1</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医药港110kV出线至冲口线路工程(配通信设备)</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1543.86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2</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110kV医药港站至冲口站管道光缆</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29323.21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3</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110kV医药港站至桃园站管道光缆</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8547.18 </w:t>
            </w:r>
          </w:p>
        </w:tc>
        <w:tc>
          <w:tcPr>
            <w:tcW w:w="153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jc w:val="center"/>
        </w:trPr>
        <w:tc>
          <w:tcPr>
            <w:tcW w:w="3275" w:type="dxa"/>
            <w:gridSpan w:val="2"/>
            <w:tcBorders>
              <w:top w:val="single" w:color="000000" w:sz="4" w:space="0"/>
              <w:left w:val="single" w:color="000000" w:sz="4" w:space="0"/>
              <w:bottom w:val="single" w:color="000000" w:sz="4" w:space="0"/>
              <w:right w:val="single" w:color="000000" w:sz="4" w:space="0"/>
            </w:tcBorders>
            <w:shd w:val="clear" w:color="FFFFFF" w:themeColor="background1"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hAnsi="宋体" w:cs="Times New Roman"/>
                <w:b/>
                <w:bCs/>
                <w:color w:val="auto"/>
                <w:sz w:val="21"/>
                <w:szCs w:val="21"/>
                <w:highlight w:val="none"/>
                <w:u w:val="single"/>
                <w:lang w:val="en-US" w:eastAsia="zh-CN"/>
              </w:rPr>
              <w:t>合计（小写）</w:t>
            </w:r>
          </w:p>
        </w:tc>
        <w:tc>
          <w:tcPr>
            <w:tcW w:w="1629" w:type="dxa"/>
            <w:tcBorders>
              <w:top w:val="single" w:color="000000" w:sz="4" w:space="0"/>
              <w:left w:val="single" w:color="000000" w:sz="4" w:space="0"/>
              <w:bottom w:val="single" w:color="000000" w:sz="4" w:space="0"/>
              <w:right w:val="single" w:color="000000" w:sz="4" w:space="0"/>
            </w:tcBorders>
            <w:shd w:val="clear" w:color="FFFFFF" w:themeColor="background1"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shd w:val="clear"/>
                <w:lang w:val="en-US" w:eastAsia="zh-CN" w:bidi="ar"/>
              </w:rPr>
              <w:t xml:space="preserve">780629.49 </w:t>
            </w:r>
          </w:p>
        </w:tc>
        <w:tc>
          <w:tcPr>
            <w:tcW w:w="1537"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r>
    </w:tbl>
    <w:p>
      <w:pPr>
        <w:pStyle w:val="3"/>
        <w:rPr>
          <w:rFonts w:hint="eastAsia"/>
          <w:highlight w:val="none"/>
          <w:lang w:val="en-US" w:eastAsia="zh-CN"/>
        </w:rPr>
      </w:pPr>
    </w:p>
    <w:p>
      <w:pPr>
        <w:rPr>
          <w:rFonts w:hint="eastAsia"/>
          <w:highlight w:val="none"/>
          <w:lang w:val="en-US" w:eastAsia="zh-CN"/>
        </w:rPr>
      </w:pPr>
    </w:p>
    <w:p>
      <w:pPr>
        <w:pStyle w:val="7"/>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2"/>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（1）按下浮率报价（保留两位小数，如 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2"/>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ind w:firstLine="240" w:firstLineChars="100"/>
        <w:rPr>
          <w:rFonts w:hint="default" w:ascii="宋体" w:hAnsi="宋体" w:eastAsia="宋体" w:cs="宋体"/>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（3）价格分计算时，投标人评标价按（100-投标人填写的下浮数值）参与计算。如：下浮率为1.88％时，评标价按（100-1.88）参与计算。</w:t>
      </w:r>
    </w:p>
    <w:p>
      <w:pPr>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9"/>
        <w:spacing w:line="360" w:lineRule="auto"/>
        <w:ind w:left="0" w:leftChars="0" w:firstLine="480" w:firstLineChars="20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本合同为暂定价合同，结算方式详见合同条款。                                                                          </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0"/>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10"/>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2"/>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2"/>
        <w:rPr>
          <w:rFonts w:hint="eastAsia" w:asciiTheme="minorEastAsia" w:hAnsiTheme="minorEastAsia" w:eastAsiaTheme="minorEastAsia" w:cstheme="minorEastAsia"/>
          <w:i w:val="0"/>
          <w:iCs/>
          <w:color w:val="auto"/>
          <w:sz w:val="24"/>
          <w:szCs w:val="24"/>
          <w:highlight w:val="none"/>
        </w:rPr>
      </w:pP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2"/>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2"/>
        <w:numPr>
          <w:ilvl w:val="0"/>
          <w:numId w:val="4"/>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2"/>
        <w:numPr>
          <w:ilvl w:val="0"/>
          <w:numId w:val="4"/>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bookmarkStart w:id="3" w:name="_GoBack"/>
      <w:bookmarkEnd w:id="3"/>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42A2FF"/>
    <w:multiLevelType w:val="singleLevel"/>
    <w:tmpl w:val="DB42A2FF"/>
    <w:lvl w:ilvl="0" w:tentative="0">
      <w:start w:val="3"/>
      <w:numFmt w:val="chineseCounting"/>
      <w:suff w:val="nothing"/>
      <w:lvlText w:val="%1、"/>
      <w:lvlJc w:val="left"/>
      <w:rPr>
        <w:rFonts w:hint="eastAsia"/>
      </w:rPr>
    </w:lvl>
  </w:abstractNum>
  <w:abstractNum w:abstractNumId="1">
    <w:nsid w:val="EAEE20F8"/>
    <w:multiLevelType w:val="singleLevel"/>
    <w:tmpl w:val="EAEE20F8"/>
    <w:lvl w:ilvl="0" w:tentative="0">
      <w:start w:val="2"/>
      <w:numFmt w:val="chineseCounting"/>
      <w:suff w:val="nothing"/>
      <w:lvlText w:val="第%1部分."/>
      <w:lvlJc w:val="left"/>
      <w:rPr>
        <w:rFonts w:hint="eastAsia"/>
      </w:rPr>
    </w:lvl>
  </w:abstractNum>
  <w:abstractNum w:abstractNumId="2">
    <w:nsid w:val="0D7920FF"/>
    <w:multiLevelType w:val="singleLevel"/>
    <w:tmpl w:val="0D7920FF"/>
    <w:lvl w:ilvl="0" w:tentative="0">
      <w:start w:val="1"/>
      <w:numFmt w:val="chineseCounting"/>
      <w:suff w:val="nothing"/>
      <w:lvlText w:val="第%1部分."/>
      <w:lvlJc w:val="left"/>
      <w:rPr>
        <w:rFonts w:hint="eastAsia"/>
      </w:rPr>
    </w:lvl>
  </w:abstractNum>
  <w:abstractNum w:abstractNumId="3">
    <w:nsid w:val="4122DDE1"/>
    <w:multiLevelType w:val="singleLevel"/>
    <w:tmpl w:val="4122DDE1"/>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34C42F7"/>
    <w:rsid w:val="03F1316B"/>
    <w:rsid w:val="043D4EB3"/>
    <w:rsid w:val="04A24F71"/>
    <w:rsid w:val="066E0BC3"/>
    <w:rsid w:val="076F3B3B"/>
    <w:rsid w:val="07CA37DF"/>
    <w:rsid w:val="07CC3833"/>
    <w:rsid w:val="0A951569"/>
    <w:rsid w:val="0BC07002"/>
    <w:rsid w:val="0BD30473"/>
    <w:rsid w:val="0E2F4C02"/>
    <w:rsid w:val="0E3616E0"/>
    <w:rsid w:val="0E937FF7"/>
    <w:rsid w:val="0EF951F1"/>
    <w:rsid w:val="0F81532F"/>
    <w:rsid w:val="107144D2"/>
    <w:rsid w:val="116419AD"/>
    <w:rsid w:val="11794537"/>
    <w:rsid w:val="11DF6CFE"/>
    <w:rsid w:val="13383335"/>
    <w:rsid w:val="14440D4B"/>
    <w:rsid w:val="14B666F3"/>
    <w:rsid w:val="15056A61"/>
    <w:rsid w:val="155713D3"/>
    <w:rsid w:val="182633AB"/>
    <w:rsid w:val="18E57496"/>
    <w:rsid w:val="1A2D5CFF"/>
    <w:rsid w:val="1A386933"/>
    <w:rsid w:val="1A4F176B"/>
    <w:rsid w:val="1A912F72"/>
    <w:rsid w:val="1B663F82"/>
    <w:rsid w:val="1C2D4629"/>
    <w:rsid w:val="1C43636C"/>
    <w:rsid w:val="1D8B6288"/>
    <w:rsid w:val="1D904223"/>
    <w:rsid w:val="1F653C49"/>
    <w:rsid w:val="1F6C0D31"/>
    <w:rsid w:val="1FF914D4"/>
    <w:rsid w:val="20735046"/>
    <w:rsid w:val="216F4D5B"/>
    <w:rsid w:val="23B738BA"/>
    <w:rsid w:val="24E67795"/>
    <w:rsid w:val="24F737D8"/>
    <w:rsid w:val="25100685"/>
    <w:rsid w:val="26A73075"/>
    <w:rsid w:val="2CA17C08"/>
    <w:rsid w:val="2DDF66E3"/>
    <w:rsid w:val="2FF65FF8"/>
    <w:rsid w:val="300D195C"/>
    <w:rsid w:val="30BF37B5"/>
    <w:rsid w:val="31C955A9"/>
    <w:rsid w:val="33B200AF"/>
    <w:rsid w:val="33E61BE2"/>
    <w:rsid w:val="361736AD"/>
    <w:rsid w:val="36D200CF"/>
    <w:rsid w:val="379951F8"/>
    <w:rsid w:val="38382DC3"/>
    <w:rsid w:val="38A56AEF"/>
    <w:rsid w:val="38DE045C"/>
    <w:rsid w:val="3A546240"/>
    <w:rsid w:val="3BF24D81"/>
    <w:rsid w:val="3BFE7BEA"/>
    <w:rsid w:val="3C4750A3"/>
    <w:rsid w:val="3C4A35F1"/>
    <w:rsid w:val="3E664B6D"/>
    <w:rsid w:val="3ED7087B"/>
    <w:rsid w:val="3F141BFC"/>
    <w:rsid w:val="41013FB4"/>
    <w:rsid w:val="444D481C"/>
    <w:rsid w:val="44982260"/>
    <w:rsid w:val="44D414C9"/>
    <w:rsid w:val="46472D5E"/>
    <w:rsid w:val="47D31FCF"/>
    <w:rsid w:val="496A657E"/>
    <w:rsid w:val="49843C09"/>
    <w:rsid w:val="49B90FF6"/>
    <w:rsid w:val="49C86C35"/>
    <w:rsid w:val="4B3A1BDA"/>
    <w:rsid w:val="4BF83760"/>
    <w:rsid w:val="4C65340B"/>
    <w:rsid w:val="4C8349B8"/>
    <w:rsid w:val="4ED35788"/>
    <w:rsid w:val="50D643AB"/>
    <w:rsid w:val="520D6E5F"/>
    <w:rsid w:val="53115540"/>
    <w:rsid w:val="544D56B1"/>
    <w:rsid w:val="55C3156A"/>
    <w:rsid w:val="570038B8"/>
    <w:rsid w:val="5782183A"/>
    <w:rsid w:val="57BD355E"/>
    <w:rsid w:val="58AA01AF"/>
    <w:rsid w:val="59A5419F"/>
    <w:rsid w:val="59C3202D"/>
    <w:rsid w:val="5B0320E2"/>
    <w:rsid w:val="5B8B11A7"/>
    <w:rsid w:val="5B9E2EC4"/>
    <w:rsid w:val="608606DE"/>
    <w:rsid w:val="610E324A"/>
    <w:rsid w:val="61F31EFD"/>
    <w:rsid w:val="621E0BDF"/>
    <w:rsid w:val="63066BC7"/>
    <w:rsid w:val="63D0487B"/>
    <w:rsid w:val="64672037"/>
    <w:rsid w:val="64911DA0"/>
    <w:rsid w:val="65945D8D"/>
    <w:rsid w:val="66C35559"/>
    <w:rsid w:val="67D57489"/>
    <w:rsid w:val="68570F93"/>
    <w:rsid w:val="6A287B5E"/>
    <w:rsid w:val="6B303A1A"/>
    <w:rsid w:val="6DAA2FDF"/>
    <w:rsid w:val="6E121228"/>
    <w:rsid w:val="6FC971BF"/>
    <w:rsid w:val="70D1495F"/>
    <w:rsid w:val="70ED510D"/>
    <w:rsid w:val="74695E39"/>
    <w:rsid w:val="754C6F3B"/>
    <w:rsid w:val="75B11AFF"/>
    <w:rsid w:val="75D32619"/>
    <w:rsid w:val="765369C1"/>
    <w:rsid w:val="766935D1"/>
    <w:rsid w:val="767D6887"/>
    <w:rsid w:val="780B6A75"/>
    <w:rsid w:val="79F83E18"/>
    <w:rsid w:val="7A262145"/>
    <w:rsid w:val="7BEC3F2B"/>
    <w:rsid w:val="7D0F76D8"/>
    <w:rsid w:val="7E3420E0"/>
    <w:rsid w:val="7E535DCD"/>
    <w:rsid w:val="7EA561BB"/>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1987</Words>
  <Characters>2195</Characters>
  <Lines>0</Lines>
  <Paragraphs>0</Paragraphs>
  <TotalTime>0</TotalTime>
  <ScaleCrop>false</ScaleCrop>
  <LinksUpToDate>false</LinksUpToDate>
  <CharactersWithSpaces>2599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dcterms:modified xsi:type="dcterms:W3CDTF">2025-09-10T03:37:53Z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8A8C54658E2D41C7A1BB357F29FDF6BB</vt:lpwstr>
  </property>
  <property fmtid="{D5CDD505-2E9C-101B-9397-08002B2CF9AE}" pid="4" name="KSOTemplateDocerSaveRecord">
    <vt:lpwstr>eyJoZGlkIjoiMzRhNmJlNThjMDBiOWU4Nzc1ZjI0MDBlOWZlZDc3MjkiLCJ1c2VySWQiOiIxMzA3MzU5MjYwIn0=</vt:lpwstr>
  </property>
</Properties>
</file>