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110千伏桥兴扩建主变工程监理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广供电基〔2024〕160号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穗发改核准〔2024〕45号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广州市番禺区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广州汇隽电力工程设计有限公司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合同签订之日起至2027年12月31日，实际工期以开工报告、竣工报告为准。</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※变电站部分: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1、110kV桥兴站扩建工程：本期在110千伏桥兴变电站内扩建1台6.3万千伏安主变压器，同时装设1×2×6兆乏电容器组。本期新建10千伏出线16 回，终期规划10千伏出线40回。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2、对侧110kV广场站工程：广场站前期已配置电缆T接筒，本工程仅考虑电缆接入。</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※电缆线路部分: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110kV电缆线路工程：新建电缆线路路径长约4.292km。新建站外管廊长度约3.52km，利用市政建设管廊（番禺大道段）长度约0.41km，电缆铜导体截面采用1200mm2。</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ind w:firstLine="482" w:firstLineChars="200"/>
        <w:jc w:val="left"/>
        <w:textAlignment w:val="auto"/>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vertAlign w:val="baseline"/>
          <w:lang w:val="en-US" w:eastAsia="zh-CN"/>
        </w:rPr>
        <w:t>※通信部分:</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1、配套通信设备工程：桥兴站、广场站各配置1块STM-16光口板、1块STM-64光口板，开通桥兴站—广场站传输新A 网STM-16光路及新网BSTM-64 光路。</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2、配套通信光缆工程：随新建电缆线路同路由建设由新建桥兴站至广场站1条48芯管道光缆，新建管道光缆的长度约5.1km。</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具体建设规模以施工图纸为准。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1</w:t>
            </w: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ascii="宋体" w:hAnsi="宋体"/>
                <w:color w:val="auto"/>
                <w:highlight w:val="none"/>
              </w:rPr>
            </w:pPr>
            <w:r>
              <w:rPr>
                <w:rFonts w:hint="eastAsia" w:ascii="宋体" w:hAnsi="宋体" w:eastAsia="宋体" w:cs="宋体"/>
                <w:color w:val="auto"/>
                <w:highlight w:val="none"/>
                <w:u w:val="single"/>
                <w:lang w:val="en-US" w:eastAsia="zh-CN"/>
              </w:rPr>
              <w:t>110</w:t>
            </w:r>
            <w:r>
              <w:rPr>
                <w:rFonts w:hint="eastAsia" w:hAnsi="宋体" w:eastAsia="宋体" w:cs="Times New Roman"/>
                <w:color w:val="auto"/>
                <w:highlight w:val="none"/>
                <w:u w:val="single"/>
                <w:lang w:val="en-US" w:eastAsia="zh-CN"/>
              </w:rPr>
              <w:t>千伏桥兴扩建主变工程</w:t>
            </w:r>
            <w:r>
              <w:rPr>
                <w:rFonts w:hint="eastAsia" w:hAnsi="宋体" w:eastAsia="宋体" w:cs="Times New Roman"/>
                <w:color w:val="auto"/>
                <w:highlight w:val="none"/>
                <w:u w:val="single"/>
              </w:rPr>
              <w:t>（不含通信）</w:t>
            </w:r>
            <w:r>
              <w:rPr>
                <w:rFonts w:hint="eastAsia" w:hAnsi="宋体"/>
                <w:color w:val="auto"/>
                <w:highlight w:val="none"/>
                <w:u w:val="single"/>
              </w:rPr>
              <w:t>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989900.00</w:t>
            </w:r>
          </w:p>
        </w:tc>
        <w:tc>
          <w:tcPr>
            <w:tcW w:w="1033"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其中：</w:t>
            </w:r>
            <w:r>
              <w:rPr>
                <w:rFonts w:hint="eastAsia" w:ascii="宋体" w:hAnsi="宋体" w:eastAsia="宋体" w:cs="宋体"/>
                <w:i w:val="0"/>
                <w:iCs w:val="0"/>
                <w:color w:val="auto"/>
                <w:kern w:val="0"/>
                <w:sz w:val="20"/>
                <w:szCs w:val="20"/>
                <w:highlight w:val="none"/>
                <w:u w:val="single"/>
                <w:lang w:val="en-US" w:eastAsia="zh-CN" w:bidi="ar"/>
              </w:rPr>
              <w:t>110kV桥兴站扩建工程</w:t>
            </w:r>
            <w:r>
              <w:rPr>
                <w:rFonts w:hint="eastAsia" w:hAnsi="宋体"/>
                <w:color w:val="auto"/>
                <w:highlight w:val="none"/>
                <w:u w:val="single"/>
              </w:rPr>
              <w:t>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eastAsia="宋体" w:cs="宋体"/>
                <w:i w:val="0"/>
                <w:iCs w:val="0"/>
                <w:color w:val="auto"/>
                <w:kern w:val="0"/>
                <w:sz w:val="20"/>
                <w:szCs w:val="20"/>
                <w:highlight w:val="none"/>
                <w:u w:val="none"/>
                <w:lang w:val="en-US" w:eastAsia="zh-CN" w:bidi="ar"/>
              </w:rPr>
              <w:t>124900</w:t>
            </w:r>
            <w:r>
              <w:rPr>
                <w:rFonts w:hint="eastAsia" w:ascii="宋体" w:hAnsi="宋体" w:cs="宋体"/>
                <w:i w:val="0"/>
                <w:iCs w:val="0"/>
                <w:color w:val="auto"/>
                <w:kern w:val="0"/>
                <w:sz w:val="20"/>
                <w:szCs w:val="20"/>
                <w:highlight w:val="none"/>
                <w:u w:val="none"/>
                <w:lang w:val="en-US" w:eastAsia="zh-CN" w:bidi="ar"/>
              </w:rPr>
              <w:t>.00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int="eastAsia" w:hAnsi="宋体"/>
                <w:color w:val="auto"/>
                <w:highlight w:val="none"/>
                <w:u w:val="single"/>
              </w:rPr>
            </w:pPr>
            <w:r>
              <w:rPr>
                <w:rFonts w:hint="eastAsia" w:ascii="宋体" w:hAnsi="宋体" w:eastAsia="宋体" w:cs="宋体"/>
                <w:i w:val="0"/>
                <w:iCs w:val="0"/>
                <w:color w:val="auto"/>
                <w:kern w:val="0"/>
                <w:sz w:val="20"/>
                <w:szCs w:val="20"/>
                <w:highlight w:val="none"/>
                <w:u w:val="single"/>
                <w:lang w:val="en-US" w:eastAsia="zh-CN" w:bidi="ar"/>
              </w:rPr>
              <w:t>对侧110kV广场站工程</w:t>
            </w:r>
            <w:r>
              <w:rPr>
                <w:rFonts w:hint="eastAsia" w:hAnsi="宋体"/>
                <w:color w:val="auto"/>
                <w:highlight w:val="none"/>
                <w:u w:val="single"/>
              </w:rPr>
              <w:t>监理</w:t>
            </w:r>
          </w:p>
        </w:tc>
        <w:tc>
          <w:tcPr>
            <w:tcW w:w="1519" w:type="dxa"/>
            <w:noWrap w:val="0"/>
            <w:vAlign w:val="center"/>
          </w:tcPr>
          <w:p>
            <w:pPr>
              <w:tabs>
                <w:tab w:val="left" w:pos="900"/>
              </w:tabs>
              <w:snapToGrid w:val="0"/>
              <w:spacing w:before="60" w:after="120"/>
              <w:ind w:right="-24"/>
              <w:jc w:val="center"/>
              <w:rPr>
                <w:rFonts w:hint="default" w:ascii="宋体" w:hAnsi="宋体"/>
                <w:color w:val="auto"/>
                <w:highlight w:val="none"/>
                <w:lang w:val="en-US" w:eastAsia="zh-CN"/>
              </w:rPr>
            </w:pPr>
            <w:r>
              <w:rPr>
                <w:rFonts w:hint="eastAsia" w:ascii="宋体" w:hAnsi="宋体"/>
                <w:color w:val="auto"/>
                <w:highlight w:val="none"/>
                <w:lang w:val="en-US" w:eastAsia="zh-CN"/>
              </w:rPr>
              <w:t>2900.00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ascii="宋体" w:hAnsi="宋体" w:eastAsia="宋体" w:cs="宋体"/>
                <w:i w:val="0"/>
                <w:iCs w:val="0"/>
                <w:color w:val="auto"/>
                <w:kern w:val="0"/>
                <w:sz w:val="20"/>
                <w:szCs w:val="20"/>
                <w:highlight w:val="none"/>
                <w:u w:val="single"/>
                <w:lang w:val="en-US" w:eastAsia="zh-CN" w:bidi="ar"/>
              </w:rPr>
              <w:t>110kV电缆线路工程</w:t>
            </w:r>
            <w:r>
              <w:rPr>
                <w:rFonts w:hint="eastAsia" w:hAnsi="宋体"/>
                <w:color w:val="auto"/>
                <w:highlight w:val="none"/>
                <w:u w:val="single"/>
              </w:rPr>
              <w:t>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862100.00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2</w:t>
            </w: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ascii="宋体" w:hAnsi="宋体"/>
                <w:color w:val="auto"/>
                <w:highlight w:val="none"/>
              </w:rPr>
            </w:pPr>
            <w:r>
              <w:rPr>
                <w:rFonts w:hint="eastAsia" w:ascii="宋体" w:hAnsi="宋体" w:eastAsia="宋体" w:cs="宋体"/>
                <w:color w:val="auto"/>
                <w:highlight w:val="none"/>
                <w:u w:val="single"/>
                <w:lang w:val="en-US" w:eastAsia="zh-CN"/>
              </w:rPr>
              <w:t>110</w:t>
            </w:r>
            <w:r>
              <w:rPr>
                <w:rFonts w:hint="eastAsia" w:hAnsi="宋体" w:eastAsia="宋体" w:cs="Times New Roman"/>
                <w:color w:val="auto"/>
                <w:highlight w:val="none"/>
                <w:u w:val="single"/>
                <w:lang w:val="en-US" w:eastAsia="zh-CN"/>
              </w:rPr>
              <w:t>千伏桥兴扩建主变工程</w:t>
            </w:r>
            <w:r>
              <w:rPr>
                <w:rFonts w:hint="eastAsia" w:hAnsi="宋体"/>
                <w:color w:val="auto"/>
                <w:highlight w:val="none"/>
                <w:u w:val="single"/>
              </w:rPr>
              <w:t>（通信部分）监理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8000.00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其中：</w:t>
            </w:r>
            <w:r>
              <w:rPr>
                <w:rFonts w:hint="eastAsia" w:ascii="宋体" w:hAnsi="宋体" w:eastAsia="宋体" w:cs="宋体"/>
                <w:i w:val="0"/>
                <w:iCs w:val="0"/>
                <w:color w:val="auto"/>
                <w:kern w:val="0"/>
                <w:sz w:val="20"/>
                <w:szCs w:val="20"/>
                <w:highlight w:val="none"/>
                <w:u w:val="single"/>
                <w:lang w:val="en-US" w:eastAsia="zh-CN" w:bidi="ar"/>
              </w:rPr>
              <w:t>配套通信设备工程</w:t>
            </w:r>
            <w:r>
              <w:rPr>
                <w:rFonts w:hint="eastAsia" w:hAnsi="宋体"/>
                <w:color w:val="auto"/>
                <w:highlight w:val="none"/>
                <w:u w:val="single"/>
              </w:rPr>
              <w:t>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3500.00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2242" w:type="dxa"/>
            <w:tcBorders>
              <w:top w:val="single" w:color="auto" w:sz="4" w:space="0"/>
              <w:bottom w:val="single" w:color="auto" w:sz="4" w:space="0"/>
            </w:tcBorders>
            <w:noWrap w:val="0"/>
            <w:vAlign w:val="center"/>
          </w:tcPr>
          <w:p>
            <w:pPr>
              <w:tabs>
                <w:tab w:val="left" w:pos="900"/>
              </w:tabs>
              <w:snapToGrid w:val="0"/>
              <w:spacing w:before="60" w:after="120"/>
              <w:ind w:right="-24"/>
              <w:jc w:val="left"/>
              <w:rPr>
                <w:rFonts w:hAnsi="宋体"/>
                <w:color w:val="auto"/>
                <w:highlight w:val="none"/>
                <w:u w:val="single"/>
              </w:rPr>
            </w:pPr>
            <w:r>
              <w:rPr>
                <w:rFonts w:hint="eastAsia" w:hAnsi="宋体"/>
                <w:color w:val="auto"/>
                <w:highlight w:val="none"/>
                <w:u w:val="single"/>
              </w:rPr>
              <w:t>配套通信光缆工程监理</w:t>
            </w:r>
          </w:p>
        </w:tc>
        <w:tc>
          <w:tcPr>
            <w:tcW w:w="1519" w:type="dxa"/>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4500.00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085" w:type="dxa"/>
            <w:gridSpan w:val="2"/>
            <w:tcBorders>
              <w:top w:val="single" w:color="auto" w:sz="4" w:space="0"/>
              <w:bottom w:val="single" w:color="auto" w:sz="4" w:space="0"/>
            </w:tcBorders>
            <w:noWrap w:val="0"/>
            <w:vAlign w:val="center"/>
          </w:tcPr>
          <w:p>
            <w:pPr>
              <w:tabs>
                <w:tab w:val="left" w:pos="900"/>
              </w:tabs>
              <w:snapToGrid w:val="0"/>
              <w:spacing w:before="60" w:after="120"/>
              <w:ind w:right="-24"/>
              <w:jc w:val="center"/>
              <w:rPr>
                <w:rFonts w:hint="default" w:hAnsi="宋体" w:eastAsia="宋体"/>
                <w:color w:val="auto"/>
                <w:highlight w:val="none"/>
                <w:u w:val="none"/>
                <w:lang w:val="en-US" w:eastAsia="zh-CN"/>
              </w:rPr>
            </w:pPr>
            <w:r>
              <w:rPr>
                <w:rFonts w:hint="eastAsia" w:hAnsi="宋体" w:cs="Times New Roman"/>
                <w:b/>
                <w:bCs/>
                <w:color w:val="auto"/>
                <w:sz w:val="21"/>
                <w:szCs w:val="21"/>
                <w:highlight w:val="none"/>
                <w:u w:val="single"/>
                <w:lang w:val="en-US" w:eastAsia="zh-CN"/>
              </w:rPr>
              <w:t>合计（小写）</w:t>
            </w:r>
          </w:p>
        </w:tc>
        <w:tc>
          <w:tcPr>
            <w:tcW w:w="1519" w:type="dxa"/>
            <w:noWrap w:val="0"/>
            <w:vAlign w:val="center"/>
          </w:tcPr>
          <w:p>
            <w:pPr>
              <w:tabs>
                <w:tab w:val="left" w:pos="900"/>
              </w:tabs>
              <w:snapToGrid w:val="0"/>
              <w:spacing w:before="60" w:after="120"/>
              <w:ind w:right="-24"/>
              <w:jc w:val="center"/>
              <w:rPr>
                <w:rFonts w:hint="default" w:ascii="宋体" w:hAnsi="宋体"/>
                <w:color w:val="auto"/>
                <w:highlight w:val="none"/>
                <w:lang w:val="en-US" w:eastAsia="zh-CN"/>
              </w:rPr>
            </w:pPr>
            <w:r>
              <w:rPr>
                <w:rFonts w:hint="eastAsia" w:ascii="宋体" w:hAnsi="宋体"/>
                <w:color w:val="auto"/>
                <w:highlight w:val="none"/>
                <w:lang w:val="en-US" w:eastAsia="zh-CN"/>
              </w:rPr>
              <w:t>997900.00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3"/>
        <w:rPr>
          <w:rFonts w:hint="eastAsia"/>
          <w:color w:val="auto"/>
          <w:highlight w:val="none"/>
          <w:lang w:val="en-US" w:eastAsia="zh-CN"/>
        </w:rPr>
      </w:pPr>
    </w:p>
    <w:p>
      <w:pPr>
        <w:rPr>
          <w:rFonts w:hint="eastAsia"/>
          <w:color w:val="auto"/>
          <w:highlight w:val="none"/>
          <w:lang w:val="en-US" w:eastAsia="zh-CN"/>
        </w:rPr>
      </w:pPr>
    </w:p>
    <w:p>
      <w:pPr>
        <w:pStyle w:val="7"/>
        <w:ind w:firstLine="240" w:firstLineChars="100"/>
        <w:rPr>
          <w:rFonts w:hint="eastAsia" w:ascii="宋体" w:hAnsi="宋体" w:eastAsia="宋体" w:cs="宋体"/>
          <w:color w:val="auto"/>
          <w:kern w:val="2"/>
          <w:sz w:val="24"/>
          <w:szCs w:val="24"/>
          <w:highlight w:val="none"/>
          <w:u w:val="none"/>
          <w:lang w:val="en-US" w:eastAsia="zh-CN" w:bidi="ar-SA"/>
        </w:rPr>
      </w:pPr>
    </w:p>
    <w:p>
      <w:pPr>
        <w:pStyle w:val="7"/>
        <w:spacing w:line="240" w:lineRule="auto"/>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8"/>
        <w:spacing w:line="240" w:lineRule="auto"/>
        <w:ind w:firstLine="480" w:firstLineChars="200"/>
        <w:jc w:val="left"/>
        <w:rPr>
          <w:rFonts w:hint="default" w:ascii="宋体" w:hAnsi="宋体" w:eastAsia="宋体" w:cs="宋体"/>
          <w:b w:val="0"/>
          <w:bCs w:val="0"/>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color w:val="auto"/>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 xml:space="preserve">按中标结果及合同结算条款进行结算。       </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FE"/>
      </w:r>
      <w:r>
        <w:rPr>
          <w:rFonts w:hint="eastAsia"/>
          <w:color w:val="auto"/>
          <w:sz w:val="24"/>
          <w:szCs w:val="24"/>
          <w:highlight w:val="none"/>
          <w:lang w:eastAsia="zh-CN"/>
        </w:rPr>
        <w:t>不允许分包</w:t>
      </w:r>
    </w:p>
    <w:p>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A8"/>
      </w:r>
      <w:r>
        <w:rPr>
          <w:rFonts w:hint="eastAsia"/>
          <w:color w:val="auto"/>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（二）符合图纸及技术文件的要求。</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en-US" w:eastAsia="zh-CN"/>
        </w:rPr>
      </w:pPr>
      <w:r>
        <w:rPr>
          <w:rFonts w:hint="eastAsia" w:asciiTheme="minorEastAsia" w:hAnsiTheme="minorEastAsia" w:eastAsiaTheme="minorEastAsia" w:cstheme="minorEastAsia"/>
          <w:i w:val="0"/>
          <w:iCs/>
          <w:color w:val="auto"/>
          <w:kern w:val="0"/>
          <w:sz w:val="24"/>
          <w:szCs w:val="24"/>
          <w:highlight w:val="none"/>
          <w:lang w:val="en-US" w:eastAsia="zh-CN"/>
        </w:rPr>
        <w:t>（三）严格执行以下管理要求：</w:t>
      </w:r>
    </w:p>
    <w:p>
      <w:pPr>
        <w:pStyle w:val="2"/>
        <w:keepNext w:val="0"/>
        <w:keepLines w:val="0"/>
        <w:pageBreakBefore w:val="0"/>
        <w:widowControl w:val="0"/>
        <w:numPr>
          <w:ilvl w:val="0"/>
          <w:numId w:val="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2"/>
        <w:keepNext w:val="0"/>
        <w:keepLines w:val="0"/>
        <w:pageBreakBefore w:val="0"/>
        <w:widowControl w:val="0"/>
        <w:numPr>
          <w:ilvl w:val="0"/>
          <w:numId w:val="3"/>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bookmarkStart w:id="3" w:name="_GoBack"/>
      <w:bookmarkEnd w:id="3"/>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4122DDE1"/>
    <w:multiLevelType w:val="singleLevel"/>
    <w:tmpl w:val="4122DDE1"/>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270A5"/>
    <w:rsid w:val="007A4AD7"/>
    <w:rsid w:val="034C42F7"/>
    <w:rsid w:val="03F1316B"/>
    <w:rsid w:val="04A24F71"/>
    <w:rsid w:val="076F3B3B"/>
    <w:rsid w:val="07CA37DF"/>
    <w:rsid w:val="07CC3833"/>
    <w:rsid w:val="0BC07002"/>
    <w:rsid w:val="0BD30473"/>
    <w:rsid w:val="0E2F4C02"/>
    <w:rsid w:val="0E3616E0"/>
    <w:rsid w:val="0E937FF7"/>
    <w:rsid w:val="0F81532F"/>
    <w:rsid w:val="107144D2"/>
    <w:rsid w:val="108A5879"/>
    <w:rsid w:val="116419AD"/>
    <w:rsid w:val="11794537"/>
    <w:rsid w:val="11DF6CFE"/>
    <w:rsid w:val="13383335"/>
    <w:rsid w:val="14440D4B"/>
    <w:rsid w:val="14B666F3"/>
    <w:rsid w:val="15056A61"/>
    <w:rsid w:val="182633AB"/>
    <w:rsid w:val="18E57496"/>
    <w:rsid w:val="1A2D5CFF"/>
    <w:rsid w:val="1A386933"/>
    <w:rsid w:val="1A4F176B"/>
    <w:rsid w:val="1A912F72"/>
    <w:rsid w:val="1B1F3908"/>
    <w:rsid w:val="1B663F82"/>
    <w:rsid w:val="1C2D4629"/>
    <w:rsid w:val="1C43636C"/>
    <w:rsid w:val="1D904223"/>
    <w:rsid w:val="1F653C49"/>
    <w:rsid w:val="1F6C0D31"/>
    <w:rsid w:val="1FF914D4"/>
    <w:rsid w:val="20735046"/>
    <w:rsid w:val="216F4D5B"/>
    <w:rsid w:val="23B738BA"/>
    <w:rsid w:val="24E67795"/>
    <w:rsid w:val="24F737D8"/>
    <w:rsid w:val="25100685"/>
    <w:rsid w:val="26A73075"/>
    <w:rsid w:val="2CA17C08"/>
    <w:rsid w:val="2DDF66E3"/>
    <w:rsid w:val="2FF65FF8"/>
    <w:rsid w:val="300D195C"/>
    <w:rsid w:val="30BF37B5"/>
    <w:rsid w:val="31C955A9"/>
    <w:rsid w:val="33B200AF"/>
    <w:rsid w:val="33E61BE2"/>
    <w:rsid w:val="361736AD"/>
    <w:rsid w:val="36D200CF"/>
    <w:rsid w:val="379951F8"/>
    <w:rsid w:val="38382DC3"/>
    <w:rsid w:val="38893D8D"/>
    <w:rsid w:val="38DE045C"/>
    <w:rsid w:val="3A546240"/>
    <w:rsid w:val="3BF24D81"/>
    <w:rsid w:val="3BFE7BEA"/>
    <w:rsid w:val="3C4750A3"/>
    <w:rsid w:val="3C4A35F1"/>
    <w:rsid w:val="3E664B6D"/>
    <w:rsid w:val="3E8171FE"/>
    <w:rsid w:val="3ED7087B"/>
    <w:rsid w:val="3F141BFC"/>
    <w:rsid w:val="444D481C"/>
    <w:rsid w:val="44982260"/>
    <w:rsid w:val="44D414C9"/>
    <w:rsid w:val="46472D5E"/>
    <w:rsid w:val="46920E64"/>
    <w:rsid w:val="496A657E"/>
    <w:rsid w:val="49843C09"/>
    <w:rsid w:val="4B3A1BDA"/>
    <w:rsid w:val="4BC66CF0"/>
    <w:rsid w:val="4BEC00F3"/>
    <w:rsid w:val="4BF83760"/>
    <w:rsid w:val="4C8349B8"/>
    <w:rsid w:val="520D6E5F"/>
    <w:rsid w:val="52B44FC7"/>
    <w:rsid w:val="53115540"/>
    <w:rsid w:val="55C3156A"/>
    <w:rsid w:val="5782183A"/>
    <w:rsid w:val="57BD355E"/>
    <w:rsid w:val="59A5419F"/>
    <w:rsid w:val="5B0320E2"/>
    <w:rsid w:val="5B8B11A7"/>
    <w:rsid w:val="5B9E2EC4"/>
    <w:rsid w:val="608606DE"/>
    <w:rsid w:val="610E324A"/>
    <w:rsid w:val="61F31EFD"/>
    <w:rsid w:val="63066BC7"/>
    <w:rsid w:val="636808B8"/>
    <w:rsid w:val="63D0487B"/>
    <w:rsid w:val="64672037"/>
    <w:rsid w:val="64911DA0"/>
    <w:rsid w:val="65945D8D"/>
    <w:rsid w:val="66C35559"/>
    <w:rsid w:val="67797872"/>
    <w:rsid w:val="67D57489"/>
    <w:rsid w:val="68570F93"/>
    <w:rsid w:val="6A287B5E"/>
    <w:rsid w:val="6A2B77AE"/>
    <w:rsid w:val="6B303A1A"/>
    <w:rsid w:val="6DAA2FDF"/>
    <w:rsid w:val="6E121228"/>
    <w:rsid w:val="6FC971BF"/>
    <w:rsid w:val="70D1495F"/>
    <w:rsid w:val="70ED510D"/>
    <w:rsid w:val="74695E39"/>
    <w:rsid w:val="754C6F3B"/>
    <w:rsid w:val="75B11AFF"/>
    <w:rsid w:val="75D32619"/>
    <w:rsid w:val="765369C1"/>
    <w:rsid w:val="767D6887"/>
    <w:rsid w:val="780B6A75"/>
    <w:rsid w:val="79F83E18"/>
    <w:rsid w:val="7A262145"/>
    <w:rsid w:val="7BEC3F2B"/>
    <w:rsid w:val="7D0F76D8"/>
    <w:rsid w:val="7E3420E0"/>
    <w:rsid w:val="7E535DCD"/>
    <w:rsid w:val="7E9A7173"/>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2025-09-10T03:38:46Z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893CEE922433406D9BF1933BB8E07054</vt:lpwstr>
  </property>
</Properties>
</file>