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220千伏白鹅潭输变电工程（第一分册）监理</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pPr>
        <w:pStyle w:val="10"/>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3"/>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red"/>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广供电基〔2025〕17号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red"/>
                <w:u w:val="none"/>
                <w:vertAlign w:val="baseline"/>
                <w:lang w:val="en-US" w:eastAsia="zh-CN" w:bidi="ar-SA"/>
              </w:rPr>
            </w:pPr>
            <w:r>
              <w:rPr>
                <w:rFonts w:ascii="宋体" w:hAnsi="宋体" w:eastAsia="宋体" w:cs="宋体"/>
                <w:sz w:val="24"/>
                <w:szCs w:val="24"/>
              </w:rPr>
              <w:t>穗发改核准〔202</w:t>
            </w:r>
            <w:r>
              <w:rPr>
                <w:rFonts w:hint="eastAsia" w:hAnsi="宋体" w:cs="宋体"/>
                <w:sz w:val="24"/>
                <w:szCs w:val="24"/>
                <w:lang w:val="en-US" w:eastAsia="zh-CN"/>
              </w:rPr>
              <w:t>5</w:t>
            </w:r>
            <w:r>
              <w:rPr>
                <w:rFonts w:ascii="宋体" w:hAnsi="宋体" w:eastAsia="宋体" w:cs="宋体"/>
                <w:sz w:val="24"/>
                <w:szCs w:val="24"/>
              </w:rPr>
              <w:t>〕1</w:t>
            </w:r>
            <w:r>
              <w:rPr>
                <w:rFonts w:hint="eastAsia" w:hAnsi="宋体" w:cs="宋体"/>
                <w:sz w:val="24"/>
                <w:szCs w:val="24"/>
                <w:lang w:val="en-US" w:eastAsia="zh-CN"/>
              </w:rPr>
              <w:t>1</w:t>
            </w:r>
            <w:r>
              <w:rPr>
                <w:rFonts w:ascii="宋体" w:hAnsi="宋体" w:eastAsia="宋体" w:cs="宋体"/>
                <w:sz w:val="24"/>
                <w:szCs w:val="24"/>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red"/>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广供电资〔2025〕26号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广州市番禺区、荔湾区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eastAsia="宋体" w:asciiTheme="minorEastAsia" w:hAnsi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exact"/>
          <w:jc w:val="center"/>
        </w:trPr>
        <w:tc>
          <w:tcPr>
            <w:tcW w:w="776"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pPr>
              <w:pStyle w:val="10"/>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合同签订之日起720日历天，实际工期以开工报告、竣工报告为准</w:t>
            </w:r>
          </w:p>
        </w:tc>
      </w:tr>
    </w:tbl>
    <w:p>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pPr>
        <w:pStyle w:val="10"/>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eastAsia" w:asciiTheme="minorEastAsia" w:hAnsiTheme="minorEastAsia" w:eastAsiaTheme="minorEastAsia" w:cstheme="minorEastAsia"/>
          <w:b/>
          <w:sz w:val="24"/>
          <w:szCs w:val="24"/>
          <w:highlight w:val="none"/>
          <w:lang w:val="en-US" w:eastAsia="zh-CN"/>
        </w:rPr>
      </w:pPr>
      <w:r>
        <w:rPr>
          <w:rFonts w:hint="eastAsia" w:asciiTheme="minorEastAsia" w:hAnsiTheme="minorEastAsia" w:eastAsiaTheme="minorEastAsia" w:cstheme="minorEastAsia"/>
          <w:b/>
          <w:sz w:val="24"/>
          <w:szCs w:val="24"/>
          <w:highlight w:val="none"/>
        </w:rPr>
        <w:t>※</w:t>
      </w:r>
      <w:r>
        <w:rPr>
          <w:rFonts w:hint="eastAsia" w:asciiTheme="minorEastAsia" w:hAnsiTheme="minorEastAsia" w:eastAsiaTheme="minorEastAsia" w:cstheme="minorEastAsia"/>
          <w:b/>
          <w:sz w:val="24"/>
          <w:szCs w:val="24"/>
          <w:highlight w:val="none"/>
          <w:lang w:eastAsia="zh-CN"/>
        </w:rPr>
        <w:t>隧道工程</w:t>
      </w:r>
    </w:p>
    <w:p>
      <w:pPr>
        <w:pStyle w:val="2"/>
        <w:ind w:left="0" w:leftChars="0" w:firstLine="480" w:firstLineChars="200"/>
        <w:rPr>
          <w:rFonts w:hint="eastAsia"/>
        </w:rPr>
      </w:pPr>
      <w:r>
        <w:rPr>
          <w:rFonts w:hint="eastAsia" w:ascii="Calibri" w:hAnsi="宋体" w:eastAsia="宋体" w:cs="Times New Roman"/>
          <w:color w:val="auto"/>
          <w:kern w:val="2"/>
          <w:sz w:val="24"/>
          <w:szCs w:val="24"/>
          <w:highlight w:val="none"/>
          <w:u w:val="single"/>
          <w:lang w:val="en-US" w:eastAsia="zh-CN" w:bidi="ar-SA"/>
        </w:rPr>
        <w:t>电力隧道隧道全长约5.08km（包含工作井长度），全线设置7个井。其中楚庭站连接段长度约437.152m，采用明挖法施工；楚庭站外段新建电力隧道长度约为4.646km（包含工作井长度），其中盾构法长度约3580.0m，顶管法长度约145.3m，明挖法长度约817.5m（不包含工作井长度）。本工程5.08km电力隧道配置风水电、支架、监控及巡检机器人系统。具体建设规模以施工图纸为准。</w:t>
      </w:r>
    </w:p>
    <w:p>
      <w:pPr>
        <w:keepNext w:val="0"/>
        <w:keepLines w:val="0"/>
        <w:pageBreakBefore w:val="0"/>
        <w:kinsoku/>
        <w:wordWrap/>
        <w:overflowPunct/>
        <w:topLinePunct w:val="0"/>
        <w:autoSpaceDE/>
        <w:autoSpaceDN/>
        <w:bidi w:val="0"/>
        <w:adjustRightInd/>
        <w:snapToGrid/>
        <w:spacing w:before="157" w:beforeLines="50" w:after="157" w:afterLines="50"/>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二、招标采购范围</w:t>
      </w:r>
    </w:p>
    <w:p>
      <w:pPr>
        <w:keepNext w:val="0"/>
        <w:keepLines w:val="0"/>
        <w:pageBreakBefore w:val="0"/>
        <w:shd w:val="clear" w:color="auto" w:fill="auto"/>
        <w:kinsoku/>
        <w:wordWrap/>
        <w:overflowPunct/>
        <w:topLinePunct w:val="0"/>
        <w:autoSpaceDE/>
        <w:autoSpaceDN/>
        <w:bidi w:val="0"/>
        <w:adjustRightInd/>
        <w:snapToGrid/>
        <w:spacing w:before="157" w:beforeLines="50" w:after="157" w:afterLines="50"/>
        <w:ind w:firstLine="480" w:firstLineChars="200"/>
        <w:textAlignment w:val="auto"/>
        <w:rPr>
          <w:rFonts w:hint="eastAsia" w:hAnsi="宋体" w:eastAsia="宋体" w:cs="Times New Roman"/>
          <w:color w:val="auto"/>
          <w:sz w:val="24"/>
          <w:szCs w:val="24"/>
          <w:highlight w:val="none"/>
          <w:u w:val="single"/>
        </w:rPr>
      </w:pPr>
      <w:r>
        <w:rPr>
          <w:rFonts w:hint="eastAsia" w:hAnsi="宋体" w:eastAsia="宋体" w:cs="Times New Roman"/>
          <w:color w:val="auto"/>
          <w:sz w:val="24"/>
          <w:szCs w:val="24"/>
          <w:highlight w:val="none"/>
          <w:u w:val="single"/>
        </w:rPr>
        <w:t>勘察设计、施工准备（含三通一平）、施工（含工程本体建设以及除本体建设外发生的相关施工活动，除本体建设外相关施工包括但不限于路面修复（含市政路面、公路等）、交通疏解、跨（穿）越铁路/公路、管线迁移、绿化迁移、林木砍伐等）、竣工结算、缺陷责任期、</w:t>
      </w:r>
      <w:r>
        <w:rPr>
          <w:rFonts w:hint="eastAsia" w:hAnsi="宋体" w:cs="Times New Roman"/>
          <w:color w:val="auto"/>
          <w:sz w:val="24"/>
          <w:szCs w:val="24"/>
          <w:highlight w:val="none"/>
          <w:u w:val="single"/>
          <w:lang w:val="en-US" w:eastAsia="zh-CN"/>
        </w:rPr>
        <w:t>电子化移交、</w:t>
      </w:r>
      <w:r>
        <w:rPr>
          <w:rFonts w:hint="eastAsia" w:hAnsi="宋体" w:eastAsia="宋体" w:cs="Times New Roman"/>
          <w:color w:val="auto"/>
          <w:sz w:val="24"/>
          <w:szCs w:val="24"/>
          <w:highlight w:val="none"/>
          <w:u w:val="single"/>
        </w:rPr>
        <w:t>达标投产创优</w:t>
      </w:r>
      <w:r>
        <w:rPr>
          <w:rFonts w:hint="eastAsia" w:hAnsi="宋体" w:cs="Times New Roman"/>
          <w:color w:val="auto"/>
          <w:sz w:val="24"/>
          <w:szCs w:val="24"/>
          <w:highlight w:val="none"/>
          <w:u w:val="single"/>
          <w:lang w:val="en-US" w:eastAsia="zh-CN"/>
        </w:rPr>
        <w:t>的</w:t>
      </w:r>
      <w:r>
        <w:rPr>
          <w:rFonts w:hint="eastAsia" w:hAnsi="宋体" w:eastAsia="宋体" w:cs="Times New Roman"/>
          <w:color w:val="auto"/>
          <w:sz w:val="24"/>
          <w:szCs w:val="24"/>
          <w:highlight w:val="none"/>
          <w:u w:val="single"/>
          <w:lang w:eastAsia="zh-CN"/>
        </w:rPr>
        <w:t>全过程监理工作</w:t>
      </w:r>
      <w:r>
        <w:rPr>
          <w:rFonts w:hint="eastAsia" w:hAnsi="宋体" w:cs="Times New Roman"/>
          <w:color w:val="auto"/>
          <w:sz w:val="24"/>
          <w:szCs w:val="24"/>
          <w:highlight w:val="none"/>
          <w:u w:val="single"/>
          <w:lang w:eastAsia="zh-CN"/>
        </w:rPr>
        <w:t>，</w:t>
      </w:r>
      <w:r>
        <w:rPr>
          <w:rFonts w:hint="eastAsia" w:hAnsi="宋体" w:eastAsia="宋体" w:cs="Times New Roman"/>
          <w:color w:val="auto"/>
          <w:sz w:val="24"/>
          <w:szCs w:val="24"/>
          <w:highlight w:val="none"/>
          <w:u w:val="single"/>
          <w:lang w:eastAsia="zh-CN"/>
        </w:rPr>
        <w:t>以及初步设计概算（或施工图预算）中监理计费范围以外但与工程相关的监理工作。</w:t>
      </w:r>
      <w:r>
        <w:rPr>
          <w:rFonts w:hint="eastAsia" w:hAnsi="宋体" w:eastAsia="宋体" w:cs="Times New Roman"/>
          <w:color w:val="auto"/>
          <w:sz w:val="24"/>
          <w:szCs w:val="24"/>
          <w:highlight w:val="none"/>
          <w:u w:val="single"/>
        </w:rPr>
        <w:t>按照建设单位要求使用工程信息管理系统。</w:t>
      </w:r>
    </w:p>
    <w:p>
      <w:pPr>
        <w:rPr>
          <w:rFonts w:hint="eastAsia"/>
          <w:highlight w:val="none"/>
          <w:lang w:val="en-US" w:eastAsia="zh-CN"/>
        </w:rPr>
      </w:pPr>
    </w:p>
    <w:p>
      <w:pPr>
        <w:pStyle w:val="10"/>
        <w:rPr>
          <w:rFonts w:hint="eastAsia"/>
          <w:highlight w:val="none"/>
          <w:lang w:val="en-US" w:eastAsia="zh-CN"/>
        </w:rPr>
      </w:pPr>
    </w:p>
    <w:p>
      <w:pPr>
        <w:pStyle w:val="10"/>
        <w:rPr>
          <w:rFonts w:hint="eastAsia"/>
          <w:highlight w:val="none"/>
          <w:lang w:val="en-US" w:eastAsia="zh-CN"/>
        </w:rPr>
      </w:pPr>
    </w:p>
    <w:p>
      <w:pPr>
        <w:pStyle w:val="10"/>
        <w:rPr>
          <w:rFonts w:hint="eastAsia"/>
          <w:highlight w:val="none"/>
          <w:lang w:val="en-US" w:eastAsia="zh-CN"/>
        </w:rPr>
      </w:pP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w:t>
      </w:r>
    </w:p>
    <w:p>
      <w:pPr>
        <w:pStyle w:val="3"/>
        <w:rPr>
          <w:rFonts w:hint="eastAsia"/>
          <w:highlight w:val="none"/>
          <w:lang w:val="en-US" w:eastAsia="zh-CN"/>
        </w:rPr>
      </w:pP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681"/>
        <w:gridCol w:w="1817"/>
        <w:gridCol w:w="1235"/>
        <w:gridCol w:w="1864"/>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08" w:type="dxa"/>
            <w:tcBorders>
              <w:tl2br w:val="nil"/>
              <w:tr2bl w:val="nil"/>
            </w:tcBorders>
            <w:noWrap w:val="0"/>
            <w:vAlign w:val="center"/>
          </w:tcPr>
          <w:p>
            <w:pPr>
              <w:tabs>
                <w:tab w:val="left" w:pos="900"/>
              </w:tabs>
              <w:snapToGrid w:val="0"/>
              <w:ind w:right="-24"/>
              <w:jc w:val="center"/>
              <w:rPr>
                <w:rFonts w:ascii="宋体" w:hAnsi="宋体"/>
                <w:color w:val="auto"/>
                <w:highlight w:val="none"/>
              </w:rPr>
            </w:pPr>
            <w:r>
              <w:rPr>
                <w:rFonts w:hint="eastAsia" w:ascii="宋体" w:hAnsi="宋体"/>
                <w:color w:val="auto"/>
                <w:highlight w:val="none"/>
              </w:rPr>
              <w:t>序号</w:t>
            </w:r>
          </w:p>
        </w:tc>
        <w:tc>
          <w:tcPr>
            <w:tcW w:w="2681" w:type="dxa"/>
            <w:tcBorders>
              <w:tl2br w:val="nil"/>
              <w:tr2bl w:val="nil"/>
            </w:tcBorders>
            <w:noWrap w:val="0"/>
            <w:vAlign w:val="center"/>
          </w:tcPr>
          <w:p>
            <w:pPr>
              <w:tabs>
                <w:tab w:val="left" w:pos="900"/>
              </w:tabs>
              <w:snapToGrid w:val="0"/>
              <w:ind w:left="282" w:right="-24"/>
              <w:jc w:val="center"/>
              <w:rPr>
                <w:rFonts w:ascii="宋体" w:hAnsi="宋体"/>
                <w:color w:val="auto"/>
                <w:highlight w:val="none"/>
              </w:rPr>
            </w:pPr>
            <w:r>
              <w:rPr>
                <w:rFonts w:hint="eastAsia" w:ascii="宋体" w:hAnsi="宋体"/>
                <w:color w:val="auto"/>
                <w:highlight w:val="none"/>
              </w:rPr>
              <w:t>费用名称</w:t>
            </w:r>
          </w:p>
        </w:tc>
        <w:tc>
          <w:tcPr>
            <w:tcW w:w="1817" w:type="dxa"/>
            <w:tcBorders>
              <w:tl2br w:val="nil"/>
              <w:tr2bl w:val="nil"/>
            </w:tcBorders>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最高投标限价(元)</w:t>
            </w:r>
          </w:p>
        </w:tc>
        <w:tc>
          <w:tcPr>
            <w:tcW w:w="1235" w:type="dxa"/>
            <w:tcBorders>
              <w:tl2br w:val="nil"/>
              <w:tr2bl w:val="nil"/>
            </w:tcBorders>
            <w:noWrap w:val="0"/>
            <w:vAlign w:val="center"/>
          </w:tcPr>
          <w:p>
            <w:pPr>
              <w:tabs>
                <w:tab w:val="left" w:pos="900"/>
              </w:tabs>
              <w:snapToGrid w:val="0"/>
              <w:spacing w:before="120" w:after="120"/>
              <w:ind w:right="-24"/>
              <w:jc w:val="center"/>
              <w:rPr>
                <w:rFonts w:hint="eastAsia" w:ascii="宋体" w:hAnsi="宋体" w:eastAsia="宋体"/>
                <w:b/>
                <w:color w:val="auto"/>
                <w:highlight w:val="none"/>
                <w:lang w:eastAsia="zh-CN"/>
              </w:rPr>
            </w:pPr>
            <w:r>
              <w:rPr>
                <w:rFonts w:hint="eastAsia" w:ascii="宋体" w:hAnsi="宋体"/>
                <w:b w:val="0"/>
                <w:bCs/>
                <w:color w:val="auto"/>
                <w:highlight w:val="none"/>
              </w:rPr>
              <w:t>投标下浮率</w:t>
            </w:r>
          </w:p>
        </w:tc>
        <w:tc>
          <w:tcPr>
            <w:tcW w:w="1864" w:type="dxa"/>
            <w:tcBorders>
              <w:tl2br w:val="nil"/>
              <w:tr2bl w:val="nil"/>
            </w:tcBorders>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s="宋体"/>
                <w:color w:val="auto"/>
                <w:kern w:val="0"/>
                <w:szCs w:val="21"/>
                <w:highlight w:val="none"/>
                <w:lang w:bidi="ar"/>
              </w:rPr>
              <w:t>投标报价</w:t>
            </w:r>
            <w:r>
              <w:rPr>
                <w:rFonts w:hint="eastAsia" w:ascii="宋体" w:hAnsi="宋体"/>
                <w:color w:val="auto"/>
                <w:highlight w:val="none"/>
              </w:rPr>
              <w:t>(元)</w:t>
            </w:r>
          </w:p>
        </w:tc>
        <w:tc>
          <w:tcPr>
            <w:tcW w:w="1357" w:type="dxa"/>
            <w:tcBorders>
              <w:tl2br w:val="nil"/>
              <w:tr2bl w:val="nil"/>
            </w:tcBorders>
            <w:noWrap w:val="0"/>
            <w:vAlign w:val="center"/>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08" w:type="dxa"/>
            <w:tcBorders>
              <w:tl2br w:val="nil"/>
              <w:tr2bl w:val="nil"/>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olor w:val="auto"/>
                <w:highlight w:val="none"/>
              </w:rPr>
              <w:t>1</w:t>
            </w:r>
          </w:p>
        </w:tc>
        <w:tc>
          <w:tcPr>
            <w:tcW w:w="2681" w:type="dxa"/>
            <w:tcBorders>
              <w:tl2br w:val="nil"/>
              <w:tr2bl w:val="nil"/>
            </w:tcBorders>
            <w:noWrap w:val="0"/>
            <w:vAlign w:val="center"/>
          </w:tcPr>
          <w:p>
            <w:pPr>
              <w:tabs>
                <w:tab w:val="left" w:pos="900"/>
              </w:tabs>
              <w:snapToGrid w:val="0"/>
              <w:spacing w:before="60" w:after="120"/>
              <w:ind w:right="-24"/>
              <w:jc w:val="left"/>
              <w:rPr>
                <w:rFonts w:hint="default" w:ascii="宋体" w:hAnsi="宋体"/>
                <w:color w:val="auto"/>
                <w:highlight w:val="none"/>
                <w:lang w:val="en-US"/>
              </w:rPr>
            </w:pPr>
            <w:r>
              <w:rPr>
                <w:rFonts w:hint="eastAsia" w:ascii="宋体" w:hAnsi="宋体" w:eastAsia="宋体" w:cs="宋体"/>
                <w:i w:val="0"/>
                <w:iCs w:val="0"/>
                <w:color w:val="auto"/>
                <w:kern w:val="0"/>
                <w:sz w:val="21"/>
                <w:szCs w:val="21"/>
                <w:u w:val="none"/>
                <w:lang w:val="en-US" w:eastAsia="zh-CN" w:bidi="ar"/>
              </w:rPr>
              <w:t>220千伏白鹅潭输变电工程（第一分册）监理</w:t>
            </w:r>
          </w:p>
        </w:tc>
        <w:tc>
          <w:tcPr>
            <w:tcW w:w="1817" w:type="dxa"/>
            <w:tcBorders>
              <w:tl2br w:val="nil"/>
              <w:tr2bl w:val="nil"/>
            </w:tcBorders>
            <w:noWrap w:val="0"/>
            <w:vAlign w:val="center"/>
          </w:tcPr>
          <w:p>
            <w:pPr>
              <w:tabs>
                <w:tab w:val="left" w:pos="900"/>
              </w:tabs>
              <w:snapToGrid w:val="0"/>
              <w:spacing w:before="60" w:after="120"/>
              <w:ind w:right="-24"/>
              <w:jc w:val="center"/>
              <w:rPr>
                <w:rFonts w:hint="default" w:ascii="宋体" w:hAnsi="宋体" w:eastAsia="宋体"/>
                <w:color w:val="auto"/>
                <w:highlight w:val="none"/>
                <w:lang w:val="en-US" w:eastAsia="zh-CN"/>
              </w:rPr>
            </w:pPr>
            <w:r>
              <w:rPr>
                <w:rFonts w:hint="eastAsia" w:ascii="宋体" w:hAnsi="宋体" w:eastAsia="宋体" w:cs="宋体"/>
                <w:i w:val="0"/>
                <w:iCs w:val="0"/>
                <w:color w:val="auto"/>
                <w:kern w:val="0"/>
                <w:sz w:val="21"/>
                <w:szCs w:val="21"/>
                <w:u w:val="none"/>
                <w:lang w:val="en-US" w:eastAsia="zh-CN" w:bidi="ar"/>
              </w:rPr>
              <w:t>7020745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14</w:t>
            </w:r>
          </w:p>
        </w:tc>
        <w:tc>
          <w:tcPr>
            <w:tcW w:w="1235" w:type="dxa"/>
            <w:vMerge w:val="restart"/>
            <w:tcBorders>
              <w:tl2br w:val="nil"/>
              <w:tr2bl w:val="nil"/>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w:t>
            </w:r>
          </w:p>
        </w:tc>
        <w:tc>
          <w:tcPr>
            <w:tcW w:w="1864" w:type="dxa"/>
            <w:tcBorders>
              <w:tl2br w:val="nil"/>
              <w:tr2bl w:val="nil"/>
            </w:tcBorders>
            <w:noWrap w:val="0"/>
            <w:vAlign w:val="center"/>
          </w:tcPr>
          <w:p>
            <w:pPr>
              <w:tabs>
                <w:tab w:val="left" w:pos="900"/>
              </w:tabs>
              <w:snapToGrid w:val="0"/>
              <w:spacing w:before="60" w:after="120"/>
              <w:ind w:right="-24"/>
              <w:jc w:val="center"/>
              <w:rPr>
                <w:rFonts w:ascii="宋体" w:hAnsi="宋体"/>
                <w:color w:val="auto"/>
                <w:highlight w:val="none"/>
              </w:rPr>
            </w:pPr>
          </w:p>
        </w:tc>
        <w:tc>
          <w:tcPr>
            <w:tcW w:w="1357" w:type="dxa"/>
            <w:tcBorders>
              <w:tl2br w:val="nil"/>
              <w:tr2bl w:val="nil"/>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689" w:type="dxa"/>
            <w:gridSpan w:val="2"/>
            <w:tcBorders>
              <w:tl2br w:val="nil"/>
              <w:tr2bl w:val="nil"/>
            </w:tcBorders>
            <w:noWrap w:val="0"/>
            <w:vAlign w:val="center"/>
          </w:tcPr>
          <w:p>
            <w:pPr>
              <w:tabs>
                <w:tab w:val="left" w:pos="900"/>
              </w:tabs>
              <w:snapToGrid w:val="0"/>
              <w:spacing w:before="60" w:after="120"/>
              <w:ind w:right="-24"/>
              <w:jc w:val="center"/>
              <w:rPr>
                <w:rFonts w:ascii="宋体" w:hAnsi="宋体"/>
                <w:b/>
                <w:color w:val="auto"/>
                <w:szCs w:val="21"/>
                <w:highlight w:val="none"/>
              </w:rPr>
            </w:pPr>
            <w:r>
              <w:rPr>
                <w:rFonts w:hint="eastAsia" w:hAnsi="宋体" w:cs="Times New Roman"/>
                <w:b/>
                <w:bCs/>
                <w:color w:val="auto"/>
                <w:sz w:val="21"/>
                <w:szCs w:val="21"/>
                <w:highlight w:val="none"/>
                <w:u w:val="single"/>
                <w:lang w:val="en-US" w:eastAsia="zh-CN"/>
              </w:rPr>
              <w:t>合计（小写）</w:t>
            </w:r>
          </w:p>
        </w:tc>
        <w:tc>
          <w:tcPr>
            <w:tcW w:w="1817" w:type="dxa"/>
            <w:tcBorders>
              <w:tl2br w:val="nil"/>
              <w:tr2bl w:val="nil"/>
            </w:tcBorders>
            <w:noWrap w:val="0"/>
            <w:vAlign w:val="top"/>
          </w:tcPr>
          <w:p>
            <w:pPr>
              <w:tabs>
                <w:tab w:val="left" w:pos="900"/>
              </w:tabs>
              <w:snapToGrid w:val="0"/>
              <w:spacing w:before="60" w:after="120"/>
              <w:ind w:right="-24"/>
              <w:jc w:val="center"/>
              <w:rPr>
                <w:rFonts w:hint="eastAsia" w:ascii="宋体" w:hAnsi="宋体" w:eastAsia="宋体"/>
                <w:color w:val="auto"/>
                <w:highlight w:val="none"/>
                <w:lang w:val="en-US" w:eastAsia="zh-CN"/>
              </w:rPr>
            </w:pPr>
            <w:r>
              <w:rPr>
                <w:rFonts w:hint="eastAsia" w:ascii="宋体" w:hAnsi="宋体" w:eastAsia="宋体" w:cs="宋体"/>
                <w:i w:val="0"/>
                <w:iCs w:val="0"/>
                <w:color w:val="auto"/>
                <w:kern w:val="0"/>
                <w:sz w:val="21"/>
                <w:szCs w:val="21"/>
                <w:u w:val="none"/>
                <w:lang w:val="en-US" w:eastAsia="zh-CN" w:bidi="ar"/>
              </w:rPr>
              <w:t>7020745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14</w:t>
            </w:r>
          </w:p>
        </w:tc>
        <w:tc>
          <w:tcPr>
            <w:tcW w:w="1235" w:type="dxa"/>
            <w:vMerge w:val="continue"/>
            <w:tcBorders>
              <w:tl2br w:val="nil"/>
              <w:tr2bl w:val="nil"/>
            </w:tcBorders>
            <w:noWrap w:val="0"/>
            <w:vAlign w:val="center"/>
          </w:tcPr>
          <w:p>
            <w:pPr>
              <w:tabs>
                <w:tab w:val="left" w:pos="900"/>
              </w:tabs>
              <w:snapToGrid w:val="0"/>
              <w:spacing w:before="60" w:after="120"/>
              <w:ind w:right="-24"/>
              <w:jc w:val="center"/>
              <w:rPr>
                <w:rFonts w:ascii="宋体" w:hAnsi="宋体"/>
                <w:color w:val="auto"/>
                <w:highlight w:val="none"/>
              </w:rPr>
            </w:pPr>
          </w:p>
        </w:tc>
        <w:tc>
          <w:tcPr>
            <w:tcW w:w="1864" w:type="dxa"/>
            <w:tcBorders>
              <w:tl2br w:val="nil"/>
              <w:tr2bl w:val="nil"/>
            </w:tcBorders>
            <w:noWrap w:val="0"/>
            <w:vAlign w:val="top"/>
          </w:tcPr>
          <w:p>
            <w:pPr>
              <w:tabs>
                <w:tab w:val="left" w:pos="900"/>
              </w:tabs>
              <w:snapToGrid w:val="0"/>
              <w:spacing w:before="60" w:after="120"/>
              <w:ind w:right="-24"/>
              <w:jc w:val="center"/>
              <w:rPr>
                <w:rFonts w:hint="eastAsia" w:ascii="宋体" w:hAnsi="宋体" w:eastAsia="宋体"/>
                <w:color w:val="auto"/>
                <w:highlight w:val="none"/>
                <w:lang w:val="en-US" w:eastAsia="zh-CN"/>
              </w:rPr>
            </w:pPr>
          </w:p>
        </w:tc>
        <w:tc>
          <w:tcPr>
            <w:tcW w:w="1357" w:type="dxa"/>
            <w:tcBorders>
              <w:tl2br w:val="nil"/>
              <w:tr2bl w:val="nil"/>
            </w:tcBorders>
            <w:noWrap w:val="0"/>
            <w:vAlign w:val="center"/>
          </w:tcPr>
          <w:p>
            <w:pPr>
              <w:tabs>
                <w:tab w:val="left" w:pos="900"/>
              </w:tabs>
              <w:snapToGrid w:val="0"/>
              <w:spacing w:before="60" w:after="120"/>
              <w:ind w:right="-24"/>
              <w:jc w:val="center"/>
              <w:rPr>
                <w:rFonts w:hint="eastAsia" w:ascii="宋体" w:hAnsi="宋体" w:eastAsia="宋体"/>
                <w:color w:val="auto"/>
                <w:highlight w:val="none"/>
                <w:lang w:val="en-US" w:eastAsia="zh-CN"/>
              </w:rPr>
            </w:pPr>
          </w:p>
        </w:tc>
      </w:tr>
    </w:tbl>
    <w:p>
      <w:pPr>
        <w:rPr>
          <w:rFonts w:hint="eastAsia"/>
          <w:lang w:val="en-US" w:eastAsia="zh-CN"/>
        </w:rPr>
      </w:pPr>
    </w:p>
    <w:p>
      <w:pPr>
        <w:rPr>
          <w:rFonts w:hint="eastAsia"/>
          <w:highlight w:val="none"/>
          <w:lang w:val="en-US" w:eastAsia="zh-CN"/>
        </w:rPr>
      </w:pPr>
    </w:p>
    <w:p>
      <w:pPr>
        <w:rPr>
          <w:rFonts w:hint="eastAsia"/>
          <w:highlight w:val="none"/>
          <w:lang w:val="en-US" w:eastAsia="zh-CN"/>
        </w:rPr>
      </w:pPr>
    </w:p>
    <w:p>
      <w:pPr>
        <w:pStyle w:val="7"/>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pPr>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（1）按下浮率报价（保留两位小数，如 8.88%），同时填报投标报价（投标报价=最高投标限价*（1-投标下浮率），四舍五入保留两位小数）。当投标报价与投标下浮率计算结果不一致时，以投标下浮率为准，按上述公式修订投标报价，如单项报价与投标下浮率不对应的也需按投标下浮率修正单项报价。</w:t>
      </w:r>
    </w:p>
    <w:p>
      <w:pPr>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（2）投标下浮率不低于0%为有效报价；当投标下浮率＞10%时应附成本分析报告，充分说明单价和费用的组成、降低成本的合理措施及在其他工程中应用过的经验等，经评审通过后方可视为有效报价。</w:t>
      </w:r>
    </w:p>
    <w:p>
      <w:pPr>
        <w:rPr>
          <w:rFonts w:hint="eastAsia"/>
          <w:highlight w:val="none"/>
          <w:lang w:val="en-US" w:eastAsia="zh-CN"/>
        </w:rPr>
      </w:pPr>
      <w:r>
        <w:rPr>
          <w:rFonts w:hint="eastAsia" w:ascii="宋体" w:hAnsi="宋体" w:eastAsia="宋体" w:cs="宋体"/>
          <w:color w:val="auto"/>
          <w:kern w:val="2"/>
          <w:sz w:val="24"/>
          <w:szCs w:val="24"/>
          <w:highlight w:val="none"/>
          <w:u w:val="single"/>
          <w:lang w:val="en-US" w:eastAsia="zh-CN" w:bidi="ar-SA"/>
        </w:rPr>
        <w:t>（3）价格分计算时，投标人评标价按（100-投标人填写的下浮数值）参与计算。如：下浮率为1.88％时，评标价按（100-1.88）参与计算。</w:t>
      </w: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pStyle w:val="9"/>
        <w:spacing w:line="360" w:lineRule="auto"/>
        <w:ind w:left="0" w:leftChars="0" w:firstLine="480" w:firstLineChars="200"/>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本合同为暂定价合同，结算方式详见合同条款。</w:t>
      </w: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pPr>
        <w:pStyle w:val="11"/>
        <w:numPr>
          <w:ilvl w:val="0"/>
          <w:numId w:val="0"/>
        </w:numPr>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pPr>
        <w:pStyle w:val="11"/>
        <w:numPr>
          <w:ilvl w:val="0"/>
          <w:numId w:val="0"/>
        </w:numPr>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pPr>
        <w:pStyle w:val="8"/>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                                     </w:t>
      </w:r>
    </w:p>
    <w:p>
      <w:pPr>
        <w:rPr>
          <w:rFonts w:hint="eastAsia" w:ascii="宋体" w:hAnsi="宋体" w:eastAsia="宋体" w:cs="宋体"/>
          <w:color w:val="auto"/>
          <w:kern w:val="2"/>
          <w:sz w:val="24"/>
          <w:szCs w:val="24"/>
          <w:highlight w:val="none"/>
          <w:u w:val="single"/>
          <w:lang w:val="en-US" w:eastAsia="zh-CN" w:bidi="ar-SA"/>
        </w:rPr>
      </w:pPr>
    </w:p>
    <w:p>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br w:type="page"/>
      </w:r>
    </w:p>
    <w:p>
      <w:pPr>
        <w:pStyle w:val="10"/>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1"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1"/>
    </w:p>
    <w:p>
      <w:pPr>
        <w:pStyle w:val="10"/>
        <w:rPr>
          <w:rFonts w:hint="eastAsia" w:asciiTheme="minorEastAsia" w:hAnsiTheme="minorEastAsia" w:eastAsiaTheme="minorEastAsia" w:cstheme="minorEastAsia"/>
          <w:i w:val="0"/>
          <w:iCs/>
          <w:color w:val="auto"/>
          <w:sz w:val="24"/>
          <w:szCs w:val="24"/>
          <w:highlight w:val="none"/>
        </w:rPr>
      </w:pP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2"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2"/>
    </w:p>
    <w:p>
      <w:pPr>
        <w:autoSpaceDE w:val="0"/>
        <w:autoSpaceDN w:val="0"/>
        <w:adjustRightInd w:val="0"/>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（一）满足中国南方电网有限责任公司《监理项目部工作手册》、中国南方电网有限责任公司基建管理制度、建设单位的质量、环境和职业健康安全管理体系文件、其他有关制度和规定。</w:t>
      </w:r>
    </w:p>
    <w:p>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p>
    <w:p>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val="0"/>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lang w:val="en-US" w:eastAsia="zh-CN" w:bidi="ar-SA"/>
        </w:rPr>
        <w:t>（三）严格执行以下管理要求：</w:t>
      </w:r>
    </w:p>
    <w:p>
      <w:pPr>
        <w:pStyle w:val="10"/>
        <w:numPr>
          <w:ilvl w:val="0"/>
          <w:numId w:val="0"/>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pPr>
        <w:pStyle w:val="10"/>
        <w:numPr>
          <w:ilvl w:val="0"/>
          <w:numId w:val="3"/>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pPr>
        <w:pStyle w:val="10"/>
        <w:numPr>
          <w:ilvl w:val="0"/>
          <w:numId w:val="3"/>
        </w:numPr>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pPr>
        <w:pStyle w:val="10"/>
        <w:numPr>
          <w:ilvl w:val="0"/>
          <w:numId w:val="3"/>
        </w:numPr>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p>
      <w:pPr>
        <w:pStyle w:val="2"/>
        <w:numPr>
          <w:ilvl w:val="0"/>
          <w:numId w:val="0"/>
        </w:numPr>
        <w:rPr>
          <w:rFonts w:hint="eastAsia"/>
        </w:rPr>
      </w:pPr>
      <w:bookmarkStart w:id="3" w:name="_GoBack"/>
      <w:bookmarkEnd w:id="3"/>
    </w:p>
    <w:p>
      <w:pPr>
        <w:pStyle w:val="10"/>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ascii="宋体" w:hAnsi="宋体" w:eastAsia="宋体" w:cs="宋体"/>
          <w:color w:val="auto"/>
          <w:sz w:val="24"/>
          <w:szCs w:val="24"/>
          <w:highlight w:val="none"/>
          <w:u w:val="single"/>
          <w:lang w:val="en-US" w:eastAsia="zh-CN"/>
        </w:rPr>
      </w:pPr>
    </w:p>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EE20F8"/>
    <w:multiLevelType w:val="singleLevel"/>
    <w:tmpl w:val="EAEE20F8"/>
    <w:lvl w:ilvl="0" w:tentative="0">
      <w:start w:val="2"/>
      <w:numFmt w:val="chineseCounting"/>
      <w:suff w:val="nothing"/>
      <w:lvlText w:val="第%1部分."/>
      <w:lvlJc w:val="left"/>
      <w:rPr>
        <w:rFonts w:hint="eastAsia"/>
      </w:rPr>
    </w:lvl>
  </w:abstractNum>
  <w:abstractNum w:abstractNumId="1">
    <w:nsid w:val="0D7920FF"/>
    <w:multiLevelType w:val="singleLevel"/>
    <w:tmpl w:val="0D7920FF"/>
    <w:lvl w:ilvl="0" w:tentative="0">
      <w:start w:val="1"/>
      <w:numFmt w:val="chineseCounting"/>
      <w:suff w:val="nothing"/>
      <w:lvlText w:val="第%1部分."/>
      <w:lvlJc w:val="left"/>
      <w:rPr>
        <w:rFonts w:hint="eastAsia"/>
      </w:rPr>
    </w:lvl>
  </w:abstractNum>
  <w:abstractNum w:abstractNumId="2">
    <w:nsid w:val="4122DDE1"/>
    <w:multiLevelType w:val="singleLevel"/>
    <w:tmpl w:val="4122DDE1"/>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ZiZmQ5Njc4ZjAwYjM1NjkwYjZiNWI5MzBhMWIzZjUifQ=="/>
  </w:docVars>
  <w:rsids>
    <w:rsidRoot w:val="24F737D8"/>
    <w:rsid w:val="001270A5"/>
    <w:rsid w:val="007A4AD7"/>
    <w:rsid w:val="034C42F7"/>
    <w:rsid w:val="03F1316B"/>
    <w:rsid w:val="045E5439"/>
    <w:rsid w:val="04A24F71"/>
    <w:rsid w:val="076F3B3B"/>
    <w:rsid w:val="07CA37DF"/>
    <w:rsid w:val="07CC3833"/>
    <w:rsid w:val="09F95208"/>
    <w:rsid w:val="0BC07002"/>
    <w:rsid w:val="0BD30473"/>
    <w:rsid w:val="0E2F4C02"/>
    <w:rsid w:val="0E3616E0"/>
    <w:rsid w:val="0E937FF7"/>
    <w:rsid w:val="0F81532F"/>
    <w:rsid w:val="107144D2"/>
    <w:rsid w:val="116419AD"/>
    <w:rsid w:val="11794537"/>
    <w:rsid w:val="11DF6CFE"/>
    <w:rsid w:val="12573F25"/>
    <w:rsid w:val="13383335"/>
    <w:rsid w:val="14440D4B"/>
    <w:rsid w:val="14B666F3"/>
    <w:rsid w:val="14F46456"/>
    <w:rsid w:val="15056A61"/>
    <w:rsid w:val="16232396"/>
    <w:rsid w:val="182633AB"/>
    <w:rsid w:val="18E57496"/>
    <w:rsid w:val="1A2D5CFF"/>
    <w:rsid w:val="1A386933"/>
    <w:rsid w:val="1A4D4035"/>
    <w:rsid w:val="1A4F176B"/>
    <w:rsid w:val="1A912F72"/>
    <w:rsid w:val="1B663F82"/>
    <w:rsid w:val="1C2D4629"/>
    <w:rsid w:val="1C43636C"/>
    <w:rsid w:val="1D904223"/>
    <w:rsid w:val="1F653C49"/>
    <w:rsid w:val="1F6C0D31"/>
    <w:rsid w:val="1FF063AF"/>
    <w:rsid w:val="1FF914D4"/>
    <w:rsid w:val="20735046"/>
    <w:rsid w:val="216F4D5B"/>
    <w:rsid w:val="21EC59C0"/>
    <w:rsid w:val="22097851"/>
    <w:rsid w:val="23B738BA"/>
    <w:rsid w:val="24E67795"/>
    <w:rsid w:val="24F737D8"/>
    <w:rsid w:val="25100685"/>
    <w:rsid w:val="26A73075"/>
    <w:rsid w:val="277811CF"/>
    <w:rsid w:val="27B9527E"/>
    <w:rsid w:val="28673A22"/>
    <w:rsid w:val="293242BC"/>
    <w:rsid w:val="2AC7304F"/>
    <w:rsid w:val="2CA17C08"/>
    <w:rsid w:val="2DDF66E3"/>
    <w:rsid w:val="2F3C58B0"/>
    <w:rsid w:val="2FF65FF8"/>
    <w:rsid w:val="300D195C"/>
    <w:rsid w:val="303F3BB7"/>
    <w:rsid w:val="30BF37B5"/>
    <w:rsid w:val="315A2B0C"/>
    <w:rsid w:val="31C955A9"/>
    <w:rsid w:val="32903ECC"/>
    <w:rsid w:val="33B200AF"/>
    <w:rsid w:val="33E61BE2"/>
    <w:rsid w:val="3438716A"/>
    <w:rsid w:val="35037688"/>
    <w:rsid w:val="361736AD"/>
    <w:rsid w:val="36D200CF"/>
    <w:rsid w:val="379951F8"/>
    <w:rsid w:val="38382DC3"/>
    <w:rsid w:val="38DE045C"/>
    <w:rsid w:val="38F14AC7"/>
    <w:rsid w:val="3A546240"/>
    <w:rsid w:val="3BF24D81"/>
    <w:rsid w:val="3BFE7BEA"/>
    <w:rsid w:val="3C4750A3"/>
    <w:rsid w:val="3C4A35F1"/>
    <w:rsid w:val="3D81062E"/>
    <w:rsid w:val="3E664B6D"/>
    <w:rsid w:val="3ED7087B"/>
    <w:rsid w:val="3F141BFC"/>
    <w:rsid w:val="41654DD9"/>
    <w:rsid w:val="444D481C"/>
    <w:rsid w:val="446C62D5"/>
    <w:rsid w:val="44982260"/>
    <w:rsid w:val="44D414C9"/>
    <w:rsid w:val="454E4543"/>
    <w:rsid w:val="46472D5E"/>
    <w:rsid w:val="496A657E"/>
    <w:rsid w:val="49843C09"/>
    <w:rsid w:val="4B3A1BDA"/>
    <w:rsid w:val="4BF83760"/>
    <w:rsid w:val="4C8349B8"/>
    <w:rsid w:val="4E2528C4"/>
    <w:rsid w:val="51571481"/>
    <w:rsid w:val="520D6E5F"/>
    <w:rsid w:val="52664074"/>
    <w:rsid w:val="53115540"/>
    <w:rsid w:val="55C3156A"/>
    <w:rsid w:val="55DA5D23"/>
    <w:rsid w:val="55DC4726"/>
    <w:rsid w:val="565F57E6"/>
    <w:rsid w:val="5782183A"/>
    <w:rsid w:val="57BD355E"/>
    <w:rsid w:val="586412F1"/>
    <w:rsid w:val="59A5419F"/>
    <w:rsid w:val="5B0320E2"/>
    <w:rsid w:val="5B8B11A7"/>
    <w:rsid w:val="5B9E2EC4"/>
    <w:rsid w:val="5C3C61A7"/>
    <w:rsid w:val="5C516F15"/>
    <w:rsid w:val="5E8F5DA8"/>
    <w:rsid w:val="608606DE"/>
    <w:rsid w:val="610E324A"/>
    <w:rsid w:val="619A05AA"/>
    <w:rsid w:val="61F31EFD"/>
    <w:rsid w:val="620562E4"/>
    <w:rsid w:val="63066BC7"/>
    <w:rsid w:val="632F7F49"/>
    <w:rsid w:val="63D0487B"/>
    <w:rsid w:val="64672037"/>
    <w:rsid w:val="646B6EE3"/>
    <w:rsid w:val="64911DA0"/>
    <w:rsid w:val="65160891"/>
    <w:rsid w:val="65945D8D"/>
    <w:rsid w:val="66C35559"/>
    <w:rsid w:val="670E18E8"/>
    <w:rsid w:val="67D57489"/>
    <w:rsid w:val="67DE0715"/>
    <w:rsid w:val="68570F93"/>
    <w:rsid w:val="6A287B5E"/>
    <w:rsid w:val="6B303A1A"/>
    <w:rsid w:val="6DAA2FDF"/>
    <w:rsid w:val="6E121228"/>
    <w:rsid w:val="6FC971BF"/>
    <w:rsid w:val="70D1495F"/>
    <w:rsid w:val="70ED510D"/>
    <w:rsid w:val="72CB5037"/>
    <w:rsid w:val="74695E39"/>
    <w:rsid w:val="754C6F3B"/>
    <w:rsid w:val="754E643E"/>
    <w:rsid w:val="75B11AFF"/>
    <w:rsid w:val="75D32619"/>
    <w:rsid w:val="765369C1"/>
    <w:rsid w:val="767D6887"/>
    <w:rsid w:val="78050DA7"/>
    <w:rsid w:val="780B6A75"/>
    <w:rsid w:val="79F83E18"/>
    <w:rsid w:val="7A262145"/>
    <w:rsid w:val="7B2018C4"/>
    <w:rsid w:val="7D0F76D8"/>
    <w:rsid w:val="7E3420E0"/>
    <w:rsid w:val="7E535DCD"/>
    <w:rsid w:val="7EB17220"/>
    <w:rsid w:val="7F6443B1"/>
    <w:rsid w:val="7F7B4315"/>
    <w:rsid w:val="7FFD6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3">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4">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qFormat/>
    <w:uiPriority w:val="0"/>
    <w:pPr>
      <w:ind w:firstLine="420"/>
    </w:pPr>
    <w:rPr>
      <w:rFonts w:ascii="Times New Roman" w:hAnsi="Times New Roman" w:cs="Times New Roman"/>
      <w:kern w:val="0"/>
      <w:sz w:val="20"/>
      <w:szCs w:val="20"/>
    </w:rPr>
  </w:style>
  <w:style w:type="paragraph" w:styleId="6">
    <w:name w:val="annotation text"/>
    <w:basedOn w:val="1"/>
    <w:qFormat/>
    <w:uiPriority w:val="0"/>
    <w:pPr>
      <w:jc w:val="left"/>
    </w:pPr>
  </w:style>
  <w:style w:type="paragraph" w:styleId="7">
    <w:name w:val="Body Text"/>
    <w:basedOn w:val="1"/>
    <w:next w:val="8"/>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8">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9">
    <w:name w:val="Body Text Indent"/>
    <w:basedOn w:val="1"/>
    <w:qFormat/>
    <w:uiPriority w:val="0"/>
    <w:pPr>
      <w:spacing w:after="120"/>
      <w:ind w:left="420" w:leftChars="200"/>
    </w:pPr>
  </w:style>
  <w:style w:type="paragraph" w:styleId="10">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1">
    <w:name w:val="Body Text First Indent"/>
    <w:basedOn w:val="7"/>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正文首行缩进1"/>
    <w:basedOn w:val="1"/>
    <w:qFormat/>
    <w:uiPriority w:val="0"/>
    <w:pPr>
      <w:spacing w:line="360" w:lineRule="auto"/>
      <w:ind w:firstLine="200" w:firstLineChars="200"/>
    </w:pPr>
    <w:rPr>
      <w:kern w:val="2"/>
      <w:sz w:val="24"/>
      <w:szCs w:val="24"/>
    </w:rPr>
  </w:style>
  <w:style w:type="character" w:customStyle="1" w:styleId="16">
    <w:name w:val="font11"/>
    <w:basedOn w:val="14"/>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2108</Words>
  <Characters>2236</Characters>
  <Lines>0</Lines>
  <Paragraphs>0</Paragraphs>
  <TotalTime>3</TotalTime>
  <ScaleCrop>false</ScaleCrop>
  <LinksUpToDate>false</LinksUpToDate>
  <CharactersWithSpaces>2497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Administrator</cp:lastModifiedBy>
  <dcterms:modified xsi:type="dcterms:W3CDTF">2025-09-10T03:40:36Z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61AA0E043A8F4048941328474E269B37</vt:lpwstr>
  </property>
</Properties>
</file>