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奥林220千伏出线工程二期（隧道土建部分）监理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10"/>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eastAsiaTheme="minorEastAsia"/>
                <w:b w:val="0"/>
                <w:bCs w:val="0"/>
                <w:snapToGrid w:val="0"/>
                <w:color w:val="auto"/>
                <w:kern w:val="0"/>
                <w:sz w:val="24"/>
                <w:szCs w:val="24"/>
                <w:highlight w:val="none"/>
                <w:u w:val="none"/>
                <w:vertAlign w:val="baseline"/>
                <w:lang w:val="en-US" w:eastAsia="zh-CN"/>
              </w:rPr>
            </w:pPr>
            <w:r>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t>广供电基〔2024〕 104号</w:t>
            </w:r>
          </w:p>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穗发改核准〔2024〕37号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pPr>
            <w:r>
              <w:rPr>
                <w:rFonts w:hint="default" w:ascii="Times New Roman" w:hAnsi="Times New Roman" w:cs="Times New Roman" w:eastAsiaTheme="minorEastAsia"/>
                <w:b w:val="0"/>
                <w:bCs w:val="0"/>
                <w:snapToGrid w:val="0"/>
                <w:color w:val="auto"/>
                <w:kern w:val="0"/>
                <w:sz w:val="24"/>
                <w:szCs w:val="24"/>
                <w:highlight w:val="none"/>
                <w:u w:val="single"/>
                <w:vertAlign w:val="baseline"/>
                <w:lang w:val="en-US" w:eastAsia="zh-CN"/>
              </w:rPr>
              <w:t>已落实，广供电资〔2025〕3 号</w:t>
            </w:r>
          </w:p>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广州市天河区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合同签订之日起至2027年12月30日，实际工期以开工报告、竣工报告为准。</w:t>
            </w: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10"/>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default"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
          <w:sz w:val="24"/>
          <w:szCs w:val="24"/>
          <w:highlight w:val="none"/>
          <w:lang w:val="en-US" w:eastAsia="zh-CN"/>
        </w:rPr>
        <w:t>隧道土建部分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480" w:firstLineChars="200"/>
        <w:jc w:val="both"/>
        <w:textAlignment w:val="auto"/>
        <w:rPr>
          <w:rFonts w:hint="default" w:ascii="Times New Roman" w:hAnsi="Times New Roman" w:cs="Times New Roman" w:eastAsiaTheme="minorEastAsia"/>
          <w:b w:val="0"/>
          <w:i w:val="0"/>
          <w:color w:val="000000"/>
          <w:sz w:val="24"/>
          <w:szCs w:val="24"/>
          <w:highlight w:val="none"/>
          <w:u w:val="single"/>
          <w:lang w:val="en-US" w:eastAsia="zh-CN"/>
        </w:rPr>
      </w:pPr>
      <w:r>
        <w:rPr>
          <w:rFonts w:hint="default" w:ascii="Times New Roman" w:hAnsi="Times New Roman" w:cs="Times New Roman" w:eastAsiaTheme="minorEastAsia"/>
          <w:b w:val="0"/>
          <w:i w:val="0"/>
          <w:color w:val="000000"/>
          <w:sz w:val="24"/>
          <w:szCs w:val="24"/>
          <w:highlight w:val="none"/>
          <w:u w:val="single"/>
          <w:lang w:val="en-US" w:eastAsia="zh-CN"/>
        </w:rPr>
        <w:t>1.新建220kV棠下至奥林电力隧道自棠下变电站1#工作井沿广园快速路南侧道路绿化带向东至天茂路与广园快速交叉口7#工作井，该段新建电力隧道长度约为4.76千米。隧道采用盾构型式，断面采用内径3.5m，</w:t>
      </w:r>
      <w:r>
        <w:rPr>
          <w:rFonts w:hint="default" w:ascii="Times New Roman" w:hAnsi="Times New Roman" w:cs="Times New Roman" w:eastAsiaTheme="minorEastAsia"/>
          <w:b w:val="0"/>
          <w:i w:val="0"/>
          <w:color w:val="000000"/>
          <w:sz w:val="24"/>
          <w:szCs w:val="24"/>
          <w:highlight w:val="none"/>
          <w:u w:val="single"/>
        </w:rPr>
        <w:t>隧道管容</w:t>
      </w:r>
      <w:r>
        <w:rPr>
          <w:rFonts w:hint="default" w:ascii="Times New Roman" w:hAnsi="Times New Roman" w:cs="Times New Roman" w:eastAsiaTheme="minorEastAsia"/>
          <w:b w:val="0"/>
          <w:i w:val="0"/>
          <w:color w:val="000000"/>
          <w:sz w:val="24"/>
          <w:szCs w:val="24"/>
          <w:highlight w:val="none"/>
          <w:u w:val="single"/>
          <w:lang w:val="en-US" w:eastAsia="zh-CN"/>
        </w:rPr>
        <w:t>6</w:t>
      </w:r>
      <w:r>
        <w:rPr>
          <w:rFonts w:hint="default" w:ascii="Times New Roman" w:hAnsi="Times New Roman" w:cs="Times New Roman" w:eastAsiaTheme="minorEastAsia"/>
          <w:b w:val="0"/>
          <w:i w:val="0"/>
          <w:color w:val="000000"/>
          <w:sz w:val="24"/>
          <w:szCs w:val="24"/>
          <w:highlight w:val="none"/>
          <w:u w:val="single"/>
        </w:rPr>
        <w:t>回</w:t>
      </w:r>
      <w:r>
        <w:rPr>
          <w:rFonts w:hint="default" w:ascii="Times New Roman" w:hAnsi="Times New Roman" w:cs="Times New Roman" w:eastAsiaTheme="minorEastAsia"/>
          <w:b w:val="0"/>
          <w:i w:val="0"/>
          <w:color w:val="000000"/>
          <w:sz w:val="24"/>
          <w:szCs w:val="24"/>
          <w:highlight w:val="none"/>
          <w:u w:val="single"/>
          <w:lang w:val="en-US" w:eastAsia="zh-CN"/>
        </w:rPr>
        <w:t>22</w:t>
      </w:r>
      <w:r>
        <w:rPr>
          <w:rFonts w:hint="default" w:ascii="Times New Roman" w:hAnsi="Times New Roman" w:cs="Times New Roman" w:eastAsiaTheme="minorEastAsia"/>
          <w:b w:val="0"/>
          <w:i w:val="0"/>
          <w:color w:val="000000"/>
          <w:sz w:val="24"/>
          <w:szCs w:val="24"/>
          <w:highlight w:val="none"/>
          <w:u w:val="single"/>
        </w:rPr>
        <w:t>0kV</w:t>
      </w:r>
      <w:r>
        <w:rPr>
          <w:rFonts w:hint="default" w:ascii="Times New Roman" w:hAnsi="Times New Roman" w:cs="Times New Roman" w:eastAsiaTheme="minorEastAsia"/>
          <w:b w:val="0"/>
          <w:i w:val="0"/>
          <w:color w:val="000000"/>
          <w:sz w:val="24"/>
          <w:szCs w:val="24"/>
          <w:highlight w:val="none"/>
          <w:u w:val="single"/>
          <w:lang w:val="en-US" w:eastAsia="zh-CN"/>
        </w:rPr>
        <w:t>+4回110kV线路</w:t>
      </w:r>
      <w:r>
        <w:rPr>
          <w:rFonts w:hint="default" w:ascii="Times New Roman" w:hAnsi="Times New Roman" w:cs="Times New Roman" w:eastAsiaTheme="minorEastAsia"/>
          <w:b w:val="0"/>
          <w:i w:val="0"/>
          <w:color w:val="000000"/>
          <w:sz w:val="24"/>
          <w:szCs w:val="24"/>
          <w:highlight w:val="none"/>
          <w:u w:val="singl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480" w:firstLineChars="200"/>
        <w:jc w:val="both"/>
        <w:textAlignment w:val="auto"/>
        <w:rPr>
          <w:rFonts w:hint="default" w:ascii="Times New Roman" w:hAnsi="Times New Roman" w:cs="Times New Roman" w:eastAsiaTheme="minorEastAsia"/>
          <w:b w:val="0"/>
          <w:i w:val="0"/>
          <w:color w:val="000000"/>
          <w:sz w:val="24"/>
          <w:szCs w:val="24"/>
          <w:highlight w:val="none"/>
          <w:u w:val="single"/>
          <w:lang w:val="en-US" w:eastAsia="zh-CN"/>
        </w:rPr>
      </w:pPr>
      <w:r>
        <w:rPr>
          <w:rFonts w:hint="default" w:ascii="Times New Roman" w:hAnsi="Times New Roman" w:cs="Times New Roman" w:eastAsiaTheme="minorEastAsia"/>
          <w:b w:val="0"/>
          <w:i w:val="0"/>
          <w:color w:val="000000"/>
          <w:sz w:val="24"/>
          <w:szCs w:val="24"/>
          <w:highlight w:val="none"/>
          <w:u w:val="single"/>
          <w:lang w:val="en-US" w:eastAsia="zh-CN"/>
        </w:rPr>
        <w:t>2.新建220kV奥林至碧山电力隧道自奥林变电站8#工作井沿天茂路东侧绿化带拐入广园快速路南侧道路绿化带，向东至丰乐北路与广园快速交叉口东北角 13#工作井，该段新建电力隧道长度约为4.83千米,隧道采用盾构型式，断面采用内径3.5m，</w:t>
      </w:r>
      <w:r>
        <w:rPr>
          <w:rFonts w:hint="default" w:ascii="Times New Roman" w:hAnsi="Times New Roman" w:cs="Times New Roman" w:eastAsiaTheme="minorEastAsia"/>
          <w:b w:val="0"/>
          <w:i w:val="0"/>
          <w:color w:val="000000"/>
          <w:sz w:val="24"/>
          <w:szCs w:val="24"/>
          <w:highlight w:val="none"/>
          <w:u w:val="single"/>
        </w:rPr>
        <w:t>隧道管容</w:t>
      </w:r>
      <w:r>
        <w:rPr>
          <w:rFonts w:hint="default" w:ascii="Times New Roman" w:hAnsi="Times New Roman" w:cs="Times New Roman" w:eastAsiaTheme="minorEastAsia"/>
          <w:b w:val="0"/>
          <w:i w:val="0"/>
          <w:color w:val="000000"/>
          <w:sz w:val="24"/>
          <w:szCs w:val="24"/>
          <w:highlight w:val="none"/>
          <w:u w:val="single"/>
          <w:lang w:val="en-US" w:eastAsia="zh-CN"/>
        </w:rPr>
        <w:t>6</w:t>
      </w:r>
      <w:r>
        <w:rPr>
          <w:rFonts w:hint="default" w:ascii="Times New Roman" w:hAnsi="Times New Roman" w:cs="Times New Roman" w:eastAsiaTheme="minorEastAsia"/>
          <w:b w:val="0"/>
          <w:i w:val="0"/>
          <w:color w:val="000000"/>
          <w:sz w:val="24"/>
          <w:szCs w:val="24"/>
          <w:highlight w:val="none"/>
          <w:u w:val="single"/>
        </w:rPr>
        <w:t>回</w:t>
      </w:r>
      <w:r>
        <w:rPr>
          <w:rFonts w:hint="default" w:ascii="Times New Roman" w:hAnsi="Times New Roman" w:cs="Times New Roman" w:eastAsiaTheme="minorEastAsia"/>
          <w:b w:val="0"/>
          <w:i w:val="0"/>
          <w:color w:val="000000"/>
          <w:sz w:val="24"/>
          <w:szCs w:val="24"/>
          <w:highlight w:val="none"/>
          <w:u w:val="single"/>
          <w:lang w:val="en-US" w:eastAsia="zh-CN"/>
        </w:rPr>
        <w:t>22</w:t>
      </w:r>
      <w:r>
        <w:rPr>
          <w:rFonts w:hint="default" w:ascii="Times New Roman" w:hAnsi="Times New Roman" w:cs="Times New Roman" w:eastAsiaTheme="minorEastAsia"/>
          <w:b w:val="0"/>
          <w:i w:val="0"/>
          <w:color w:val="000000"/>
          <w:sz w:val="24"/>
          <w:szCs w:val="24"/>
          <w:highlight w:val="none"/>
          <w:u w:val="single"/>
        </w:rPr>
        <w:t>0kV</w:t>
      </w:r>
      <w:r>
        <w:rPr>
          <w:rFonts w:hint="default" w:ascii="Times New Roman" w:hAnsi="Times New Roman" w:cs="Times New Roman" w:eastAsiaTheme="minorEastAsia"/>
          <w:b w:val="0"/>
          <w:i w:val="0"/>
          <w:color w:val="000000"/>
          <w:sz w:val="24"/>
          <w:szCs w:val="24"/>
          <w:highlight w:val="none"/>
          <w:u w:val="single"/>
          <w:lang w:val="en-US" w:eastAsia="zh-CN"/>
        </w:rPr>
        <w:t>+4回110kV</w:t>
      </w:r>
      <w:r>
        <w:rPr>
          <w:rFonts w:hint="default" w:ascii="Times New Roman" w:hAnsi="Times New Roman" w:cs="Times New Roman" w:eastAsiaTheme="minorEastAsia"/>
          <w:b w:val="0"/>
          <w:i w:val="0"/>
          <w:color w:val="000000"/>
          <w:sz w:val="24"/>
          <w:szCs w:val="24"/>
          <w:highlight w:val="none"/>
          <w:u w:val="single"/>
          <w:lang w:eastAsia="zh-CN"/>
        </w:rPr>
        <w:t>。</w:t>
      </w:r>
      <w:r>
        <w:rPr>
          <w:rFonts w:hint="default" w:ascii="Times New Roman" w:hAnsi="Times New Roman" w:cs="Times New Roman" w:eastAsiaTheme="minorEastAsia"/>
          <w:b w:val="0"/>
          <w:i w:val="0"/>
          <w:color w:val="000000"/>
          <w:sz w:val="24"/>
          <w:szCs w:val="24"/>
          <w:highlight w:val="none"/>
          <w:u w:val="single"/>
          <w:lang w:val="en-US" w:eastAsia="zh-CN"/>
        </w:rPr>
        <w:t>奥林站内明挖隧道长度约20米，横断面尺寸为3300宽×3400mm高，管容6回220kV线路。</w:t>
      </w:r>
    </w:p>
    <w:p>
      <w:pPr>
        <w:keepNext w:val="0"/>
        <w:keepLines w:val="0"/>
        <w:pageBreakBefore w:val="0"/>
        <w:widowControl w:val="0"/>
        <w:kinsoku/>
        <w:wordWrap/>
        <w:overflowPunct/>
        <w:topLinePunct w:val="0"/>
        <w:bidi w:val="0"/>
        <w:snapToGrid/>
        <w:spacing w:before="157" w:beforeLines="50" w:after="157" w:afterLines="50" w:line="480" w:lineRule="auto"/>
        <w:ind w:firstLine="480" w:firstLineChars="200"/>
        <w:textAlignment w:val="auto"/>
        <w:rPr>
          <w:rFonts w:hint="eastAsia"/>
        </w:rPr>
      </w:pPr>
      <w:r>
        <w:rPr>
          <w:rFonts w:hint="default" w:ascii="Times New Roman" w:hAnsi="Times New Roman" w:cs="Times New Roman" w:eastAsiaTheme="minorEastAsia"/>
          <w:b w:val="0"/>
          <w:bCs w:val="0"/>
          <w:i w:val="0"/>
          <w:iCs/>
          <w:color w:val="auto"/>
          <w:kern w:val="2"/>
          <w:sz w:val="24"/>
          <w:szCs w:val="24"/>
          <w:highlight w:val="none"/>
          <w:u w:val="single"/>
          <w:lang w:val="en-US" w:eastAsia="zh-CN" w:bidi="ar-SA"/>
        </w:rPr>
        <w:t>具体规模以施工图为准。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ind w:firstLine="480" w:firstLineChars="200"/>
        <w:rPr>
          <w:rFonts w:hint="eastAsia"/>
          <w:highlight w:val="none"/>
          <w:lang w:val="en-US" w:eastAsia="zh-CN"/>
        </w:rPr>
      </w:pPr>
      <w:r>
        <w:rPr>
          <w:rFonts w:hint="eastAsia" w:hAnsi="宋体"/>
          <w:color w:val="auto"/>
          <w:sz w:val="24"/>
          <w:szCs w:val="24"/>
          <w:highlight w:val="none"/>
          <w:u w:val="single"/>
        </w:rPr>
        <w:t>勘察设计、施工准备（含三通一平）、施工（含工程本体建设以及除本体建设外发生的相关施工活动，除本体建设外相关施工包括但不限于路面修复（含市政路面、公路等）、交通疏解、跨（穿）越铁路/公路、管线迁移、绿化迁移、林木砍伐等）、竣工结算、缺陷责任期、达标投产创优全过程的监理工作。按照建设单位要求使用工程信息管理系统。</w:t>
      </w: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p>
      <w:pPr>
        <w:rPr>
          <w:rFonts w:hint="eastAsia"/>
          <w:highlight w:val="none"/>
          <w:lang w:val="en-US" w:eastAsia="zh-CN"/>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681"/>
        <w:gridCol w:w="1817"/>
        <w:gridCol w:w="1235"/>
        <w:gridCol w:w="1864"/>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tcBorders>
              <w:tl2br w:val="nil"/>
              <w:tr2bl w:val="nil"/>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681" w:type="dxa"/>
            <w:tcBorders>
              <w:tl2br w:val="nil"/>
              <w:tr2bl w:val="nil"/>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817" w:type="dxa"/>
            <w:tcBorders>
              <w:tl2br w:val="nil"/>
              <w:tr2bl w:val="nil"/>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235" w:type="dxa"/>
            <w:tcBorders>
              <w:tl2br w:val="nil"/>
              <w:tr2bl w:val="nil"/>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864" w:type="dxa"/>
            <w:tcBorders>
              <w:tl2br w:val="nil"/>
              <w:tr2bl w:val="nil"/>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357" w:type="dxa"/>
            <w:tcBorders>
              <w:tl2br w:val="nil"/>
              <w:tr2bl w:val="nil"/>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1</w:t>
            </w:r>
          </w:p>
        </w:tc>
        <w:tc>
          <w:tcPr>
            <w:tcW w:w="2681" w:type="dxa"/>
            <w:tcBorders>
              <w:tl2br w:val="nil"/>
              <w:tr2bl w:val="nil"/>
            </w:tcBorders>
            <w:noWrap w:val="0"/>
            <w:vAlign w:val="center"/>
          </w:tcPr>
          <w:p>
            <w:pPr>
              <w:tabs>
                <w:tab w:val="left" w:pos="900"/>
              </w:tabs>
              <w:snapToGrid w:val="0"/>
              <w:spacing w:before="60" w:after="120"/>
              <w:ind w:right="-24"/>
              <w:jc w:val="left"/>
              <w:rPr>
                <w:rFonts w:ascii="宋体" w:hAnsi="宋体"/>
                <w:color w:val="auto"/>
                <w:highlight w:val="none"/>
              </w:rPr>
            </w:pPr>
            <w:r>
              <w:rPr>
                <w:rFonts w:hint="eastAsia" w:ascii="宋体" w:hAnsi="宋体" w:eastAsia="宋体" w:cs="宋体"/>
                <w:i w:val="0"/>
                <w:iCs w:val="0"/>
                <w:color w:val="auto"/>
                <w:kern w:val="0"/>
                <w:sz w:val="21"/>
                <w:szCs w:val="21"/>
                <w:u w:val="none"/>
                <w:lang w:val="en-US" w:eastAsia="zh-CN" w:bidi="ar"/>
              </w:rPr>
              <w:t>奥林220千伏出线工程二期（隧道土建部分）监理</w:t>
            </w:r>
          </w:p>
        </w:tc>
        <w:tc>
          <w:tcPr>
            <w:tcW w:w="1817" w:type="dxa"/>
            <w:tcBorders>
              <w:tl2br w:val="nil"/>
              <w:tr2bl w:val="nil"/>
            </w:tcBorders>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11169642.44</w:t>
            </w:r>
          </w:p>
        </w:tc>
        <w:tc>
          <w:tcPr>
            <w:tcW w:w="1235" w:type="dxa"/>
            <w:vMerge w:val="restart"/>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864"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c>
          <w:tcPr>
            <w:tcW w:w="1357"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689" w:type="dxa"/>
            <w:gridSpan w:val="2"/>
            <w:tcBorders>
              <w:tl2br w:val="nil"/>
              <w:tr2bl w:val="nil"/>
            </w:tcBorders>
            <w:noWrap w:val="0"/>
            <w:vAlign w:val="center"/>
          </w:tcPr>
          <w:p>
            <w:pPr>
              <w:tabs>
                <w:tab w:val="left" w:pos="900"/>
              </w:tabs>
              <w:snapToGrid w:val="0"/>
              <w:spacing w:before="60" w:after="120"/>
              <w:ind w:right="-24"/>
              <w:jc w:val="center"/>
              <w:rPr>
                <w:rFonts w:ascii="宋体" w:hAnsi="宋体"/>
                <w:b/>
                <w:color w:val="auto"/>
                <w:szCs w:val="21"/>
                <w:highlight w:val="none"/>
              </w:rPr>
            </w:pPr>
            <w:r>
              <w:rPr>
                <w:rFonts w:hint="eastAsia" w:hAnsi="宋体" w:cs="Times New Roman"/>
                <w:b/>
                <w:bCs/>
                <w:color w:val="auto"/>
                <w:sz w:val="21"/>
                <w:szCs w:val="21"/>
                <w:highlight w:val="none"/>
                <w:u w:val="single"/>
                <w:lang w:val="en-US" w:eastAsia="zh-CN"/>
              </w:rPr>
              <w:t>合计（小写）</w:t>
            </w:r>
          </w:p>
        </w:tc>
        <w:tc>
          <w:tcPr>
            <w:tcW w:w="1817" w:type="dxa"/>
            <w:tcBorders>
              <w:tl2br w:val="nil"/>
              <w:tr2bl w:val="nil"/>
            </w:tcBorders>
            <w:noWrap w:val="0"/>
            <w:vAlign w:val="top"/>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lang w:val="en-US" w:eastAsia="zh-CN"/>
              </w:rPr>
              <w:t>11169642.44</w:t>
            </w:r>
          </w:p>
        </w:tc>
        <w:tc>
          <w:tcPr>
            <w:tcW w:w="1235" w:type="dxa"/>
            <w:vMerge w:val="continue"/>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c>
          <w:tcPr>
            <w:tcW w:w="1864" w:type="dxa"/>
            <w:tcBorders>
              <w:tl2br w:val="nil"/>
              <w:tr2bl w:val="nil"/>
            </w:tcBorders>
            <w:noWrap w:val="0"/>
            <w:vAlign w:val="top"/>
          </w:tcPr>
          <w:p>
            <w:pPr>
              <w:tabs>
                <w:tab w:val="left" w:pos="900"/>
              </w:tabs>
              <w:snapToGrid w:val="0"/>
              <w:spacing w:before="60" w:after="120"/>
              <w:ind w:right="-24"/>
              <w:jc w:val="center"/>
              <w:rPr>
                <w:rFonts w:ascii="宋体" w:hAnsi="宋体"/>
                <w:color w:val="auto"/>
                <w:highlight w:val="none"/>
              </w:rPr>
            </w:pPr>
          </w:p>
        </w:tc>
        <w:tc>
          <w:tcPr>
            <w:tcW w:w="1357"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2"/>
        <w:rPr>
          <w:rFonts w:hint="eastAsia"/>
          <w:lang w:val="en-US" w:eastAsia="zh-CN"/>
        </w:rPr>
      </w:pPr>
    </w:p>
    <w:p>
      <w:pPr>
        <w:pStyle w:val="3"/>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4"/>
        <w:ind w:firstLine="420" w:firstLineChars="200"/>
        <w:jc w:val="left"/>
        <w:rPr>
          <w:rFonts w:hint="eastAsia" w:ascii="宋体" w:hAnsi="宋体" w:eastAsia="宋体" w:cs="宋体"/>
          <w:b w:val="0"/>
          <w:bCs w:val="0"/>
          <w:color w:val="auto"/>
          <w:kern w:val="0"/>
          <w:sz w:val="21"/>
          <w:szCs w:val="21"/>
          <w:u w:val="single"/>
          <w:lang w:val="en-US" w:eastAsia="zh-CN" w:bidi="ar-SA"/>
        </w:rPr>
      </w:pPr>
      <w:r>
        <w:rPr>
          <w:rFonts w:hint="eastAsia" w:ascii="宋体" w:hAnsi="宋体" w:eastAsia="宋体" w:cs="宋体"/>
          <w:b w:val="0"/>
          <w:bCs w:val="0"/>
          <w:color w:val="auto"/>
          <w:kern w:val="0"/>
          <w:sz w:val="21"/>
          <w:szCs w:val="21"/>
          <w:u w:val="single"/>
          <w:lang w:val="en-US" w:eastAsia="zh-CN" w:bidi="ar-SA"/>
        </w:rPr>
        <w:t>（1）按下浮率报价（保留两位小数，如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4"/>
        <w:ind w:firstLine="420" w:firstLineChars="200"/>
        <w:jc w:val="left"/>
        <w:rPr>
          <w:rFonts w:hint="eastAsia" w:ascii="宋体" w:hAnsi="宋体" w:eastAsia="宋体" w:cs="宋体"/>
          <w:b w:val="0"/>
          <w:bCs w:val="0"/>
          <w:color w:val="auto"/>
          <w:kern w:val="0"/>
          <w:sz w:val="21"/>
          <w:szCs w:val="21"/>
          <w:u w:val="single"/>
          <w:lang w:val="en-US" w:eastAsia="zh-CN" w:bidi="ar-SA"/>
        </w:rPr>
      </w:pPr>
      <w:r>
        <w:rPr>
          <w:rFonts w:hint="eastAsia" w:ascii="宋体" w:hAnsi="宋体" w:eastAsia="宋体" w:cs="宋体"/>
          <w:b w:val="0"/>
          <w:bCs w:val="0"/>
          <w:color w:val="auto"/>
          <w:kern w:val="0"/>
          <w:sz w:val="21"/>
          <w:szCs w:val="21"/>
          <w:u w:val="single"/>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4"/>
        <w:ind w:firstLine="420" w:firstLineChars="200"/>
        <w:jc w:val="left"/>
        <w:rPr>
          <w:rFonts w:hint="default" w:ascii="宋体" w:hAnsi="宋体" w:eastAsia="宋体" w:cs="宋体"/>
          <w:b w:val="0"/>
          <w:bCs w:val="0"/>
          <w:color w:val="auto"/>
          <w:kern w:val="0"/>
          <w:sz w:val="21"/>
          <w:szCs w:val="21"/>
          <w:u w:val="single"/>
          <w:lang w:val="en-US" w:eastAsia="zh-CN" w:bidi="ar-SA"/>
        </w:rPr>
      </w:pPr>
      <w:r>
        <w:rPr>
          <w:rFonts w:hint="eastAsia" w:ascii="宋体" w:hAnsi="宋体" w:eastAsia="宋体" w:cs="宋体"/>
          <w:b w:val="0"/>
          <w:bCs w:val="0"/>
          <w:color w:val="auto"/>
          <w:kern w:val="0"/>
          <w:sz w:val="21"/>
          <w:szCs w:val="21"/>
          <w:u w:val="single"/>
          <w:lang w:val="en-US" w:eastAsia="zh-CN" w:bidi="ar-SA"/>
        </w:rPr>
        <w:t>（3）价格分计算时，投标人评标价按（100-投标人填写的下浮数值）参与计算。如：下浮率为1.88％时，评标价按（100-1.88）参与计算。</w:t>
      </w:r>
    </w:p>
    <w:p>
      <w:pPr>
        <w:rPr>
          <w:rFonts w:hint="eastAsia"/>
          <w:highlight w:val="none"/>
          <w:lang w:val="en-US" w:eastAsia="zh-CN"/>
        </w:rPr>
      </w:pP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20" w:firstLineChars="200"/>
        <w:rPr>
          <w:rFonts w:hint="eastAsia" w:hAnsi="宋体"/>
          <w:color w:val="auto"/>
          <w:szCs w:val="21"/>
          <w:highlight w:val="none"/>
          <w:u w:val="single"/>
        </w:rPr>
      </w:pPr>
      <w:r>
        <w:rPr>
          <w:rFonts w:hint="eastAsia" w:ascii="宋体" w:hAnsi="宋体" w:eastAsia="宋体" w:cs="宋体"/>
          <w:b w:val="0"/>
          <w:bCs w:val="0"/>
          <w:color w:val="auto"/>
          <w:kern w:val="2"/>
          <w:sz w:val="21"/>
          <w:szCs w:val="21"/>
          <w:u w:val="single"/>
          <w:lang w:val="en-US" w:eastAsia="zh-CN" w:bidi="ar-SA"/>
        </w:rPr>
        <w:t>本合同为暂定价合同，最终合同结算价为：（审定初步设计概算监理费+ 初设概算监理计费范围以外的监理工作费用）×（1-投标下浮率）±合同内约定且实际发生的相关奖罚费用 + 招标代理服务费</w:t>
      </w:r>
      <w:r>
        <w:rPr>
          <w:rFonts w:hint="eastAsia" w:hAnsi="宋体"/>
          <w:color w:val="auto"/>
          <w:szCs w:val="21"/>
          <w:highlight w:val="none"/>
          <w:u w:val="single"/>
        </w:rPr>
        <w:t>。</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其中：</w:t>
      </w:r>
    </w:p>
    <w:p>
      <w:pPr>
        <w:pStyle w:val="9"/>
        <w:numPr>
          <w:ilvl w:val="0"/>
          <w:numId w:val="2"/>
        </w:numPr>
        <w:spacing w:line="360" w:lineRule="auto"/>
        <w:ind w:left="0" w:leftChars="0" w:firstLine="420" w:firstLineChars="200"/>
        <w:rPr>
          <w:rFonts w:hint="default" w:hAnsi="宋体"/>
          <w:color w:val="auto"/>
          <w:szCs w:val="21"/>
          <w:highlight w:val="none"/>
          <w:u w:val="single"/>
          <w:lang w:val="en-US" w:eastAsia="zh-CN"/>
        </w:rPr>
      </w:pPr>
      <w:r>
        <w:rPr>
          <w:rFonts w:hint="eastAsia" w:hAnsi="宋体"/>
          <w:color w:val="auto"/>
          <w:szCs w:val="21"/>
          <w:highlight w:val="none"/>
          <w:u w:val="single"/>
          <w:lang w:val="en-US" w:eastAsia="zh-CN"/>
        </w:rPr>
        <w:t>审定初步设计概算监理费：隧道土建部分的审定初步设计概算监理费=单项工程的批复初设概算监理费</w:t>
      </w:r>
      <w:r>
        <w:rPr>
          <w:rFonts w:hint="eastAsia" w:ascii="宋体" w:hAnsi="宋体" w:eastAsia="宋体" w:cs="宋体"/>
          <w:b w:val="0"/>
          <w:bCs w:val="0"/>
          <w:color w:val="auto"/>
          <w:kern w:val="0"/>
          <w:sz w:val="21"/>
          <w:szCs w:val="21"/>
          <w:u w:val="single"/>
          <w:lang w:val="en-US" w:eastAsia="zh-CN" w:bidi="ar-SA"/>
        </w:rPr>
        <w:t>×</w:t>
      </w:r>
      <w:r>
        <w:rPr>
          <w:rFonts w:hint="eastAsia" w:hAnsi="宋体"/>
          <w:color w:val="auto"/>
          <w:szCs w:val="21"/>
          <w:highlight w:val="none"/>
          <w:u w:val="single"/>
          <w:lang w:val="en-US" w:eastAsia="zh-CN"/>
        </w:rPr>
        <w:t>（监理计费范围内的初设批复概算工程费用/隧道工程单项工程的初设批复概算工程费用），其中，工程费用=建筑工程费+设备购置费+安装工程费。</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2）“初设概算监理计费范围以外的监理工作”包括但不限于：监理单位对路面修复（含市政路面、公路等）、交通疏解、跨（穿）越铁路/公路、管线迁移、绿化迁移、林木砍伐等各项取费基数不包含在初设概算监理费计费基数中的非本体工程的监理见证工作。其监理费用取费基数为初设概算监理计费范围以外实际发生、且经由监理人见证确认部分的工程费用，该工程费用以业主项目部或第三方审核机构审定的为准；取费费率按照《关于落实《国家发展改革委关于进一步放开建设项目专业服务价格的通知》(发改价格[2015]299号)的指导意见（中电联定额[2015]162号文）》相关规定执行，不足部分参照相关行业费用计算规定执行。项目实施过程中如有最新规定，按新的政策性文件执行。</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（3）招标代理服务费按实际支付给招标代理的费用为准，监理人可在预付款申请或进度款申请时同时申请支付。</w:t>
      </w:r>
    </w:p>
    <w:p>
      <w:pPr>
        <w:pStyle w:val="9"/>
        <w:spacing w:line="360" w:lineRule="auto"/>
        <w:ind w:left="0" w:leftChars="0" w:firstLine="420" w:firstLineChars="200"/>
        <w:rPr>
          <w:rFonts w:hint="eastAsia" w:hAnsi="宋体"/>
          <w:color w:val="auto"/>
          <w:szCs w:val="21"/>
          <w:highlight w:val="none"/>
          <w:u w:val="single"/>
          <w:lang w:val="en-US" w:eastAsia="zh-CN"/>
        </w:rPr>
      </w:pPr>
      <w:r>
        <w:rPr>
          <w:rFonts w:hint="eastAsia" w:hAnsi="宋体"/>
          <w:color w:val="auto"/>
          <w:szCs w:val="21"/>
          <w:highlight w:val="none"/>
          <w:u w:val="single"/>
          <w:lang w:val="en-US" w:eastAsia="zh-CN"/>
        </w:rPr>
        <w:t>（4）投标下浮率（%）＝（1-投标报价/最高投标限价）×100%</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4"/>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10"/>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10"/>
        <w:rPr>
          <w:rFonts w:hint="eastAsia" w:asciiTheme="minorEastAsia" w:hAnsiTheme="minorEastAsia" w:eastAsiaTheme="minorEastAsia" w:cstheme="minorEastAsia"/>
          <w:i w:val="0"/>
          <w:iCs/>
          <w:color w:val="auto"/>
          <w:sz w:val="24"/>
          <w:szCs w:val="24"/>
          <w:highlight w:val="none"/>
        </w:rPr>
      </w:pP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10"/>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10"/>
        <w:numPr>
          <w:ilvl w:val="0"/>
          <w:numId w:val="4"/>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10"/>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10"/>
        <w:numPr>
          <w:ilvl w:val="0"/>
          <w:numId w:val="4"/>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rPr>
          <w:rFonts w:hint="eastAsia" w:ascii="宋体" w:hAnsi="宋体" w:eastAsia="宋体" w:cs="宋体"/>
          <w:color w:val="auto"/>
          <w:sz w:val="24"/>
          <w:szCs w:val="24"/>
          <w:highlight w:val="none"/>
          <w:u w:val="single"/>
          <w:vertAlign w:val="baseline"/>
          <w:lang w:val="en-US" w:eastAsia="zh-CN"/>
        </w:rPr>
      </w:pPr>
      <w:bookmarkStart w:id="3" w:name="_GoBack"/>
      <w:bookmarkEnd w:id="3"/>
    </w:p>
    <w:p>
      <w:pPr>
        <w:pStyle w:val="10"/>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29C2A0"/>
    <w:multiLevelType w:val="singleLevel"/>
    <w:tmpl w:val="B029C2A0"/>
    <w:lvl w:ilvl="0" w:tentative="0">
      <w:start w:val="1"/>
      <w:numFmt w:val="decimal"/>
      <w:suff w:val="nothing"/>
      <w:lvlText w:val="（%1）"/>
      <w:lvlJc w:val="left"/>
    </w:lvl>
  </w:abstractNum>
  <w:abstractNum w:abstractNumId="1">
    <w:nsid w:val="EAEE20F8"/>
    <w:multiLevelType w:val="singleLevel"/>
    <w:tmpl w:val="EAEE20F8"/>
    <w:lvl w:ilvl="0" w:tentative="0">
      <w:start w:val="2"/>
      <w:numFmt w:val="chineseCounting"/>
      <w:suff w:val="nothing"/>
      <w:lvlText w:val="第%1部分."/>
      <w:lvlJc w:val="left"/>
      <w:rPr>
        <w:rFonts w:hint="eastAsia"/>
      </w:rPr>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abstractNum w:abstractNumId="3">
    <w:nsid w:val="4122DDE1"/>
    <w:multiLevelType w:val="singleLevel"/>
    <w:tmpl w:val="4122DDE1"/>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B40DDE"/>
    <w:rsid w:val="03F1316B"/>
    <w:rsid w:val="04A24F71"/>
    <w:rsid w:val="076F3B3B"/>
    <w:rsid w:val="07CA37DF"/>
    <w:rsid w:val="07CC3833"/>
    <w:rsid w:val="0BC07002"/>
    <w:rsid w:val="0BD30473"/>
    <w:rsid w:val="0E2F4C02"/>
    <w:rsid w:val="0E3616E0"/>
    <w:rsid w:val="0E937FF7"/>
    <w:rsid w:val="0F81532F"/>
    <w:rsid w:val="107144D2"/>
    <w:rsid w:val="116419AD"/>
    <w:rsid w:val="11794537"/>
    <w:rsid w:val="11DF6CFE"/>
    <w:rsid w:val="13383335"/>
    <w:rsid w:val="14440D4B"/>
    <w:rsid w:val="14B666F3"/>
    <w:rsid w:val="15056A61"/>
    <w:rsid w:val="182633AB"/>
    <w:rsid w:val="18E57496"/>
    <w:rsid w:val="1A2D5CFF"/>
    <w:rsid w:val="1A386933"/>
    <w:rsid w:val="1A4F176B"/>
    <w:rsid w:val="1A912F72"/>
    <w:rsid w:val="1B3A5FA8"/>
    <w:rsid w:val="1B663F82"/>
    <w:rsid w:val="1C2D4629"/>
    <w:rsid w:val="1C43636C"/>
    <w:rsid w:val="1D904223"/>
    <w:rsid w:val="1F653C49"/>
    <w:rsid w:val="1F6C0D31"/>
    <w:rsid w:val="1FF914D4"/>
    <w:rsid w:val="20735046"/>
    <w:rsid w:val="20752E4A"/>
    <w:rsid w:val="216F4D5B"/>
    <w:rsid w:val="23B738BA"/>
    <w:rsid w:val="24E67795"/>
    <w:rsid w:val="24F737D8"/>
    <w:rsid w:val="25100685"/>
    <w:rsid w:val="26A73075"/>
    <w:rsid w:val="291D0BE8"/>
    <w:rsid w:val="2C535C2D"/>
    <w:rsid w:val="2CA17C08"/>
    <w:rsid w:val="2DDF66E3"/>
    <w:rsid w:val="2FF65FF8"/>
    <w:rsid w:val="300D195C"/>
    <w:rsid w:val="30BF37B5"/>
    <w:rsid w:val="31C955A9"/>
    <w:rsid w:val="33B200AF"/>
    <w:rsid w:val="33E61BE2"/>
    <w:rsid w:val="361736AD"/>
    <w:rsid w:val="36D200CF"/>
    <w:rsid w:val="379951F8"/>
    <w:rsid w:val="38382DC3"/>
    <w:rsid w:val="38DE045C"/>
    <w:rsid w:val="39884C66"/>
    <w:rsid w:val="3A091674"/>
    <w:rsid w:val="3A546240"/>
    <w:rsid w:val="3BF24D81"/>
    <w:rsid w:val="3BFE7BEA"/>
    <w:rsid w:val="3C4750A3"/>
    <w:rsid w:val="3C4A35F1"/>
    <w:rsid w:val="3E664B6D"/>
    <w:rsid w:val="3ED7087B"/>
    <w:rsid w:val="3F141BFC"/>
    <w:rsid w:val="43790A0A"/>
    <w:rsid w:val="43A131E9"/>
    <w:rsid w:val="444D481C"/>
    <w:rsid w:val="44982260"/>
    <w:rsid w:val="44D414C9"/>
    <w:rsid w:val="46472D5E"/>
    <w:rsid w:val="48146BB0"/>
    <w:rsid w:val="496A657E"/>
    <w:rsid w:val="49843C09"/>
    <w:rsid w:val="4B3A1BDA"/>
    <w:rsid w:val="4BF83760"/>
    <w:rsid w:val="4C8349B8"/>
    <w:rsid w:val="4D887555"/>
    <w:rsid w:val="4D887AB0"/>
    <w:rsid w:val="520D6E5F"/>
    <w:rsid w:val="52105B50"/>
    <w:rsid w:val="521D0CD3"/>
    <w:rsid w:val="53115540"/>
    <w:rsid w:val="55C3156A"/>
    <w:rsid w:val="5782183A"/>
    <w:rsid w:val="57BD355E"/>
    <w:rsid w:val="592478EF"/>
    <w:rsid w:val="59A5419F"/>
    <w:rsid w:val="5B0320E2"/>
    <w:rsid w:val="5B8B11A7"/>
    <w:rsid w:val="5B9E2EC4"/>
    <w:rsid w:val="608606DE"/>
    <w:rsid w:val="610E324A"/>
    <w:rsid w:val="61F31EFD"/>
    <w:rsid w:val="63066BC7"/>
    <w:rsid w:val="63D0487B"/>
    <w:rsid w:val="64672037"/>
    <w:rsid w:val="64911DA0"/>
    <w:rsid w:val="65945D8D"/>
    <w:rsid w:val="66C35559"/>
    <w:rsid w:val="67D57489"/>
    <w:rsid w:val="68033D37"/>
    <w:rsid w:val="68570F93"/>
    <w:rsid w:val="69CA1DED"/>
    <w:rsid w:val="6A287B5E"/>
    <w:rsid w:val="6B303A1A"/>
    <w:rsid w:val="6DAA2FDF"/>
    <w:rsid w:val="6E121228"/>
    <w:rsid w:val="6FC971BF"/>
    <w:rsid w:val="70D1495F"/>
    <w:rsid w:val="70ED510D"/>
    <w:rsid w:val="74695E39"/>
    <w:rsid w:val="754C6F3B"/>
    <w:rsid w:val="75B11AFF"/>
    <w:rsid w:val="75D32619"/>
    <w:rsid w:val="75D7406F"/>
    <w:rsid w:val="765369C1"/>
    <w:rsid w:val="767D6887"/>
    <w:rsid w:val="780B6A75"/>
    <w:rsid w:val="784E3C2E"/>
    <w:rsid w:val="79F83E18"/>
    <w:rsid w:val="7A262145"/>
    <w:rsid w:val="7A53531F"/>
    <w:rsid w:val="7BEC3F2B"/>
    <w:rsid w:val="7D0F76D8"/>
    <w:rsid w:val="7E3420E0"/>
    <w:rsid w:val="7E535DCD"/>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5">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6">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w:basedOn w:val="1"/>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Normal Indent"/>
    <w:basedOn w:val="1"/>
    <w:qFormat/>
    <w:uiPriority w:val="0"/>
    <w:pPr>
      <w:ind w:firstLine="420"/>
    </w:pPr>
    <w:rPr>
      <w:rFonts w:ascii="Times New Roman" w:hAnsi="Times New Roman" w:cs="Times New Roman"/>
      <w:kern w:val="0"/>
      <w:sz w:val="20"/>
      <w:szCs w:val="20"/>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2025-09-10T03:41:06Z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8A8C54658E2D41C7A1BB357F29FDF6BB</vt:lpwstr>
  </property>
</Properties>
</file>