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 xml:space="preserve"> 220千伏磨碟洲至柳园线路工程（第二分册）监理（110kV部分）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5"/>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宋体" w:hAnsi="宋体" w:eastAsia="宋体" w:cs="宋体"/>
                <w:b w:val="0"/>
                <w:bCs w:val="0"/>
                <w:kern w:val="0"/>
                <w:sz w:val="24"/>
                <w:szCs w:val="24"/>
                <w:highlight w:val="none"/>
                <w:lang w:val="en-US" w:eastAsia="zh-CN" w:bidi="ar"/>
              </w:rPr>
              <w:t>广供电基〔2024〕96号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shd w:val="clear" w:color="auto" w:fill="auto"/>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80" w:lineRule="exact"/>
              <w:ind w:left="0" w:leftChars="0" w:right="0" w:rightChars="0"/>
              <w:jc w:val="cente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广州市发改备案号：140101442010774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广供电资〔2024〕36号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广州市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广州市电力工程设计院有限公司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napToGrid w:val="0"/>
              <w:spacing w:before="0" w:beforeAutospacing="0" w:after="0" w:afterAutospacing="0"/>
              <w:ind w:left="0" w:right="0"/>
              <w:jc w:val="both"/>
              <w:rPr>
                <w:rFonts w:hint="default"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lang w:val="en-US" w:eastAsia="zh-CN" w:bidi="ar"/>
              </w:rPr>
              <w:t>计划工期：365日历天</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napToGrid w:val="0"/>
              <w:spacing w:before="0" w:beforeAutospacing="0" w:after="0" w:afterAutospacing="0"/>
              <w:ind w:left="0" w:right="0"/>
              <w:jc w:val="both"/>
              <w:rPr>
                <w:rFonts w:hint="default"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lang w:val="en-US" w:eastAsia="zh-CN" w:bidi="ar"/>
              </w:rPr>
              <w:t>计划开工日期：2025年10月30日</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napToGrid w:val="0"/>
              <w:spacing w:before="0" w:beforeAutospacing="0" w:after="0" w:afterAutospacing="0"/>
              <w:ind w:left="0" w:right="0"/>
              <w:jc w:val="both"/>
              <w:rPr>
                <w:rFonts w:hint="default"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lang w:val="en-US" w:eastAsia="zh-CN" w:bidi="ar"/>
              </w:rPr>
              <w:t>计划竣工日期：2026年1</w:t>
            </w:r>
            <w:r>
              <w:rPr>
                <w:rFonts w:hint="eastAsia" w:ascii="宋体" w:hAnsi="宋体" w:cs="宋体"/>
                <w:b w:val="0"/>
                <w:bCs w:val="0"/>
                <w:kern w:val="0"/>
                <w:sz w:val="24"/>
                <w:szCs w:val="24"/>
                <w:highlight w:val="none"/>
                <w:lang w:val="en-US" w:eastAsia="zh-CN" w:bidi="ar"/>
              </w:rPr>
              <w:t>0</w:t>
            </w:r>
            <w:r>
              <w:rPr>
                <w:rFonts w:hint="eastAsia" w:ascii="宋体" w:hAnsi="宋体" w:eastAsia="宋体" w:cs="宋体"/>
                <w:b w:val="0"/>
                <w:bCs w:val="0"/>
                <w:kern w:val="0"/>
                <w:sz w:val="24"/>
                <w:szCs w:val="24"/>
                <w:highlight w:val="none"/>
                <w:lang w:val="en-US" w:eastAsia="zh-CN" w:bidi="ar"/>
              </w:rPr>
              <w:t>月30日</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实际工期以开工报告、竣工报告为准。</w:t>
            </w:r>
          </w:p>
        </w:tc>
      </w:tr>
    </w:tbl>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pStyle w:val="2"/>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※变电部分</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color w:val="000000"/>
          <w:kern w:val="0"/>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w:t>
      </w:r>
      <w:r>
        <w:rPr>
          <w:rFonts w:hint="default" w:ascii="Times New Roman" w:hAnsi="Times New Roman" w:eastAsia="宋体" w:cs="Times New Roman"/>
          <w:color w:val="000000"/>
          <w:kern w:val="0"/>
          <w:sz w:val="24"/>
          <w:szCs w:val="24"/>
          <w:highlight w:val="none"/>
          <w:lang w:val="en-US" w:eastAsia="zh-CN" w:bidi="ar"/>
        </w:rPr>
        <w:t>110kV</w:t>
      </w:r>
      <w:r>
        <w:rPr>
          <w:rFonts w:hint="eastAsia" w:ascii="宋体" w:hAnsi="宋体" w:eastAsia="宋体" w:cs="宋体"/>
          <w:color w:val="000000"/>
          <w:kern w:val="0"/>
          <w:sz w:val="24"/>
          <w:szCs w:val="24"/>
          <w:highlight w:val="none"/>
          <w:lang w:val="en-US" w:eastAsia="zh-CN" w:bidi="ar"/>
        </w:rPr>
        <w:t>艺苑变电站扩建主变工程：本期扩建主变压器</w:t>
      </w:r>
      <w:r>
        <w:rPr>
          <w:rFonts w:hint="default" w:ascii="Times New Roman" w:hAnsi="Times New Roman" w:eastAsia="宋体" w:cs="Times New Roman"/>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w:t>
      </w:r>
      <w:r>
        <w:rPr>
          <w:rFonts w:hint="default" w:ascii="Times New Roman" w:hAnsi="Times New Roman" w:eastAsia="宋体" w:cs="Times New Roman"/>
          <w:color w:val="000000"/>
          <w:kern w:val="0"/>
          <w:sz w:val="24"/>
          <w:szCs w:val="24"/>
          <w:highlight w:val="none"/>
          <w:lang w:val="en-US" w:eastAsia="zh-CN" w:bidi="ar"/>
        </w:rPr>
        <w:t>63MVA</w:t>
      </w:r>
      <w:r>
        <w:rPr>
          <w:rFonts w:hint="eastAsia" w:ascii="宋体" w:hAnsi="宋体" w:eastAsia="宋体" w:cs="宋体"/>
          <w:color w:val="000000"/>
          <w:kern w:val="0"/>
          <w:sz w:val="24"/>
          <w:szCs w:val="24"/>
          <w:highlight w:val="none"/>
          <w:lang w:val="en-US" w:eastAsia="zh-CN" w:bidi="ar"/>
        </w:rPr>
        <w:t>；</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color w:val="000000"/>
          <w:kern w:val="0"/>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w:t>
      </w:r>
      <w:r>
        <w:rPr>
          <w:rFonts w:hint="default" w:ascii="Times New Roman" w:hAnsi="Times New Roman" w:eastAsia="宋体" w:cs="Times New Roman"/>
          <w:color w:val="000000"/>
          <w:kern w:val="0"/>
          <w:sz w:val="24"/>
          <w:szCs w:val="24"/>
          <w:highlight w:val="none"/>
          <w:lang w:val="en-US" w:eastAsia="zh-CN" w:bidi="ar"/>
        </w:rPr>
        <w:t>220kV</w:t>
      </w:r>
      <w:r>
        <w:rPr>
          <w:rFonts w:hint="eastAsia" w:ascii="宋体" w:hAnsi="宋体" w:eastAsia="宋体" w:cs="宋体"/>
          <w:color w:val="000000"/>
          <w:kern w:val="0"/>
          <w:sz w:val="24"/>
          <w:szCs w:val="24"/>
          <w:highlight w:val="none"/>
          <w:lang w:val="en-US" w:eastAsia="zh-CN" w:bidi="ar"/>
        </w:rPr>
        <w:t>磨碟洲变电站扩建间隔（艺苑对侧）工程：本期扩建</w:t>
      </w:r>
      <w:r>
        <w:rPr>
          <w:rFonts w:hint="default" w:ascii="Times New Roman" w:hAnsi="Times New Roman" w:eastAsia="宋体" w:cs="Times New Roman"/>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个</w:t>
      </w:r>
      <w:r>
        <w:rPr>
          <w:rFonts w:hint="default" w:ascii="Times New Roman" w:hAnsi="Times New Roman" w:eastAsia="宋体" w:cs="Times New Roman"/>
          <w:color w:val="000000"/>
          <w:kern w:val="0"/>
          <w:sz w:val="24"/>
          <w:szCs w:val="24"/>
          <w:highlight w:val="none"/>
          <w:lang w:val="en-US" w:eastAsia="zh-CN" w:bidi="ar"/>
        </w:rPr>
        <w:t>110kV</w:t>
      </w:r>
      <w:r>
        <w:rPr>
          <w:rFonts w:hint="eastAsia" w:ascii="宋体" w:hAnsi="宋体" w:eastAsia="宋体" w:cs="宋体"/>
          <w:color w:val="000000"/>
          <w:kern w:val="0"/>
          <w:sz w:val="24"/>
          <w:szCs w:val="24"/>
          <w:highlight w:val="none"/>
          <w:lang w:val="en-US" w:eastAsia="zh-CN" w:bidi="ar"/>
        </w:rPr>
        <w:t>出线间隔。</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2" w:firstLineChars="200"/>
        <w:jc w:val="both"/>
        <w:rPr>
          <w:rFonts w:hint="eastAsia" w:ascii="宋体" w:hAnsi="宋体" w:eastAsia="宋体" w:cs="宋体"/>
          <w:b/>
          <w:bCs w:val="0"/>
          <w:kern w:val="0"/>
          <w:sz w:val="24"/>
          <w:szCs w:val="24"/>
          <w:highlight w:val="none"/>
        </w:rPr>
      </w:pPr>
      <w:r>
        <w:rPr>
          <w:rFonts w:hint="eastAsia" w:ascii="宋体" w:hAnsi="宋体" w:eastAsia="宋体" w:cs="宋体"/>
          <w:b/>
          <w:bCs w:val="0"/>
          <w:kern w:val="0"/>
          <w:sz w:val="24"/>
          <w:szCs w:val="24"/>
          <w:highlight w:val="none"/>
          <w:lang w:val="en-US" w:eastAsia="zh-CN" w:bidi="ar"/>
        </w:rPr>
        <w:t>※电缆线路部分</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1、220千伏磨碟洲~柳园线路工程（第二分册）（磨碟洲～艺苑110kV三回电缆线路）：本工程新建磨碟洲～艺苑#1变、#2变、#3变3回110kV电缆路径长度分别为1.97km、1.943km、1.963km，电缆采用YJLW02-Z-64/110 1×1200mm2电缆；</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2、220千伏磨碟洲~柳园线路工程（第二分册）（磨碟洲～猎桥110kV单回电缆线路）：本工程新建磨碟洲～猎桥单回电缆路径长2.318km，电缆采用YJLW02-Z-64/110 1×1200mm2电缆；</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3、琶洲电力隧道（保利线路段）工程（电缆部分）：本工程新建1回磨碟洲至保利110kV线路，线路起于220kV磨碟洲站电缆进线筒，止于110kV保利站GIS电缆出线筒。新建单回电缆线路路径长度约为3.376km，电缆采用YJLW02-Z-64/110 1×1200mm2电缆。</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2" w:firstLineChars="200"/>
        <w:jc w:val="both"/>
        <w:rPr>
          <w:rFonts w:hint="eastAsia" w:ascii="宋体" w:hAnsi="宋体" w:eastAsia="宋体" w:cs="宋体"/>
          <w:b/>
          <w:bCs w:val="0"/>
          <w:kern w:val="0"/>
          <w:sz w:val="24"/>
          <w:szCs w:val="24"/>
          <w:highlight w:val="none"/>
        </w:rPr>
      </w:pPr>
      <w:r>
        <w:rPr>
          <w:rFonts w:hint="eastAsia" w:ascii="宋体" w:hAnsi="宋体" w:eastAsia="宋体" w:cs="宋体"/>
          <w:b/>
          <w:bCs w:val="0"/>
          <w:kern w:val="0"/>
          <w:sz w:val="24"/>
          <w:szCs w:val="24"/>
          <w:highlight w:val="none"/>
          <w:lang w:val="en-US" w:eastAsia="zh-CN" w:bidi="ar"/>
        </w:rPr>
        <w:t>※通信部分</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1、220千伏磨碟洲~柳园线路工程（第二分册）（磨碟洲～猎桥～艺苑110kV管道光缆）：本工程随磨碟洲站新出2回110kV线路接口现猎雅桥艺线艺苑支线，敷设磨碟洲-艺苑站48芯管道光缆2×2.45km；开通磨碟洲-艺苑站光路，安装相应设备及板卡等；</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2、琶洲电力隧道（保利线路段）工程（站内通信部分）：配套通信设备工程；</w:t>
      </w:r>
    </w:p>
    <w:p>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3、琶洲电力隧道（保利线路段）工程（配套光缆部分）：本工程随新建电缆走廊敷设1根48芯管道光缆，光缆线路长1×3.376km。</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u w:val="single"/>
        </w:rPr>
        <w:t>注：具体建设规模以施工图纸为准。</w:t>
      </w:r>
    </w:p>
    <w:p>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keepNext w:val="0"/>
        <w:keepLines w:val="0"/>
        <w:pageBreakBefore w:val="0"/>
        <w:kinsoku/>
        <w:wordWrap/>
        <w:overflowPunct/>
        <w:topLinePunct w:val="0"/>
        <w:autoSpaceDE/>
        <w:autoSpaceDN/>
        <w:bidi w:val="0"/>
        <w:adjustRightInd/>
        <w:snapToGrid/>
        <w:spacing w:before="157" w:beforeLines="50" w:after="157" w:afterLines="50"/>
        <w:ind w:firstLine="480" w:firstLineChars="200"/>
        <w:textAlignment w:val="auto"/>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pPr>
      <w:r>
        <w:rPr>
          <w:rFonts w:hint="eastAsia" w:hAnsi="宋体"/>
          <w:color w:val="auto"/>
          <w:sz w:val="24"/>
          <w:szCs w:val="24"/>
          <w:highlight w:val="none"/>
          <w:u w:val="single"/>
        </w:rPr>
        <w:t>勘察设计、施工准备（含三通一平）、施工（含通信）、竣工结算、缺陷责任期、电子化移交的全过程监理</w:t>
      </w:r>
      <w:r>
        <w:rPr>
          <w:rFonts w:hint="eastAsia" w:hAnsi="宋体"/>
          <w:color w:val="auto"/>
          <w:sz w:val="24"/>
          <w:szCs w:val="24"/>
          <w:highlight w:val="none"/>
          <w:u w:val="single"/>
          <w:lang w:eastAsia="zh-CN"/>
        </w:rPr>
        <w:t>，以及初步设计概算（或施工图预算）中监理计费范围以外但与工程相关的监理工作。</w:t>
      </w:r>
      <w:r>
        <w:rPr>
          <w:rFonts w:hint="eastAsia" w:hAnsi="宋体"/>
          <w:color w:val="auto"/>
          <w:sz w:val="24"/>
          <w:szCs w:val="24"/>
          <w:highlight w:val="none"/>
          <w:u w:val="single"/>
        </w:rPr>
        <w:t>按照建设单位要求使用工程信息管理系统</w:t>
      </w:r>
      <w:r>
        <w:rPr>
          <w:rFonts w:hint="eastAsia" w:hAnsi="宋体"/>
          <w:color w:val="auto"/>
          <w:sz w:val="24"/>
          <w:szCs w:val="24"/>
          <w:highlight w:val="none"/>
        </w:rPr>
        <w:t>。</w:t>
      </w:r>
    </w:p>
    <w:p>
      <w:pPr>
        <w:rPr>
          <w:rFonts w:hint="eastAsia"/>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242"/>
        <w:gridCol w:w="1519"/>
        <w:gridCol w:w="1033"/>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bottom w:val="single" w:color="auto" w:sz="4" w:space="0"/>
            </w:tcBorders>
            <w:noWrap w:val="0"/>
            <w:vAlign w:val="center"/>
          </w:tcPr>
          <w:p>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242" w:type="dxa"/>
            <w:tcBorders>
              <w:bottom w:val="single" w:color="auto" w:sz="4" w:space="0"/>
            </w:tcBorders>
            <w:noWrap w:val="0"/>
            <w:vAlign w:val="center"/>
          </w:tcPr>
          <w:p>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519" w:type="dxa"/>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033" w:type="dxa"/>
            <w:tcBorders>
              <w:bottom w:val="single" w:color="auto" w:sz="4" w:space="0"/>
            </w:tcBorders>
            <w:noWrap w:val="0"/>
            <w:vAlign w:val="center"/>
          </w:tcPr>
          <w:p>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559" w:type="dxa"/>
            <w:tcBorders>
              <w:bottom w:val="single" w:color="auto" w:sz="4" w:space="0"/>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134" w:type="dxa"/>
            <w:tcBorders>
              <w:bottom w:val="single" w:color="auto" w:sz="4" w:space="0"/>
            </w:tcBorders>
            <w:noWrap w:val="0"/>
            <w:vAlign w:val="center"/>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一</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变电工程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88611.84 </w:t>
            </w:r>
          </w:p>
        </w:tc>
        <w:tc>
          <w:tcPr>
            <w:tcW w:w="1033" w:type="dxa"/>
            <w:vMerge w:val="restart"/>
            <w:tcBorders>
              <w:top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110kV艺苑变电站扩建主变工程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64326.87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220kV磨碟洲变电站扩建间隔（艺苑对侧）工程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24284.97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二</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b/>
                <w:bCs/>
                <w:i w:val="0"/>
                <w:iCs w:val="0"/>
                <w:color w:val="000000"/>
                <w:kern w:val="0"/>
                <w:sz w:val="21"/>
                <w:szCs w:val="21"/>
                <w:highlight w:val="none"/>
                <w:u w:val="none"/>
                <w:lang w:val="en-US" w:eastAsia="zh-CN" w:bidi="ar"/>
              </w:rPr>
              <w:t>线路工程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138960.03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220千伏磨碟洲~柳园线路工程（第二分册）（磨碟洲～艺苑110kV三回电缆线路）</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88000.83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220千伏磨碟洲~柳园线路工程（第二分册）（磨碟洲～猎桥110kV单回电缆线路）</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50959.20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琶洲电力隧道（保利线路段）工程（电缆部分）</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40014.96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三</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b/>
                <w:bCs/>
                <w:i w:val="0"/>
                <w:iCs w:val="0"/>
                <w:color w:val="000000"/>
                <w:kern w:val="0"/>
                <w:sz w:val="21"/>
                <w:szCs w:val="21"/>
                <w:highlight w:val="none"/>
                <w:u w:val="none"/>
                <w:lang w:val="en-US" w:eastAsia="zh-CN" w:bidi="ar"/>
              </w:rPr>
              <w:t>配套通信工程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13106.27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220千伏磨碟洲~柳园线路工程（第二分册）（磨碟洲～猎桥～艺苑110kV管道光缆）</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6257.68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琶洲电力隧道（保利线路段）工程（站内通信部分）</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2527.38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琶洲电力隧道（保利线路段）工程（配套光缆部分）</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4321.21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spacing w:line="240" w:lineRule="auto"/>
              <w:jc w:val="left"/>
              <w:rPr>
                <w:rFonts w:ascii="宋体" w:hAnsi="宋体"/>
                <w:color w:val="auto"/>
                <w:highlight w:val="none"/>
              </w:rPr>
            </w:pP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hAnsi="宋体"/>
                <w:color w:val="auto"/>
                <w:highlight w:val="none"/>
                <w:u w:val="single"/>
              </w:rPr>
            </w:pPr>
            <w:r>
              <w:rPr>
                <w:rFonts w:hint="eastAsia" w:hAnsi="宋体" w:cs="Times New Roman"/>
                <w:b/>
                <w:bCs/>
                <w:color w:val="auto"/>
                <w:sz w:val="21"/>
                <w:szCs w:val="21"/>
                <w:highlight w:val="none"/>
                <w:u w:val="single"/>
                <w:lang w:val="en-US" w:eastAsia="zh-CN"/>
              </w:rPr>
              <w:t>合计（小写）</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240678.14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bl>
    <w:p>
      <w:pPr>
        <w:pStyle w:val="3"/>
        <w:rPr>
          <w:rFonts w:hint="eastAsia"/>
          <w:highlight w:val="none"/>
          <w:lang w:val="en-US" w:eastAsia="zh-CN"/>
        </w:rPr>
      </w:pPr>
    </w:p>
    <w:p>
      <w:pPr>
        <w:rPr>
          <w:rFonts w:hint="eastAsia"/>
          <w:highlight w:val="none"/>
          <w:lang w:val="en-US" w:eastAsia="zh-CN"/>
        </w:rPr>
      </w:pPr>
    </w:p>
    <w:p>
      <w:pPr>
        <w:pStyle w:val="7"/>
        <w:spacing w:line="240" w:lineRule="auto"/>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2"/>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（1）按下浮率报价（保留两位小数，如 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pStyle w:val="2"/>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p>
    <w:p>
      <w:pPr>
        <w:pStyle w:val="8"/>
        <w:spacing w:line="240" w:lineRule="auto"/>
        <w:jc w:val="left"/>
        <w:rPr>
          <w:rFonts w:hint="default" w:ascii="宋体" w:hAnsi="宋体" w:eastAsia="宋体" w:cs="宋体"/>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（3）价格分计算时，投标人评标价按（100-投标人填写的下浮数值）参与计算。如：下浮率为1.88％时，评标价按（100-1.88）参与计算。</w:t>
      </w:r>
    </w:p>
    <w:p>
      <w:pPr>
        <w:rPr>
          <w:rFonts w:hint="eastAsia"/>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9"/>
        <w:spacing w:line="360" w:lineRule="auto"/>
        <w:ind w:left="0" w:leftChars="0" w:firstLine="420" w:firstLineChars="200"/>
        <w:rPr>
          <w:rFonts w:hint="eastAsia" w:ascii="宋体" w:hAnsi="宋体" w:eastAsia="宋体" w:cs="宋体"/>
          <w:color w:val="auto"/>
          <w:szCs w:val="21"/>
          <w:highlight w:val="none"/>
          <w:u w:val="single"/>
        </w:rPr>
      </w:pPr>
      <w:r>
        <w:rPr>
          <w:rFonts w:hint="eastAsia" w:ascii="宋体" w:hAnsi="宋体" w:eastAsia="宋体" w:cs="宋体"/>
          <w:b w:val="0"/>
          <w:bCs w:val="0"/>
          <w:color w:val="auto"/>
          <w:kern w:val="2"/>
          <w:sz w:val="21"/>
          <w:szCs w:val="21"/>
          <w:highlight w:val="none"/>
          <w:u w:val="single"/>
          <w:lang w:val="en-US" w:eastAsia="zh-CN" w:bidi="ar-SA"/>
        </w:rPr>
        <w:t>本合同为暂定价合同，最终合同结算价为：（审定初步设计概算监理费+ 初设概算监理计费范围以外的监理工作费用）×（1-投标下浮率）+监理增加费±合同内约定且实际发生的相关奖罚费用 + 招标代理服务费</w:t>
      </w:r>
      <w:r>
        <w:rPr>
          <w:rFonts w:hint="eastAsia" w:ascii="宋体" w:hAnsi="宋体" w:eastAsia="宋体" w:cs="宋体"/>
          <w:color w:val="auto"/>
          <w:szCs w:val="21"/>
          <w:highlight w:val="none"/>
          <w:u w:val="single"/>
        </w:rPr>
        <w:t>。</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其中：</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1）审定初步设计概算监理费：须与中标单位在本项目中参与的项目实施阶段对应，结算时由业主项目部进行复核确认。如中标单位未参与勘察设计阶段的监理工作，需扣除13%的监理费；如中标单位参与勘察设计阶段的监理工作，则按其所参与的阶段分别计取：勘察阶段按3%，初步设计阶段按4%、施工图设计阶段按6%。</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因规模变化需要调整可研、初设、施工图的，结算价按调整后批复的初设概算对应参与阶段的监理费用×（1-投标下浮率）+监理增加费进行结算。</w:t>
      </w:r>
    </w:p>
    <w:p>
      <w:pPr>
        <w:pStyle w:val="9"/>
        <w:spacing w:line="360" w:lineRule="auto"/>
        <w:ind w:left="0" w:leftChars="0" w:firstLine="420" w:firstLineChars="200"/>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因监理增加费造成结算费用超过以审定的概算为基数的监理费的，按上述公式和审定的概算为基数的监理费两者较低值进行结算。</w:t>
      </w:r>
    </w:p>
    <w:p>
      <w:pPr>
        <w:pStyle w:val="9"/>
        <w:spacing w:line="360" w:lineRule="auto"/>
        <w:ind w:left="0" w:leftChars="0" w:firstLine="420" w:firstLineChars="200"/>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注：监理增加费按《公司基于本质安全管理的主网基建项目施工监理费用指导意见讨论会纪要》（输配电〔2025〕第 66 期）执行。</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2）“初设概算监理计费范围以外的监理工作”包括但不限于：监理单位对路面修复（含市政路面、公路等）、交通疏解、跨（穿）越铁路/公路、管线迁移、绿化迁移、林木砍伐等各项取费基数不包含在初设概算监理费计费基数中的非本体工程的监理见证工作。其监理费用取费基数为初设概算监理计费范围以外实际发生、且经由监理人见证确认部分的工程费用，该工程费用以业主项目部或第三方审核机构审定的为准；取费费率按照《关于落实《国家发展改革委关于进一步放开建设项目专业服务价格的通知》(发改价格[2015]299号)的指导意见（中电联定额[2015]162号文）》相关规定执行，不足部分参照相关行业费用计算规定执行。项目实施过程中如有最新规定，按新的政策性文件执行。</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（3）招标代理服务费按实际支付给招标代理的费用为准，监理人可在预付款申请或进度款申请时同时申请支付。</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（4）投标下浮率（%）＝（1-投标报价/最高投标限价）×100%</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13"/>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13"/>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2"/>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2"/>
        <w:rPr>
          <w:rFonts w:hint="eastAsia" w:asciiTheme="minorEastAsia" w:hAnsiTheme="minorEastAsia" w:eastAsiaTheme="minorEastAsia" w:cstheme="minorEastAsia"/>
          <w:i w:val="0"/>
          <w:iCs/>
          <w:color w:val="auto"/>
          <w:sz w:val="24"/>
          <w:szCs w:val="24"/>
          <w:highlight w:val="none"/>
        </w:rPr>
      </w:pP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pPr>
        <w:pStyle w:val="2"/>
        <w:numPr>
          <w:ilvl w:val="0"/>
          <w:numId w:val="0"/>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2"/>
        <w:numPr>
          <w:ilvl w:val="0"/>
          <w:numId w:val="3"/>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2"/>
        <w:numPr>
          <w:ilvl w:val="0"/>
          <w:numId w:val="3"/>
        </w:numPr>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pPr>
        <w:rPr>
          <w:rFonts w:hint="eastAsia" w:ascii="宋体" w:hAnsi="宋体" w:eastAsia="宋体" w:cs="宋体"/>
          <w:color w:val="auto"/>
          <w:sz w:val="24"/>
          <w:szCs w:val="24"/>
          <w:highlight w:val="none"/>
          <w:u w:val="single"/>
          <w:lang w:val="en-US" w:eastAsia="zh-CN"/>
        </w:rPr>
      </w:pPr>
      <w:bookmarkStart w:id="3" w:name="_GoBack"/>
      <w:bookmarkEnd w:id="3"/>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abstractNum w:abstractNumId="2">
    <w:nsid w:val="4122DDE1"/>
    <w:multiLevelType w:val="singleLevel"/>
    <w:tmpl w:val="4122DDE1"/>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34C42F7"/>
    <w:rsid w:val="03F1316B"/>
    <w:rsid w:val="04A24F71"/>
    <w:rsid w:val="076F3B3B"/>
    <w:rsid w:val="07CA37DF"/>
    <w:rsid w:val="07CC3833"/>
    <w:rsid w:val="0BC07002"/>
    <w:rsid w:val="0BD30473"/>
    <w:rsid w:val="0E2F4C02"/>
    <w:rsid w:val="0E3616E0"/>
    <w:rsid w:val="0E937FF7"/>
    <w:rsid w:val="0F81532F"/>
    <w:rsid w:val="107144D2"/>
    <w:rsid w:val="116419AD"/>
    <w:rsid w:val="11794537"/>
    <w:rsid w:val="11DF6CFE"/>
    <w:rsid w:val="13383335"/>
    <w:rsid w:val="14440D4B"/>
    <w:rsid w:val="14B666F3"/>
    <w:rsid w:val="15056A61"/>
    <w:rsid w:val="1769336F"/>
    <w:rsid w:val="182633AB"/>
    <w:rsid w:val="18E57496"/>
    <w:rsid w:val="1A2D5CFF"/>
    <w:rsid w:val="1A386933"/>
    <w:rsid w:val="1A4F176B"/>
    <w:rsid w:val="1A912F72"/>
    <w:rsid w:val="1B663F82"/>
    <w:rsid w:val="1C2D4629"/>
    <w:rsid w:val="1C3C2FC0"/>
    <w:rsid w:val="1C43636C"/>
    <w:rsid w:val="1D904223"/>
    <w:rsid w:val="1F127104"/>
    <w:rsid w:val="1F653C49"/>
    <w:rsid w:val="1F6C0D31"/>
    <w:rsid w:val="1FF914D4"/>
    <w:rsid w:val="20735046"/>
    <w:rsid w:val="216F4D5B"/>
    <w:rsid w:val="23B738BA"/>
    <w:rsid w:val="24E67795"/>
    <w:rsid w:val="24F737D8"/>
    <w:rsid w:val="25100685"/>
    <w:rsid w:val="26A73075"/>
    <w:rsid w:val="2CA17C08"/>
    <w:rsid w:val="2DDF66E3"/>
    <w:rsid w:val="2FF65FF8"/>
    <w:rsid w:val="300D195C"/>
    <w:rsid w:val="30BF37B5"/>
    <w:rsid w:val="31C955A9"/>
    <w:rsid w:val="33B200AF"/>
    <w:rsid w:val="33E61BE2"/>
    <w:rsid w:val="361736AD"/>
    <w:rsid w:val="36D200CF"/>
    <w:rsid w:val="379951F8"/>
    <w:rsid w:val="38382DC3"/>
    <w:rsid w:val="38DE045C"/>
    <w:rsid w:val="3A546240"/>
    <w:rsid w:val="3B95252E"/>
    <w:rsid w:val="3BF24D81"/>
    <w:rsid w:val="3BFE7BEA"/>
    <w:rsid w:val="3C4750A3"/>
    <w:rsid w:val="3C4A35F1"/>
    <w:rsid w:val="3CB849AA"/>
    <w:rsid w:val="3E664B6D"/>
    <w:rsid w:val="3ED7087B"/>
    <w:rsid w:val="3F141BFC"/>
    <w:rsid w:val="444D481C"/>
    <w:rsid w:val="44982260"/>
    <w:rsid w:val="44D414C9"/>
    <w:rsid w:val="46472D5E"/>
    <w:rsid w:val="469D4A97"/>
    <w:rsid w:val="496A657E"/>
    <w:rsid w:val="49843C09"/>
    <w:rsid w:val="4B3A1BDA"/>
    <w:rsid w:val="4BF83760"/>
    <w:rsid w:val="4C8349B8"/>
    <w:rsid w:val="520D6E5F"/>
    <w:rsid w:val="53115540"/>
    <w:rsid w:val="55C3156A"/>
    <w:rsid w:val="5782183A"/>
    <w:rsid w:val="57BD355E"/>
    <w:rsid w:val="59A5419F"/>
    <w:rsid w:val="5B0320E2"/>
    <w:rsid w:val="5B8B11A7"/>
    <w:rsid w:val="5B9E2EC4"/>
    <w:rsid w:val="5E231FA0"/>
    <w:rsid w:val="5FA5744E"/>
    <w:rsid w:val="608606DE"/>
    <w:rsid w:val="610E324A"/>
    <w:rsid w:val="61AE70E7"/>
    <w:rsid w:val="61F31EFD"/>
    <w:rsid w:val="63066BC7"/>
    <w:rsid w:val="63D0487B"/>
    <w:rsid w:val="64672037"/>
    <w:rsid w:val="64911DA0"/>
    <w:rsid w:val="65945D8D"/>
    <w:rsid w:val="66C35559"/>
    <w:rsid w:val="67D57489"/>
    <w:rsid w:val="68570F93"/>
    <w:rsid w:val="6A287B5E"/>
    <w:rsid w:val="6B303A1A"/>
    <w:rsid w:val="6BE65B08"/>
    <w:rsid w:val="6DAA2FDF"/>
    <w:rsid w:val="6E121228"/>
    <w:rsid w:val="6FC971BF"/>
    <w:rsid w:val="70D1495F"/>
    <w:rsid w:val="70ED510D"/>
    <w:rsid w:val="728508F4"/>
    <w:rsid w:val="74695E39"/>
    <w:rsid w:val="754C6F3B"/>
    <w:rsid w:val="75B11AFF"/>
    <w:rsid w:val="75D32619"/>
    <w:rsid w:val="765369C1"/>
    <w:rsid w:val="767D6887"/>
    <w:rsid w:val="780B6A75"/>
    <w:rsid w:val="79F83E18"/>
    <w:rsid w:val="7A262145"/>
    <w:rsid w:val="7BEC3F2B"/>
    <w:rsid w:val="7D0F76D8"/>
    <w:rsid w:val="7D220F5E"/>
    <w:rsid w:val="7E3420E0"/>
    <w:rsid w:val="7E535DCD"/>
    <w:rsid w:val="7F7B4315"/>
    <w:rsid w:val="7FF40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rPr>
      <w:sz w:val="24"/>
    </w:rPr>
  </w:style>
  <w:style w:type="paragraph" w:styleId="13">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目录 21"/>
    <w:basedOn w:val="1"/>
    <w:next w:val="1"/>
    <w:qFormat/>
    <w:uiPriority w:val="0"/>
    <w:pPr>
      <w:spacing w:before="100" w:beforeAutospacing="1" w:after="100" w:afterAutospacing="1"/>
      <w:ind w:left="420" w:leftChars="200"/>
    </w:pPr>
  </w:style>
  <w:style w:type="paragraph" w:customStyle="1" w:styleId="18">
    <w:name w:val="正文首行缩进1"/>
    <w:basedOn w:val="1"/>
    <w:qFormat/>
    <w:uiPriority w:val="0"/>
    <w:pPr>
      <w:spacing w:line="360" w:lineRule="auto"/>
      <w:ind w:firstLine="200" w:firstLineChars="200"/>
    </w:pPr>
    <w:rPr>
      <w:kern w:val="2"/>
      <w:sz w:val="24"/>
      <w:szCs w:val="24"/>
    </w:rPr>
  </w:style>
  <w:style w:type="character" w:customStyle="1" w:styleId="19">
    <w:name w:val="font31"/>
    <w:qFormat/>
    <w:uiPriority w:val="0"/>
    <w:rPr>
      <w:rFonts w:hint="eastAsia" w:ascii="宋体" w:hAnsi="宋体" w:eastAsia="宋体" w:cs="宋体"/>
      <w:color w:val="000000"/>
      <w:sz w:val="24"/>
      <w:szCs w:val="24"/>
      <w:u w:val="none"/>
    </w:rPr>
  </w:style>
  <w:style w:type="character" w:customStyle="1" w:styleId="20">
    <w:name w:val="font91"/>
    <w:qFormat/>
    <w:uiPriority w:val="0"/>
    <w:rPr>
      <w:rFonts w:ascii="Arial" w:hAnsi="Arial" w:cs="Arial"/>
      <w:color w:val="000000"/>
      <w:sz w:val="24"/>
      <w:szCs w:val="24"/>
      <w:u w:val="none"/>
    </w:rPr>
  </w:style>
  <w:style w:type="character" w:customStyle="1" w:styleId="21">
    <w:name w:val="font6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2400</Words>
  <Characters>2740</Characters>
  <Lines>0</Lines>
  <Paragraphs>0</Paragraphs>
  <TotalTime>1</TotalTime>
  <ScaleCrop>false</ScaleCrop>
  <LinksUpToDate>false</LinksUpToDate>
  <CharactersWithSpaces>3015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cp:lastPrinted>2025-09-15T08:09:00Z</cp:lastPrinted>
  <dcterms:modified xsi:type="dcterms:W3CDTF">2025-09-15T08:34:15Z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8A8C54658E2D41C7A1BB357F29FDF6BB</vt:lpwstr>
  </property>
  <property fmtid="{D5CDD505-2E9C-101B-9397-08002B2CF9AE}" pid="4" name="KSOTemplateDocerSaveRecord">
    <vt:lpwstr>eyJoZGlkIjoiMTU4ZDFjNTliNmY5NmQ4NzhiODgxZjdiNmExNDg4YTkiLCJ1c2VySWQiOiI0NDYzOTE3ODIifQ==</vt:lpwstr>
  </property>
</Properties>
</file>