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32"/>
          <w:szCs w:val="32"/>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32"/>
          <w:szCs w:val="32"/>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220千伏围福输变电工程（土建分册）监理</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w:t>
      </w:r>
    </w:p>
    <w:bookmarkEnd w:id="0"/>
    <w:p>
      <w:pPr>
        <w:pStyle w:val="11"/>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p>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u w:val="none"/>
          <w:lang w:val="en-US" w:eastAsia="zh-CN"/>
        </w:rPr>
      </w:pPr>
      <w:r>
        <w:rPr>
          <w:rFonts w:hint="eastAsia" w:hAnsi="宋体" w:cs="宋体"/>
          <w:b/>
          <w:bCs/>
          <w:snapToGrid w:val="0"/>
          <w:color w:val="auto"/>
          <w:kern w:val="0"/>
          <w:sz w:val="24"/>
          <w:szCs w:val="24"/>
          <w:highlight w:val="none"/>
          <w:u w:val="none"/>
          <w:lang w:val="en-US" w:eastAsia="zh-CN"/>
        </w:rPr>
        <w:t>招标前期资料</w:t>
      </w:r>
    </w:p>
    <w:tbl>
      <w:tblPr>
        <w:tblStyle w:val="13"/>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hAnsi="宋体" w:cs="宋体"/>
                <w:b/>
                <w:bCs/>
                <w:snapToGrid w:val="0"/>
                <w:color w:val="auto"/>
                <w:kern w:val="0"/>
                <w:sz w:val="24"/>
                <w:szCs w:val="24"/>
                <w:highlight w:val="none"/>
                <w:u w:val="none"/>
                <w:vertAlign w:val="baseline"/>
                <w:lang w:val="en-US" w:eastAsia="zh-CN"/>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广供电基〔2024〕141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穗开发改函〔2024〕464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广供电资〔2025〕26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广州市黄埔区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6</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前期的设计或咨询服务单位名称</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exact"/>
          <w:jc w:val="center"/>
        </w:trPr>
        <w:tc>
          <w:tcPr>
            <w:tcW w:w="776"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工期/服务期</w:t>
            </w:r>
          </w:p>
        </w:tc>
        <w:tc>
          <w:tcPr>
            <w:tcW w:w="5250" w:type="dxa"/>
            <w:noWrap w:val="0"/>
            <w:vAlign w:val="center"/>
          </w:tcPr>
          <w:p>
            <w:pPr>
              <w:pStyle w:val="11"/>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合同签订之日起395日历天，实际工期以开工报告、竣工报告为准。</w:t>
            </w:r>
          </w:p>
        </w:tc>
      </w:tr>
    </w:tbl>
    <w:p>
      <w:pPr>
        <w:pStyle w:val="11"/>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pPr>
        <w:spacing w:line="360" w:lineRule="auto"/>
        <w:rPr>
          <w:rFonts w:hint="eastAsia" w:ascii="宋体" w:hAnsi="宋体" w:eastAsia="宋体" w:cs="宋体"/>
          <w:b/>
          <w:bCs w:val="0"/>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r>
        <w:rPr>
          <w:rFonts w:hint="eastAsia" w:ascii="宋体" w:hAnsi="宋体" w:eastAsia="宋体" w:cs="宋体"/>
          <w:b/>
          <w:bCs w:val="0"/>
          <w:color w:val="auto"/>
          <w:sz w:val="24"/>
          <w:szCs w:val="24"/>
          <w:highlight w:val="none"/>
          <w:lang w:val="en-US" w:eastAsia="zh-CN"/>
        </w:rPr>
        <w:t xml:space="preserve"> </w:t>
      </w:r>
    </w:p>
    <w:p>
      <w:pPr>
        <w:pStyle w:val="11"/>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本期建设完成变电站土建部分。建设范围仅包括：变电站土建、照明及防雷接地部分。</w:t>
      </w:r>
    </w:p>
    <w:p>
      <w:pPr>
        <w:pStyle w:val="11"/>
        <w:keepNext w:val="0"/>
        <w:keepLines w:val="0"/>
        <w:pageBreakBefore w:val="0"/>
        <w:kinsoku/>
        <w:wordWrap/>
        <w:overflowPunct/>
        <w:topLinePunct w:val="0"/>
        <w:bidi w:val="0"/>
        <w:adjustRightInd w:val="0"/>
        <w:snapToGrid w:val="0"/>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本站按最终规模一次征地。站址位于广州市黄埔区知识城创新大道和园区一路交界东北角。站区拟征地面积 9927.877 平方米, 其中围墙内用地面积 9157.0 平方米。</w:t>
      </w:r>
    </w:p>
    <w:p>
      <w:pPr>
        <w:keepNext w:val="0"/>
        <w:keepLines w:val="0"/>
        <w:pageBreakBefore w:val="0"/>
        <w:kinsoku/>
        <w:wordWrap/>
        <w:overflowPunct/>
        <w:topLinePunct w:val="0"/>
        <w:autoSpaceDE/>
        <w:autoSpaceDN/>
        <w:bidi w:val="0"/>
        <w:adjustRightInd/>
        <w:snapToGrid/>
        <w:spacing w:before="157" w:beforeLines="50" w:after="157" w:afterLines="50"/>
        <w:ind w:firstLine="482" w:firstLineChars="200"/>
        <w:textAlignment w:val="auto"/>
        <w:rPr>
          <w:rFonts w:hint="eastAsia"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二、招标采购范围</w:t>
      </w:r>
    </w:p>
    <w:p>
      <w:pPr>
        <w:keepNext w:val="0"/>
        <w:keepLines w:val="0"/>
        <w:pageBreakBefore w:val="0"/>
        <w:kinsoku/>
        <w:wordWrap/>
        <w:overflowPunct/>
        <w:topLinePunct w:val="0"/>
        <w:autoSpaceDE/>
        <w:autoSpaceDN/>
        <w:bidi w:val="0"/>
        <w:adjustRightInd/>
        <w:snapToGrid/>
        <w:spacing w:before="157" w:beforeLines="50" w:after="157" w:afterLines="50" w:line="360" w:lineRule="auto"/>
        <w:ind w:firstLine="480" w:firstLineChars="200"/>
        <w:textAlignment w:val="auto"/>
        <w:rPr>
          <w:rFonts w:hint="eastAsia"/>
          <w:highlight w:val="none"/>
          <w:lang w:val="en-US" w:eastAsia="zh-CN"/>
        </w:rPr>
      </w:pPr>
      <w:r>
        <w:rPr>
          <w:rFonts w:hint="eastAsia" w:hAnsi="宋体"/>
          <w:color w:val="auto"/>
          <w:sz w:val="24"/>
          <w:szCs w:val="24"/>
          <w:highlight w:val="none"/>
          <w:u w:val="single"/>
        </w:rPr>
        <w:t>勘察设计、施工准备（含三通一平）、施工（含通信）、竣工结算、缺陷责任期、电子化移交的全过程监理</w:t>
      </w:r>
      <w:r>
        <w:rPr>
          <w:rFonts w:hint="eastAsia" w:hAnsi="宋体"/>
          <w:color w:val="auto"/>
          <w:sz w:val="24"/>
          <w:szCs w:val="24"/>
          <w:highlight w:val="none"/>
          <w:u w:val="single"/>
          <w:lang w:eastAsia="zh-CN"/>
        </w:rPr>
        <w:t>，以及初步设计概算（或施工图预算）中监理计费范围以外但与工程相关的监理工作。</w:t>
      </w:r>
      <w:r>
        <w:rPr>
          <w:rFonts w:hint="eastAsia" w:hAnsi="宋体"/>
          <w:color w:val="auto"/>
          <w:sz w:val="24"/>
          <w:szCs w:val="24"/>
          <w:highlight w:val="none"/>
          <w:u w:val="single"/>
        </w:rPr>
        <w:t>按照建设单位要求使用工程信息管理系统</w:t>
      </w:r>
      <w:r>
        <w:rPr>
          <w:rFonts w:hint="eastAsia" w:hAnsi="宋体"/>
          <w:color w:val="auto"/>
          <w:sz w:val="24"/>
          <w:szCs w:val="24"/>
          <w:highlight w:val="none"/>
        </w:rPr>
        <w:t>。</w:t>
      </w:r>
    </w:p>
    <w:p>
      <w:pPr>
        <w:pStyle w:val="6"/>
        <w:keepNext w:val="0"/>
        <w:keepLines w:val="0"/>
        <w:pageBreakBefore w:val="0"/>
        <w:numPr>
          <w:ilvl w:val="0"/>
          <w:numId w:val="0"/>
        </w:numPr>
        <w:kinsoku/>
        <w:wordWrap/>
        <w:overflowPunct/>
        <w:topLinePunct w:val="0"/>
        <w:bidi w:val="0"/>
        <w:spacing w:line="360" w:lineRule="auto"/>
        <w:ind w:leftChars="0" w:firstLine="482" w:firstLineChars="20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br w:type="textWrapping"/>
      </w:r>
      <w:r>
        <w:rPr>
          <w:rFonts w:hint="eastAsia" w:asciiTheme="minorEastAsia" w:hAnsiTheme="minorEastAsia" w:eastAsiaTheme="minorEastAsia" w:cstheme="minorEastAsia"/>
          <w:b/>
          <w:bCs/>
          <w:i w:val="0"/>
          <w:color w:val="auto"/>
          <w:kern w:val="2"/>
          <w:sz w:val="24"/>
          <w:szCs w:val="24"/>
          <w:highlight w:val="none"/>
          <w:lang w:val="en-US" w:eastAsia="zh-CN" w:bidi="ar-SA"/>
        </w:rPr>
        <w:br w:type="textWrapping"/>
      </w:r>
      <w:r>
        <w:rPr>
          <w:rFonts w:hint="eastAsia" w:asciiTheme="minorEastAsia" w:hAnsiTheme="minorEastAsia" w:eastAsiaTheme="minorEastAsia" w:cstheme="minorEastAsia"/>
          <w:b/>
          <w:bCs/>
          <w:i w:val="0"/>
          <w:color w:val="auto"/>
          <w:kern w:val="2"/>
          <w:sz w:val="24"/>
          <w:szCs w:val="24"/>
          <w:highlight w:val="none"/>
          <w:lang w:val="en-US" w:eastAsia="zh-CN" w:bidi="ar-SA"/>
        </w:rPr>
        <w:br w:type="textWrapping"/>
      </w:r>
      <w:r>
        <w:rPr>
          <w:rFonts w:hint="eastAsia" w:asciiTheme="minorEastAsia" w:hAnsiTheme="minorEastAsia" w:eastAsiaTheme="minorEastAsia" w:cstheme="minorEastAsia"/>
          <w:b/>
          <w:bCs/>
          <w:i w:val="0"/>
          <w:color w:val="auto"/>
          <w:kern w:val="2"/>
          <w:sz w:val="24"/>
          <w:szCs w:val="24"/>
          <w:highlight w:val="none"/>
          <w:lang w:val="en-US" w:eastAsia="zh-CN" w:bidi="ar-SA"/>
        </w:rPr>
        <w:br w:type="textWrapping"/>
      </w:r>
      <w:r>
        <w:rPr>
          <w:rFonts w:hint="eastAsia" w:asciiTheme="minorEastAsia" w:hAnsiTheme="minorEastAsia" w:eastAsiaTheme="minorEastAsia" w:cstheme="minorEastAsia"/>
          <w:b/>
          <w:bCs/>
          <w:i w:val="0"/>
          <w:color w:val="auto"/>
          <w:kern w:val="2"/>
          <w:sz w:val="24"/>
          <w:szCs w:val="24"/>
          <w:highlight w:val="none"/>
          <w:lang w:val="en-US" w:eastAsia="zh-CN" w:bidi="ar-SA"/>
        </w:rPr>
        <w:t xml:space="preserve">    三、报价表</w:t>
      </w:r>
    </w:p>
    <w:tbl>
      <w:tblPr>
        <w:tblStyle w:val="12"/>
        <w:tblpPr w:leftFromText="180" w:rightFromText="180" w:vertAnchor="text" w:horzAnchor="page" w:tblpX="1646" w:tblpY="65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242"/>
        <w:gridCol w:w="1519"/>
        <w:gridCol w:w="1033"/>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bottom w:val="single" w:color="auto" w:sz="4" w:space="0"/>
            </w:tcBorders>
            <w:noWrap w:val="0"/>
            <w:vAlign w:val="center"/>
          </w:tcPr>
          <w:p>
            <w:pPr>
              <w:tabs>
                <w:tab w:val="left" w:pos="900"/>
              </w:tabs>
              <w:snapToGrid w:val="0"/>
              <w:ind w:right="-24"/>
              <w:jc w:val="center"/>
              <w:rPr>
                <w:rFonts w:ascii="宋体" w:hAnsi="宋体"/>
                <w:color w:val="auto"/>
                <w:highlight w:val="none"/>
              </w:rPr>
            </w:pPr>
            <w:r>
              <w:rPr>
                <w:rFonts w:hint="eastAsia" w:ascii="宋体" w:hAnsi="宋体"/>
                <w:color w:val="auto"/>
                <w:highlight w:val="none"/>
              </w:rPr>
              <w:t>序号</w:t>
            </w:r>
          </w:p>
        </w:tc>
        <w:tc>
          <w:tcPr>
            <w:tcW w:w="2242" w:type="dxa"/>
            <w:tcBorders>
              <w:bottom w:val="single" w:color="auto" w:sz="4" w:space="0"/>
            </w:tcBorders>
            <w:noWrap w:val="0"/>
            <w:vAlign w:val="center"/>
          </w:tcPr>
          <w:p>
            <w:pPr>
              <w:tabs>
                <w:tab w:val="left" w:pos="900"/>
              </w:tabs>
              <w:snapToGrid w:val="0"/>
              <w:ind w:left="282" w:right="-24"/>
              <w:jc w:val="center"/>
              <w:rPr>
                <w:rFonts w:ascii="宋体" w:hAnsi="宋体"/>
                <w:color w:val="auto"/>
                <w:highlight w:val="none"/>
              </w:rPr>
            </w:pPr>
            <w:r>
              <w:rPr>
                <w:rFonts w:hint="eastAsia" w:ascii="宋体" w:hAnsi="宋体"/>
                <w:color w:val="auto"/>
                <w:highlight w:val="none"/>
              </w:rPr>
              <w:t>费用名称</w:t>
            </w:r>
          </w:p>
        </w:tc>
        <w:tc>
          <w:tcPr>
            <w:tcW w:w="1519" w:type="dxa"/>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最高投标限价(元)</w:t>
            </w:r>
          </w:p>
        </w:tc>
        <w:tc>
          <w:tcPr>
            <w:tcW w:w="1033"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b/>
                <w:color w:val="auto"/>
                <w:highlight w:val="none"/>
                <w:lang w:eastAsia="zh-CN"/>
              </w:rPr>
            </w:pPr>
            <w:r>
              <w:rPr>
                <w:rFonts w:hint="eastAsia" w:ascii="宋体" w:hAnsi="宋体"/>
                <w:b w:val="0"/>
                <w:bCs/>
                <w:color w:val="auto"/>
                <w:highlight w:val="none"/>
              </w:rPr>
              <w:t>投标下浮率</w:t>
            </w:r>
          </w:p>
        </w:tc>
        <w:tc>
          <w:tcPr>
            <w:tcW w:w="1559" w:type="dxa"/>
            <w:tcBorders>
              <w:bottom w:val="single" w:color="auto" w:sz="4" w:space="0"/>
            </w:tcBorders>
            <w:noWrap w:val="0"/>
            <w:vAlign w:val="top"/>
          </w:tcPr>
          <w:p>
            <w:pPr>
              <w:tabs>
                <w:tab w:val="left" w:pos="900"/>
              </w:tabs>
              <w:snapToGrid w:val="0"/>
              <w:spacing w:before="120" w:after="120"/>
              <w:ind w:right="-24"/>
              <w:jc w:val="center"/>
              <w:rPr>
                <w:rFonts w:ascii="宋体" w:hAnsi="宋体"/>
                <w:color w:val="auto"/>
                <w:highlight w:val="none"/>
              </w:rPr>
            </w:pPr>
            <w:r>
              <w:rPr>
                <w:rFonts w:hint="eastAsia" w:ascii="宋体" w:hAnsi="宋体" w:cs="宋体"/>
                <w:color w:val="auto"/>
                <w:kern w:val="0"/>
                <w:szCs w:val="21"/>
                <w:highlight w:val="none"/>
                <w:lang w:bidi="ar"/>
              </w:rPr>
              <w:t>投标报价</w:t>
            </w:r>
            <w:r>
              <w:rPr>
                <w:rFonts w:hint="eastAsia" w:ascii="宋体" w:hAnsi="宋体"/>
                <w:color w:val="auto"/>
                <w:highlight w:val="none"/>
              </w:rPr>
              <w:t>(元)</w:t>
            </w:r>
          </w:p>
        </w:tc>
        <w:tc>
          <w:tcPr>
            <w:tcW w:w="1134" w:type="dxa"/>
            <w:tcBorders>
              <w:bottom w:val="single" w:color="auto" w:sz="4" w:space="0"/>
            </w:tcBorders>
            <w:noWrap w:val="0"/>
            <w:vAlign w:val="center"/>
          </w:tcPr>
          <w:p>
            <w:pPr>
              <w:tabs>
                <w:tab w:val="left" w:pos="900"/>
              </w:tabs>
              <w:snapToGrid w:val="0"/>
              <w:spacing w:before="120" w:after="120"/>
              <w:ind w:right="-24"/>
              <w:jc w:val="center"/>
              <w:rPr>
                <w:rFonts w:ascii="宋体" w:hAnsi="宋体"/>
                <w:color w:val="auto"/>
                <w:highlight w:val="none"/>
              </w:rPr>
            </w:pPr>
            <w:r>
              <w:rPr>
                <w:rFonts w:hint="eastAsia" w:ascii="宋体" w:hAnsi="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3" w:type="dxa"/>
            <w:tcBorders>
              <w:top w:val="single" w:color="auto" w:sz="4" w:space="0"/>
              <w:bottom w:val="single" w:color="auto" w:sz="4" w:space="0"/>
            </w:tcBorders>
            <w:noWrap w:val="0"/>
            <w:vAlign w:val="center"/>
          </w:tcPr>
          <w:p>
            <w:pPr>
              <w:keepNext w:val="0"/>
              <w:keepLines w:val="0"/>
              <w:widowControl/>
              <w:suppressLineNumbers w:val="0"/>
              <w:jc w:val="center"/>
              <w:textAlignment w:val="center"/>
              <w:rPr>
                <w:rFonts w:ascii="宋体" w:hAnsi="宋体"/>
                <w:color w:val="auto"/>
                <w:highlight w:val="none"/>
              </w:rPr>
            </w:pPr>
            <w:r>
              <w:rPr>
                <w:rFonts w:hint="eastAsia" w:ascii="宋体" w:hAnsi="宋体" w:eastAsia="宋体" w:cs="宋体"/>
                <w:b/>
                <w:bCs/>
                <w:i w:val="0"/>
                <w:iCs w:val="0"/>
                <w:color w:val="000000"/>
                <w:kern w:val="0"/>
                <w:sz w:val="20"/>
                <w:szCs w:val="20"/>
                <w:u w:val="none"/>
                <w:lang w:val="en-US" w:eastAsia="zh-CN" w:bidi="ar"/>
              </w:rPr>
              <w:t xml:space="preserve">1 </w:t>
            </w:r>
          </w:p>
        </w:tc>
        <w:tc>
          <w:tcPr>
            <w:tcW w:w="2242" w:type="dxa"/>
            <w:tcBorders>
              <w:top w:val="single" w:color="auto" w:sz="4" w:space="0"/>
              <w:bottom w:val="single" w:color="auto"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highlight w:val="none"/>
                <w:u w:val="none"/>
              </w:rPr>
            </w:pPr>
            <w:r>
              <w:rPr>
                <w:rFonts w:hint="eastAsia" w:ascii="宋体" w:hAnsi="宋体" w:eastAsia="宋体" w:cs="宋体"/>
                <w:b/>
                <w:bCs/>
                <w:i w:val="0"/>
                <w:iCs w:val="0"/>
                <w:color w:val="000000"/>
                <w:kern w:val="0"/>
                <w:sz w:val="20"/>
                <w:szCs w:val="20"/>
                <w:u w:val="none"/>
                <w:lang w:val="en-US" w:eastAsia="zh-CN" w:bidi="ar"/>
              </w:rPr>
              <w:t>220 千伏围福输变电工程（土建分册）监理</w:t>
            </w:r>
          </w:p>
        </w:tc>
        <w:tc>
          <w:tcPr>
            <w:tcW w:w="1519" w:type="dxa"/>
            <w:noWrap w:val="0"/>
            <w:vAlign w:val="center"/>
          </w:tcPr>
          <w:p>
            <w:pPr>
              <w:keepNext w:val="0"/>
              <w:keepLines w:val="0"/>
              <w:widowControl/>
              <w:suppressLineNumbers w:val="0"/>
              <w:jc w:val="right"/>
              <w:textAlignment w:val="center"/>
              <w:rPr>
                <w:rFonts w:hint="default" w:ascii="宋体" w:hAnsi="宋体"/>
                <w:color w:val="auto"/>
                <w:highlight w:val="none"/>
                <w:lang w:val="en-US"/>
              </w:rPr>
            </w:pPr>
            <w:r>
              <w:rPr>
                <w:rFonts w:hint="eastAsia" w:ascii="宋体" w:hAnsi="宋体" w:cs="宋体"/>
                <w:b/>
                <w:bCs/>
                <w:i w:val="0"/>
                <w:iCs w:val="0"/>
                <w:color w:val="000000"/>
                <w:kern w:val="0"/>
                <w:sz w:val="22"/>
                <w:szCs w:val="22"/>
                <w:highlight w:val="none"/>
                <w:u w:val="none"/>
                <w:lang w:val="en-US" w:eastAsia="zh-CN" w:bidi="ar"/>
              </w:rPr>
              <w:t xml:space="preserve">2348442.07 </w:t>
            </w:r>
          </w:p>
        </w:tc>
        <w:tc>
          <w:tcPr>
            <w:tcW w:w="1033" w:type="dxa"/>
            <w:vMerge w:val="restart"/>
            <w:tcBorders>
              <w:top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lang w:val="en-US" w:eastAsia="zh-CN"/>
              </w:rPr>
              <w:t>%</w:t>
            </w:r>
          </w:p>
        </w:tc>
        <w:tc>
          <w:tcPr>
            <w:tcW w:w="1559" w:type="dxa"/>
            <w:tcBorders>
              <w:top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85" w:type="dxa"/>
            <w:gridSpan w:val="2"/>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b/>
                <w:color w:val="auto"/>
                <w:szCs w:val="21"/>
                <w:highlight w:val="none"/>
              </w:rPr>
            </w:pPr>
            <w:r>
              <w:rPr>
                <w:rFonts w:hint="eastAsia" w:ascii="宋体" w:hAnsi="宋体"/>
                <w:b/>
                <w:color w:val="auto"/>
                <w:szCs w:val="21"/>
                <w:highlight w:val="none"/>
                <w:lang w:val="en-US" w:eastAsia="zh-CN"/>
              </w:rPr>
              <w:t>合计</w:t>
            </w:r>
            <w:r>
              <w:rPr>
                <w:rFonts w:hint="eastAsia" w:ascii="宋体" w:hAnsi="宋体"/>
                <w:b/>
                <w:color w:val="auto"/>
                <w:szCs w:val="21"/>
                <w:highlight w:val="none"/>
              </w:rPr>
              <w:t>(</w:t>
            </w:r>
            <w:r>
              <w:rPr>
                <w:rFonts w:hint="eastAsia" w:ascii="宋体" w:hAnsi="宋体"/>
                <w:b/>
                <w:color w:val="auto"/>
                <w:szCs w:val="21"/>
                <w:highlight w:val="none"/>
                <w:lang w:val="en-US" w:eastAsia="zh-CN"/>
              </w:rPr>
              <w:t>小</w:t>
            </w:r>
            <w:r>
              <w:rPr>
                <w:rFonts w:hint="eastAsia" w:ascii="宋体" w:hAnsi="宋体"/>
                <w:b/>
                <w:color w:val="auto"/>
                <w:szCs w:val="21"/>
                <w:highlight w:val="none"/>
              </w:rPr>
              <w:t>写)</w:t>
            </w:r>
          </w:p>
        </w:tc>
        <w:tc>
          <w:tcPr>
            <w:tcW w:w="1519" w:type="dxa"/>
            <w:tcBorders>
              <w:top w:val="single" w:color="auto" w:sz="4" w:space="0"/>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r>
              <w:rPr>
                <w:rFonts w:hint="eastAsia" w:ascii="宋体" w:hAnsi="宋体" w:cs="宋体"/>
                <w:b/>
                <w:bCs/>
                <w:i w:val="0"/>
                <w:iCs w:val="0"/>
                <w:color w:val="000000"/>
                <w:kern w:val="0"/>
                <w:sz w:val="22"/>
                <w:szCs w:val="22"/>
                <w:highlight w:val="none"/>
                <w:u w:val="none"/>
                <w:lang w:val="en-US" w:eastAsia="zh-CN" w:bidi="ar"/>
              </w:rPr>
              <w:t>2348442.07</w:t>
            </w:r>
          </w:p>
        </w:tc>
        <w:tc>
          <w:tcPr>
            <w:tcW w:w="1033" w:type="dxa"/>
            <w:vMerge w:val="continue"/>
            <w:tcBorders>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c>
          <w:tcPr>
            <w:tcW w:w="1559" w:type="dxa"/>
            <w:tcBorders>
              <w:top w:val="single" w:color="auto" w:sz="4" w:space="0"/>
              <w:bottom w:val="single" w:color="auto" w:sz="4" w:space="0"/>
            </w:tcBorders>
            <w:noWrap w:val="0"/>
            <w:vAlign w:val="top"/>
          </w:tcPr>
          <w:p>
            <w:pPr>
              <w:tabs>
                <w:tab w:val="left" w:pos="900"/>
              </w:tabs>
              <w:snapToGrid w:val="0"/>
              <w:spacing w:before="60" w:after="120"/>
              <w:ind w:right="-24"/>
              <w:jc w:val="center"/>
              <w:rPr>
                <w:rFonts w:ascii="宋体" w:hAnsi="宋体"/>
                <w:color w:val="auto"/>
                <w:highlight w:val="none"/>
              </w:rPr>
            </w:pPr>
          </w:p>
        </w:tc>
        <w:tc>
          <w:tcPr>
            <w:tcW w:w="1134"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ascii="宋体" w:hAnsi="宋体"/>
                <w:color w:val="auto"/>
                <w:highlight w:val="none"/>
              </w:rPr>
            </w:pPr>
          </w:p>
        </w:tc>
      </w:tr>
    </w:tbl>
    <w:p>
      <w:pPr>
        <w:pStyle w:val="5"/>
        <w:rPr>
          <w:rFonts w:hint="eastAsia"/>
          <w:highlight w:val="none"/>
          <w:lang w:val="en-US" w:eastAsia="zh-CN"/>
        </w:rPr>
      </w:pPr>
    </w:p>
    <w:p>
      <w:pPr>
        <w:rPr>
          <w:rFonts w:hint="eastAsia"/>
          <w:highlight w:val="none"/>
          <w:lang w:val="en-US" w:eastAsia="zh-CN"/>
        </w:rPr>
      </w:pPr>
    </w:p>
    <w:p>
      <w:pPr>
        <w:pStyle w:val="5"/>
        <w:rPr>
          <w:rFonts w:hint="eastAsia"/>
          <w:highlight w:val="none"/>
          <w:lang w:val="en-US" w:eastAsia="zh-CN"/>
        </w:rPr>
      </w:pPr>
    </w:p>
    <w:p>
      <w:pPr>
        <w:rPr>
          <w:rFonts w:hint="eastAsia"/>
          <w:highlight w:val="none"/>
          <w:lang w:val="en-US" w:eastAsia="zh-CN"/>
        </w:rPr>
      </w:pPr>
    </w:p>
    <w:p>
      <w:pPr>
        <w:pStyle w:val="5"/>
        <w:rPr>
          <w:rFonts w:hint="eastAsia"/>
          <w:highlight w:val="none"/>
          <w:lang w:val="en-US" w:eastAsia="zh-CN"/>
        </w:rPr>
      </w:pPr>
      <w:bookmarkStart w:id="3" w:name="_GoBack"/>
      <w:bookmarkEnd w:id="3"/>
    </w:p>
    <w:p>
      <w:pPr>
        <w:rPr>
          <w:rFonts w:hint="eastAsia"/>
          <w:highlight w:val="none"/>
          <w:lang w:val="en-US" w:eastAsia="zh-CN"/>
        </w:rPr>
      </w:pPr>
    </w:p>
    <w:p>
      <w:pPr>
        <w:rPr>
          <w:rFonts w:hint="eastAsia"/>
          <w:highlight w:val="none"/>
          <w:lang w:val="en-US" w:eastAsia="zh-CN"/>
        </w:rPr>
      </w:pPr>
    </w:p>
    <w:p>
      <w:pPr>
        <w:pStyle w:val="3"/>
        <w:rPr>
          <w:rFonts w:hint="eastAsia" w:ascii="宋体" w:hAnsi="宋体" w:eastAsia="宋体" w:cs="宋体"/>
          <w:color w:val="auto"/>
          <w:kern w:val="2"/>
          <w:sz w:val="24"/>
          <w:szCs w:val="24"/>
          <w:highlight w:val="none"/>
          <w:u w:val="none"/>
          <w:lang w:val="en-US" w:eastAsia="zh-CN" w:bidi="ar-SA"/>
        </w:rPr>
      </w:pPr>
    </w:p>
    <w:p>
      <w:pPr>
        <w:pStyle w:val="3"/>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报价要求：</w:t>
      </w:r>
    </w:p>
    <w:p>
      <w:pPr>
        <w:pStyle w:val="4"/>
        <w:spacing w:line="360" w:lineRule="auto"/>
        <w:jc w:val="left"/>
        <w:rPr>
          <w:rFonts w:hint="default"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1）按下浮率报价（保留两位小数，如8.88%），同时填报投标报价（投标报价=最高投标限价*（1-投标下浮率），四舍五入保留两位小数）。当投标报价与投标下浮率计算结果不一致时，以投标下浮率为准，按上述公式修订投标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（2）投标下浮率不低于0%为有效报价；当投标下浮率＞10%时应附成本分析报告，充分说明单价和费用的组成、降低成本的合理措施及在其他工程中应用过的经验等，经评审通过后方可视为有效报价。</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kern w:val="2"/>
          <w:sz w:val="24"/>
          <w:szCs w:val="24"/>
          <w:highlight w:val="none"/>
          <w:u w:val="single"/>
          <w:lang w:val="en-US" w:eastAsia="zh-CN" w:bidi="ar-SA"/>
        </w:rPr>
        <w:t>（3）价格分计算时，投标人评标价按（100-投标人填写的下浮数值）参与计算。如：下浮率为1.88％时，评标价按（100-1.88）参与计算。</w:t>
      </w:r>
    </w:p>
    <w:p>
      <w:pPr>
        <w:spacing w:line="360" w:lineRule="auto"/>
        <w:rPr>
          <w:rFonts w:hint="eastAsia"/>
          <w:highlight w:val="none"/>
          <w:lang w:val="en-US" w:eastAsia="zh-CN"/>
        </w:rPr>
      </w:pPr>
    </w:p>
    <w:p>
      <w:pPr>
        <w:pStyle w:val="6"/>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pStyle w:val="4"/>
        <w:spacing w:line="360" w:lineRule="auto"/>
        <w:ind w:firstLine="482" w:firstLineChars="200"/>
        <w:jc w:val="left"/>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single"/>
          <w:lang w:val="en-US" w:eastAsia="zh-CN" w:bidi="ar-SA"/>
        </w:rPr>
        <w:t xml:space="preserve"> 本合同采用总价形式，最终合同结算价为：（审定初步设计概算监理费+ 初设概算监理计费范围以外的监理工作费用）×（1-投标下浮率）±合同内约定且实际发生的相关奖罚费用 + 招标代理服务费。 </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textAlignment w:val="auto"/>
        <w:rPr>
          <w:rFonts w:hint="default" w:asciiTheme="minorEastAsia" w:hAnsiTheme="minorEastAsia" w:eastAsiaTheme="minorEastAsia" w:cstheme="minorEastAsia"/>
          <w:b/>
          <w:bCs/>
          <w:i w:val="0"/>
          <w:iCs/>
          <w:color w:val="auto"/>
          <w:kern w:val="2"/>
          <w:sz w:val="24"/>
          <w:szCs w:val="24"/>
          <w:highlight w:val="none"/>
          <w:u w:val="none"/>
          <w:lang w:val="en-US" w:eastAsia="zh-CN" w:bidi="ar-SA"/>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五、分包要求</w:t>
      </w:r>
    </w:p>
    <w:p>
      <w:pPr>
        <w:pStyle w:val="2"/>
        <w:numPr>
          <w:ilvl w:val="0"/>
          <w:numId w:val="0"/>
        </w:numPr>
        <w:spacing w:line="360" w:lineRule="auto"/>
        <w:rPr>
          <w:rFonts w:hint="eastAsia"/>
          <w:sz w:val="24"/>
          <w:szCs w:val="24"/>
          <w:highlight w:val="none"/>
          <w:lang w:eastAsia="zh-CN"/>
        </w:rPr>
      </w:pPr>
      <w:r>
        <w:rPr>
          <w:rFonts w:hint="default" w:ascii="Wingdings" w:hAnsi="Wingdings" w:cs="Wingdings"/>
          <w:sz w:val="24"/>
          <w:szCs w:val="24"/>
          <w:highlight w:val="none"/>
        </w:rPr>
        <w:sym w:font="Wingdings" w:char="00FE"/>
      </w:r>
      <w:r>
        <w:rPr>
          <w:rFonts w:hint="eastAsia"/>
          <w:sz w:val="24"/>
          <w:szCs w:val="24"/>
          <w:highlight w:val="none"/>
          <w:lang w:eastAsia="zh-CN"/>
        </w:rPr>
        <w:t>不允许分包</w:t>
      </w:r>
    </w:p>
    <w:p>
      <w:pPr>
        <w:pStyle w:val="2"/>
        <w:numPr>
          <w:ilvl w:val="0"/>
          <w:numId w:val="0"/>
        </w:numPr>
        <w:spacing w:line="360" w:lineRule="auto"/>
        <w:rPr>
          <w:rFonts w:hint="eastAsia"/>
          <w:sz w:val="24"/>
          <w:szCs w:val="24"/>
          <w:highlight w:val="none"/>
          <w:lang w:eastAsia="zh-CN"/>
        </w:rPr>
      </w:pPr>
      <w:r>
        <w:rPr>
          <w:rFonts w:hint="default" w:ascii="Wingdings" w:hAnsi="Wingdings" w:cs="Wingdings"/>
          <w:sz w:val="24"/>
          <w:szCs w:val="24"/>
          <w:highlight w:val="none"/>
          <w:lang w:eastAsia="zh-CN"/>
        </w:rPr>
        <w:sym w:font="Wingdings" w:char="00A8"/>
      </w:r>
      <w:r>
        <w:rPr>
          <w:rFonts w:hint="eastAsia"/>
          <w:sz w:val="24"/>
          <w:szCs w:val="24"/>
          <w:highlight w:val="none"/>
          <w:lang w:eastAsia="zh-CN"/>
        </w:rPr>
        <w:t>允许分包，但必须符合以下要求：</w:t>
      </w:r>
    </w:p>
    <w:p>
      <w:pPr>
        <w:pStyle w:val="4"/>
        <w:spacing w:line="360" w:lineRule="auto"/>
        <w:jc w:val="left"/>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宋体" w:hAnsi="宋体" w:eastAsia="宋体" w:cs="宋体"/>
          <w:color w:val="auto"/>
          <w:kern w:val="2"/>
          <w:sz w:val="24"/>
          <w:szCs w:val="24"/>
          <w:highlight w:val="none"/>
          <w:u w:val="single"/>
          <w:lang w:val="en-US" w:eastAsia="zh-CN" w:bidi="ar-SA"/>
        </w:rPr>
        <w:t xml:space="preserve">                                      /                                     </w:t>
      </w:r>
      <w:r>
        <w:rPr>
          <w:rFonts w:hint="eastAsia" w:ascii="宋体" w:hAnsi="宋体" w:eastAsia="宋体" w:cs="宋体"/>
          <w:color w:val="auto"/>
          <w:kern w:val="2"/>
          <w:sz w:val="24"/>
          <w:szCs w:val="24"/>
          <w:highlight w:val="none"/>
          <w:u w:val="single"/>
          <w:lang w:val="en-US" w:eastAsia="zh-CN" w:bidi="ar-SA"/>
        </w:rPr>
        <w:br w:type="textWrapping"/>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pPr>
        <w:pStyle w:val="6"/>
        <w:spacing w:before="0" w:after="0" w:line="360" w:lineRule="auto"/>
        <w:rPr>
          <w:rFonts w:hint="eastAsia" w:asciiTheme="minorEastAsia" w:hAnsiTheme="minorEastAsia" w:eastAsiaTheme="minorEastAsia" w:cstheme="minorEastAsia"/>
          <w:i w:val="0"/>
          <w:iCs/>
          <w:color w:val="auto"/>
          <w:sz w:val="24"/>
          <w:szCs w:val="24"/>
          <w:highlight w:val="none"/>
        </w:rPr>
      </w:pPr>
      <w:bookmarkStart w:id="1"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1"/>
    </w:p>
    <w:p>
      <w:pPr>
        <w:pStyle w:val="6"/>
        <w:spacing w:before="0" w:after="0" w:line="360" w:lineRule="auto"/>
        <w:rPr>
          <w:rFonts w:hint="eastAsia" w:asciiTheme="minorEastAsia" w:hAnsiTheme="minorEastAsia" w:eastAsiaTheme="minorEastAsia" w:cstheme="minorEastAsia"/>
          <w:i w:val="0"/>
          <w:iCs/>
          <w:color w:val="auto"/>
          <w:sz w:val="24"/>
          <w:szCs w:val="24"/>
          <w:highlight w:val="none"/>
        </w:rPr>
      </w:pPr>
      <w:bookmarkStart w:id="2"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2"/>
    </w:p>
    <w:p>
      <w:pPr>
        <w:autoSpaceDE w:val="0"/>
        <w:autoSpaceDN w:val="0"/>
        <w:adjustRightInd w:val="0"/>
        <w:spacing w:line="360" w:lineRule="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（一）满足中国南方电网有限责任公司《监理项目部工作手册》、中国南方电网有限责任公司基建管理制度、建设单位的质量、环境和职业健康安全管理体系文件、其他有关制度和规定。</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pPr>
        <w:pStyle w:val="6"/>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pPr>
        <w:pStyle w:val="11"/>
        <w:numPr>
          <w:ilvl w:val="0"/>
          <w:numId w:val="0"/>
        </w:numPr>
        <w:spacing w:line="360" w:lineRule="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pPr>
        <w:pStyle w:val="11"/>
        <w:numPr>
          <w:ilvl w:val="0"/>
          <w:numId w:val="2"/>
        </w:numPr>
        <w:spacing w:line="360" w:lineRule="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pPr>
        <w:pStyle w:val="11"/>
        <w:numPr>
          <w:ilvl w:val="0"/>
          <w:numId w:val="2"/>
        </w:numPr>
        <w:spacing w:line="360" w:lineRule="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920FF"/>
    <w:multiLevelType w:val="singleLevel"/>
    <w:tmpl w:val="0D7920FF"/>
    <w:lvl w:ilvl="0" w:tentative="0">
      <w:start w:val="1"/>
      <w:numFmt w:val="chineseCounting"/>
      <w:suff w:val="nothing"/>
      <w:lvlText w:val="第%1部分."/>
      <w:lvlJc w:val="left"/>
      <w:rPr>
        <w:rFonts w:hint="eastAsia"/>
      </w:rPr>
    </w:lvl>
  </w:abstractNum>
  <w:abstractNum w:abstractNumId="1">
    <w:nsid w:val="4122DDE1"/>
    <w:multiLevelType w:val="singleLevel"/>
    <w:tmpl w:val="4122DDE1"/>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3ZjNjNWZiNTA5N2E5ODI3ZjQwNWU1ZmQxMWYzNmQifQ=="/>
  </w:docVars>
  <w:rsids>
    <w:rsidRoot w:val="24F737D8"/>
    <w:rsid w:val="001270A5"/>
    <w:rsid w:val="007A4AD7"/>
    <w:rsid w:val="031234E3"/>
    <w:rsid w:val="034C42F7"/>
    <w:rsid w:val="03F1316B"/>
    <w:rsid w:val="04A24F71"/>
    <w:rsid w:val="07641EAE"/>
    <w:rsid w:val="076F3B3B"/>
    <w:rsid w:val="07B10F18"/>
    <w:rsid w:val="07CA37DF"/>
    <w:rsid w:val="07CC3833"/>
    <w:rsid w:val="099152FC"/>
    <w:rsid w:val="0BC07002"/>
    <w:rsid w:val="0BD30473"/>
    <w:rsid w:val="0DCD5FA6"/>
    <w:rsid w:val="0E2F4C02"/>
    <w:rsid w:val="0E3616E0"/>
    <w:rsid w:val="0E937FF7"/>
    <w:rsid w:val="0F4F2D90"/>
    <w:rsid w:val="0F81532F"/>
    <w:rsid w:val="107144D2"/>
    <w:rsid w:val="116419AD"/>
    <w:rsid w:val="11794537"/>
    <w:rsid w:val="11DF6CFE"/>
    <w:rsid w:val="13383335"/>
    <w:rsid w:val="14440D4B"/>
    <w:rsid w:val="14B666F3"/>
    <w:rsid w:val="15056A61"/>
    <w:rsid w:val="15BE2D84"/>
    <w:rsid w:val="182633AB"/>
    <w:rsid w:val="1876024A"/>
    <w:rsid w:val="18E57496"/>
    <w:rsid w:val="190817A0"/>
    <w:rsid w:val="1A2D5CFF"/>
    <w:rsid w:val="1A386933"/>
    <w:rsid w:val="1A4F176B"/>
    <w:rsid w:val="1A912F72"/>
    <w:rsid w:val="1B663F82"/>
    <w:rsid w:val="1C2D4629"/>
    <w:rsid w:val="1C43636C"/>
    <w:rsid w:val="1CD8394C"/>
    <w:rsid w:val="1D904223"/>
    <w:rsid w:val="1F653C49"/>
    <w:rsid w:val="1F6C0D31"/>
    <w:rsid w:val="1FEE3421"/>
    <w:rsid w:val="1FF914D4"/>
    <w:rsid w:val="20735046"/>
    <w:rsid w:val="216F4D5B"/>
    <w:rsid w:val="22FD316A"/>
    <w:rsid w:val="2331574F"/>
    <w:rsid w:val="23A71175"/>
    <w:rsid w:val="23B738BA"/>
    <w:rsid w:val="24E67795"/>
    <w:rsid w:val="24F737D8"/>
    <w:rsid w:val="25100685"/>
    <w:rsid w:val="25E5275E"/>
    <w:rsid w:val="26A73075"/>
    <w:rsid w:val="2BFF530E"/>
    <w:rsid w:val="2CA17C08"/>
    <w:rsid w:val="2DDF66E3"/>
    <w:rsid w:val="2FB947C6"/>
    <w:rsid w:val="2FF65FF8"/>
    <w:rsid w:val="300D195C"/>
    <w:rsid w:val="304B1941"/>
    <w:rsid w:val="30BF37B5"/>
    <w:rsid w:val="30CD5548"/>
    <w:rsid w:val="314C0C74"/>
    <w:rsid w:val="31510416"/>
    <w:rsid w:val="31C955A9"/>
    <w:rsid w:val="33B200AF"/>
    <w:rsid w:val="33E61BE2"/>
    <w:rsid w:val="361736AD"/>
    <w:rsid w:val="36D200CF"/>
    <w:rsid w:val="379951F8"/>
    <w:rsid w:val="37A97B52"/>
    <w:rsid w:val="38382DC3"/>
    <w:rsid w:val="38DE045C"/>
    <w:rsid w:val="3A546240"/>
    <w:rsid w:val="3B446CD0"/>
    <w:rsid w:val="3BF24D81"/>
    <w:rsid w:val="3BFE7BEA"/>
    <w:rsid w:val="3C4750A3"/>
    <w:rsid w:val="3C4A35F1"/>
    <w:rsid w:val="3E664B6D"/>
    <w:rsid w:val="3ED7087B"/>
    <w:rsid w:val="3F141BFC"/>
    <w:rsid w:val="3F9169B8"/>
    <w:rsid w:val="3FB8126D"/>
    <w:rsid w:val="444D481C"/>
    <w:rsid w:val="44982260"/>
    <w:rsid w:val="44D414C9"/>
    <w:rsid w:val="45F46D6D"/>
    <w:rsid w:val="46472D5E"/>
    <w:rsid w:val="46686F85"/>
    <w:rsid w:val="496A657E"/>
    <w:rsid w:val="49843C09"/>
    <w:rsid w:val="49EE2DF2"/>
    <w:rsid w:val="4B3A1BDA"/>
    <w:rsid w:val="4BF83760"/>
    <w:rsid w:val="4C8349B8"/>
    <w:rsid w:val="520D6E5F"/>
    <w:rsid w:val="53115540"/>
    <w:rsid w:val="54102BB0"/>
    <w:rsid w:val="5476692A"/>
    <w:rsid w:val="55C3156A"/>
    <w:rsid w:val="5782183A"/>
    <w:rsid w:val="57BD355E"/>
    <w:rsid w:val="59A5419F"/>
    <w:rsid w:val="5B0320E2"/>
    <w:rsid w:val="5B8B11A7"/>
    <w:rsid w:val="5B9E2EC4"/>
    <w:rsid w:val="5F99294E"/>
    <w:rsid w:val="608606DE"/>
    <w:rsid w:val="610E324A"/>
    <w:rsid w:val="61F31EFD"/>
    <w:rsid w:val="63066BC7"/>
    <w:rsid w:val="63343091"/>
    <w:rsid w:val="63D0487B"/>
    <w:rsid w:val="64672037"/>
    <w:rsid w:val="64911DA0"/>
    <w:rsid w:val="64F707CA"/>
    <w:rsid w:val="65945D8D"/>
    <w:rsid w:val="66C35559"/>
    <w:rsid w:val="67D57489"/>
    <w:rsid w:val="68570F93"/>
    <w:rsid w:val="6A287B5E"/>
    <w:rsid w:val="6B303A1A"/>
    <w:rsid w:val="6B6D3ABD"/>
    <w:rsid w:val="6C776701"/>
    <w:rsid w:val="6DAA2FDF"/>
    <w:rsid w:val="6E121228"/>
    <w:rsid w:val="6EF85BC7"/>
    <w:rsid w:val="6FC971BF"/>
    <w:rsid w:val="70D1495F"/>
    <w:rsid w:val="70ED510D"/>
    <w:rsid w:val="73A50FC7"/>
    <w:rsid w:val="74695E39"/>
    <w:rsid w:val="754C6F3B"/>
    <w:rsid w:val="75852DDC"/>
    <w:rsid w:val="75B11AFF"/>
    <w:rsid w:val="75D32619"/>
    <w:rsid w:val="765369C1"/>
    <w:rsid w:val="767D6887"/>
    <w:rsid w:val="77BA76EF"/>
    <w:rsid w:val="77F562C3"/>
    <w:rsid w:val="780B6A75"/>
    <w:rsid w:val="78890BE9"/>
    <w:rsid w:val="78B95E37"/>
    <w:rsid w:val="795E6CDB"/>
    <w:rsid w:val="79F83E18"/>
    <w:rsid w:val="7A262145"/>
    <w:rsid w:val="7BEC3F2B"/>
    <w:rsid w:val="7D0F76D8"/>
    <w:rsid w:val="7E3420E0"/>
    <w:rsid w:val="7E535DCD"/>
    <w:rsid w:val="7F7B4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5">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6">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7">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3">
    <w:name w:val="Body Text"/>
    <w:basedOn w:val="1"/>
    <w:next w:val="4"/>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Normal Indent"/>
    <w:basedOn w:val="1"/>
    <w:qFormat/>
    <w:uiPriority w:val="0"/>
    <w:pPr>
      <w:ind w:firstLine="420"/>
    </w:pPr>
    <w:rPr>
      <w:rFonts w:ascii="Times New Roman" w:hAnsi="Times New Roman" w:cs="Times New Roman"/>
      <w:kern w:val="0"/>
      <w:sz w:val="20"/>
      <w:szCs w:val="20"/>
    </w:rPr>
  </w:style>
  <w:style w:type="paragraph" w:styleId="9">
    <w:name w:val="annotation text"/>
    <w:basedOn w:val="1"/>
    <w:qFormat/>
    <w:uiPriority w:val="0"/>
    <w:pPr>
      <w:jc w:val="left"/>
    </w:pPr>
  </w:style>
  <w:style w:type="paragraph" w:styleId="10">
    <w:name w:val="Body Text Indent"/>
    <w:basedOn w:val="1"/>
    <w:qFormat/>
    <w:uiPriority w:val="0"/>
    <w:pPr>
      <w:spacing w:after="120"/>
      <w:ind w:left="420" w:leftChars="200"/>
    </w:pPr>
  </w:style>
  <w:style w:type="paragraph" w:styleId="11">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目录 21"/>
    <w:basedOn w:val="1"/>
    <w:next w:val="1"/>
    <w:qFormat/>
    <w:uiPriority w:val="0"/>
    <w:pPr>
      <w:spacing w:before="100" w:beforeAutospacing="1" w:after="100" w:afterAutospacing="1"/>
      <w:ind w:left="420" w:leftChars="200"/>
    </w:pPr>
  </w:style>
  <w:style w:type="paragraph" w:customStyle="1" w:styleId="16">
    <w:name w:val="正文首行缩进1"/>
    <w:basedOn w:val="1"/>
    <w:qFormat/>
    <w:uiPriority w:val="0"/>
    <w:pPr>
      <w:spacing w:line="360" w:lineRule="auto"/>
      <w:ind w:firstLine="200" w:firstLineChars="200"/>
    </w:pPr>
    <w:rPr>
      <w:kern w:val="2"/>
      <w:sz w:val="24"/>
      <w:szCs w:val="24"/>
    </w:rPr>
  </w:style>
  <w:style w:type="paragraph" w:customStyle="1" w:styleId="17">
    <w:name w:val="表格文字"/>
    <w:basedOn w:val="11"/>
    <w:qFormat/>
    <w:uiPriority w:val="0"/>
    <w:pPr>
      <w:ind w:firstLine="22" w:firstLineChars="8"/>
      <w:textAlignment w:val="center"/>
    </w:pPr>
    <w:rPr>
      <w:rFonts w:ascii="Times New Roman" w:hAnsi="Times New Roman"/>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3292</Words>
  <Characters>3928</Characters>
  <Lines>0</Lines>
  <Paragraphs>0</Paragraphs>
  <TotalTime>0</TotalTime>
  <ScaleCrop>false</ScaleCrop>
  <LinksUpToDate>false</LinksUpToDate>
  <CharactersWithSpaces>4206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Administrator</cp:lastModifiedBy>
  <cp:lastPrinted>2025-03-10T01:15:00Z</cp:lastPrinted>
  <dcterms:modified xsi:type="dcterms:W3CDTF">2025-09-12T08:48:24Z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8A8C54658E2D41C7A1BB357F29FDF6BB</vt:lpwstr>
  </property>
</Properties>
</file>