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110千伏文武输变电工程监理</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3"/>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广供电基〔2024〕207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穗发改核准〔2024〕49号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广供电资〔2025〕26号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广州市白云区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6</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前期的设计或咨询服务单位名称</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exact"/>
          <w:jc w:val="center"/>
        </w:trPr>
        <w:tc>
          <w:tcPr>
            <w:tcW w:w="776"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工期/服务期</w:t>
            </w:r>
          </w:p>
        </w:tc>
        <w:tc>
          <w:tcPr>
            <w:tcW w:w="5250" w:type="dxa"/>
            <w:noWrap w:val="0"/>
            <w:vAlign w:val="center"/>
          </w:tcPr>
          <w:p>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合同签订之日起至2026年12月31日，实际工期以开工报告、竣工报告为准。</w:t>
            </w:r>
          </w:p>
        </w:tc>
      </w:tr>
    </w:tbl>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pPr>
        <w:pStyle w:val="2"/>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rPr>
          <w:rFonts w:hint="eastAsia" w:ascii="Times New Roman" w:hAnsi="Times New Roman" w:eastAsia="宋体" w:cstheme="minorEastAsia"/>
          <w:b/>
          <w:sz w:val="24"/>
          <w:szCs w:val="24"/>
          <w:highlight w:val="none"/>
        </w:rPr>
      </w:pPr>
      <w:r>
        <w:rPr>
          <w:rFonts w:hint="eastAsia" w:ascii="Times New Roman" w:hAnsi="Times New Roman" w:eastAsia="宋体" w:cstheme="minorEastAsia"/>
          <w:b/>
          <w:sz w:val="24"/>
          <w:szCs w:val="24"/>
          <w:highlight w:val="none"/>
        </w:rPr>
        <w:t>※变电部分</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olor w:val="auto"/>
          <w:sz w:val="24"/>
          <w:lang w:val="en-US" w:eastAsia="zh-CN"/>
        </w:rPr>
      </w:pPr>
      <w:r>
        <w:rPr>
          <w:rFonts w:hint="eastAsia" w:ascii="Times New Roman" w:hAnsi="Times New Roman" w:eastAsia="宋体" w:cstheme="minorEastAsia"/>
          <w:color w:val="auto"/>
          <w:sz w:val="24"/>
          <w:lang w:val="en-US" w:eastAsia="zh-CN"/>
        </w:rPr>
        <w:t>1、</w:t>
      </w:r>
      <w:r>
        <w:rPr>
          <w:rFonts w:hint="eastAsia" w:ascii="Times New Roman" w:hAnsi="Times New Roman" w:eastAsia="宋体"/>
          <w:color w:val="auto"/>
          <w:sz w:val="24"/>
          <w:lang w:val="en-US" w:eastAsia="zh-CN"/>
        </w:rPr>
        <w:t>110千伏文武变电站工程：</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heme="minorEastAsia"/>
          <w:bCs/>
          <w:sz w:val="24"/>
          <w:szCs w:val="24"/>
          <w:highlight w:val="none"/>
        </w:rPr>
      </w:pPr>
      <w:r>
        <w:rPr>
          <w:rFonts w:hint="eastAsia" w:ascii="Times New Roman" w:hAnsi="Times New Roman" w:eastAsia="宋体" w:cstheme="minorEastAsia"/>
          <w:bCs/>
          <w:sz w:val="24"/>
          <w:szCs w:val="24"/>
          <w:highlight w:val="none"/>
        </w:rPr>
        <w:t>本期63MVA主变压器2台，110kV出线2回，10kV出线2×16回，每台主变10kV侧各安装2组6MVar低压并联电容器和1组6MVar低压并联电抗器。</w:t>
      </w:r>
    </w:p>
    <w:p>
      <w:pPr>
        <w:pStyle w:val="5"/>
        <w:pageBreakBefore w:val="0"/>
        <w:kinsoku/>
        <w:wordWrap/>
        <w:overflowPunct/>
        <w:topLinePunct w:val="0"/>
        <w:bidi w:val="0"/>
        <w:spacing w:line="360" w:lineRule="auto"/>
        <w:textAlignment w:val="auto"/>
        <w:rPr>
          <w:rFonts w:hint="eastAsia" w:ascii="Times New Roman" w:hAnsi="Times New Roman" w:eastAsia="宋体"/>
          <w:color w:val="auto"/>
          <w:sz w:val="24"/>
          <w:lang w:val="en-US" w:eastAsia="zh-CN"/>
        </w:rPr>
      </w:pPr>
      <w:r>
        <w:rPr>
          <w:rFonts w:hint="eastAsia" w:ascii="Times New Roman" w:hAnsi="Times New Roman" w:eastAsia="宋体" w:cstheme="minorEastAsia"/>
          <w:bCs/>
          <w:sz w:val="24"/>
          <w:szCs w:val="24"/>
          <w:highlight w:val="none"/>
        </w:rPr>
        <w:t>远期63MVA主变压器3台，110kV出线3回，10kV出线3×16回，每台主变10kV侧各安装2组6MVar低压并联电容器及1组6MVar低压并联电抗器。</w:t>
      </w:r>
    </w:p>
    <w:p>
      <w:pPr>
        <w:pStyle w:val="5"/>
        <w:pageBreakBefore w:val="0"/>
        <w:numPr>
          <w:ilvl w:val="0"/>
          <w:numId w:val="2"/>
        </w:numPr>
        <w:kinsoku/>
        <w:wordWrap/>
        <w:overflowPunct/>
        <w:topLinePunct w:val="0"/>
        <w:bidi w:val="0"/>
        <w:spacing w:line="360" w:lineRule="auto"/>
        <w:textAlignment w:val="auto"/>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对侧110千伏鹤边站：</w:t>
      </w:r>
    </w:p>
    <w:p>
      <w:pPr>
        <w:pStyle w:val="5"/>
        <w:pageBreakBefore w:val="0"/>
        <w:kinsoku/>
        <w:wordWrap/>
        <w:overflowPunct/>
        <w:topLinePunct w:val="0"/>
        <w:bidi w:val="0"/>
        <w:spacing w:line="360" w:lineRule="auto"/>
        <w:textAlignment w:val="auto"/>
        <w:rPr>
          <w:rFonts w:hint="eastAsia" w:ascii="Times New Roman" w:hAnsi="Times New Roman" w:eastAsia="宋体"/>
          <w:b w:val="0"/>
          <w:bCs w:val="0"/>
          <w:color w:val="auto"/>
          <w:sz w:val="24"/>
          <w:lang w:val="en-US" w:eastAsia="zh-CN"/>
        </w:rPr>
      </w:pPr>
      <w:r>
        <w:rPr>
          <w:rFonts w:hint="eastAsia" w:ascii="Times New Roman" w:hAnsi="Times New Roman" w:eastAsia="宋体"/>
          <w:b w:val="0"/>
          <w:bCs w:val="0"/>
          <w:color w:val="auto"/>
          <w:sz w:val="24"/>
          <w:lang w:val="en-US" w:eastAsia="zh-CN"/>
        </w:rPr>
        <w:t>本期将凯鹤线旁的备用电缆筒接至110千伏文武站#1主变，不改变鹤边站原有接线形式。</w:t>
      </w:r>
    </w:p>
    <w:p>
      <w:pPr>
        <w:pStyle w:val="5"/>
        <w:pageBreakBefore w:val="0"/>
        <w:numPr>
          <w:ilvl w:val="0"/>
          <w:numId w:val="2"/>
        </w:numPr>
        <w:kinsoku/>
        <w:wordWrap/>
        <w:overflowPunct/>
        <w:topLinePunct w:val="0"/>
        <w:bidi w:val="0"/>
        <w:spacing w:line="360" w:lineRule="auto"/>
        <w:ind w:left="0" w:leftChars="0" w:firstLine="420" w:firstLineChars="0"/>
        <w:textAlignment w:val="auto"/>
        <w:rPr>
          <w:rFonts w:hint="eastAsia" w:ascii="Times New Roman" w:hAnsi="Times New Roman" w:eastAsia="宋体"/>
          <w:b w:val="0"/>
          <w:bCs w:val="0"/>
          <w:color w:val="auto"/>
          <w:sz w:val="24"/>
          <w:lang w:val="en-US" w:eastAsia="zh-CN"/>
        </w:rPr>
      </w:pPr>
      <w:r>
        <w:rPr>
          <w:rFonts w:hint="eastAsia" w:ascii="Times New Roman" w:hAnsi="Times New Roman" w:eastAsia="宋体"/>
          <w:b w:val="0"/>
          <w:bCs w:val="0"/>
          <w:color w:val="auto"/>
          <w:sz w:val="24"/>
          <w:lang w:val="en-US" w:eastAsia="zh-CN"/>
        </w:rPr>
        <w:t>对侧220千伏梨园站</w:t>
      </w:r>
    </w:p>
    <w:p>
      <w:pPr>
        <w:pStyle w:val="5"/>
        <w:pageBreakBefore w:val="0"/>
        <w:numPr>
          <w:ilvl w:val="0"/>
          <w:numId w:val="0"/>
        </w:numPr>
        <w:kinsoku/>
        <w:wordWrap/>
        <w:overflowPunct/>
        <w:topLinePunct w:val="0"/>
        <w:bidi w:val="0"/>
        <w:spacing w:line="360" w:lineRule="auto"/>
        <w:ind w:left="420" w:leftChars="0"/>
        <w:textAlignment w:val="auto"/>
        <w:rPr>
          <w:rFonts w:hint="default" w:ascii="Times New Roman" w:hAnsi="Times New Roman" w:eastAsia="宋体"/>
          <w:b w:val="0"/>
          <w:bCs w:val="0"/>
          <w:color w:val="auto"/>
          <w:sz w:val="24"/>
          <w:lang w:val="en-US" w:eastAsia="zh-CN"/>
        </w:rPr>
      </w:pPr>
      <w:r>
        <w:rPr>
          <w:rFonts w:hint="default" w:ascii="Times New Roman" w:hAnsi="Times New Roman" w:eastAsia="宋体"/>
          <w:b w:val="0"/>
          <w:bCs w:val="0"/>
          <w:color w:val="auto"/>
          <w:sz w:val="24"/>
          <w:lang w:val="en-US" w:eastAsia="zh-CN"/>
        </w:rPr>
        <w:t>本期扩建一个110千伏GIS电缆出线间隔。</w:t>
      </w:r>
    </w:p>
    <w:p>
      <w:pPr>
        <w:pStyle w:val="2"/>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rPr>
          <w:rFonts w:hint="eastAsia" w:ascii="Times New Roman" w:hAnsi="Times New Roman" w:eastAsia="宋体" w:cstheme="minorEastAsia"/>
          <w:b/>
          <w:sz w:val="24"/>
          <w:szCs w:val="24"/>
          <w:highlight w:val="none"/>
        </w:rPr>
      </w:pPr>
      <w:r>
        <w:rPr>
          <w:rFonts w:hint="eastAsia" w:ascii="Times New Roman" w:hAnsi="Times New Roman" w:eastAsia="宋体" w:cstheme="minorEastAsia"/>
          <w:b/>
          <w:sz w:val="24"/>
          <w:szCs w:val="24"/>
          <w:highlight w:val="none"/>
        </w:rPr>
        <w:t>※线路部分</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heme="minorEastAsia"/>
          <w:bCs/>
          <w:sz w:val="24"/>
          <w:szCs w:val="24"/>
          <w:highlight w:val="none"/>
        </w:rPr>
      </w:pPr>
      <w:r>
        <w:rPr>
          <w:rFonts w:hint="eastAsia" w:ascii="Times New Roman" w:hAnsi="Times New Roman" w:eastAsia="宋体" w:cstheme="minorEastAsia"/>
          <w:bCs/>
          <w:sz w:val="24"/>
          <w:szCs w:val="24"/>
          <w:highlight w:val="none"/>
        </w:rPr>
        <w:t>1、110kV 梨园-文武单回电缆线路工程：本期出线2回，1回接入梨园站，形成梨园-文武线路，新建单回电缆线路长约1×3.68km。电缆型号YJLW03-Z 64/110 1×1200㎜²。</w:t>
      </w:r>
    </w:p>
    <w:p>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Theme="minorEastAsia" w:cstheme="minorEastAsia"/>
          <w:bCs/>
          <w:sz w:val="24"/>
          <w:szCs w:val="24"/>
          <w:highlight w:val="none"/>
        </w:rPr>
      </w:pPr>
      <w:r>
        <w:rPr>
          <w:rFonts w:hint="eastAsia" w:ascii="Times New Roman" w:hAnsi="Times New Roman" w:eastAsia="宋体" w:cstheme="minorEastAsia"/>
          <w:bCs/>
          <w:sz w:val="24"/>
          <w:szCs w:val="24"/>
          <w:highlight w:val="none"/>
        </w:rPr>
        <w:t xml:space="preserve">2、T 接凯鹤线单回电缆线路工程：本期出线2回，另1回T接凯鹤线，形成凯旋-鹤边-文武线路，新建单回电缆线路长约1×0.95km。电缆型号YJLW03-Z 64/110 1×1200㎜²。 </w:t>
      </w:r>
      <w:r>
        <w:rPr>
          <w:rFonts w:hint="eastAsia" w:ascii="Times New Roman" w:hAnsi="Times New Roman" w:eastAsiaTheme="minorEastAsia" w:cstheme="minorEastAsia"/>
          <w:bCs/>
          <w:sz w:val="24"/>
          <w:szCs w:val="24"/>
          <w:highlight w:val="none"/>
        </w:rPr>
        <w:t xml:space="preserve"> </w:t>
      </w:r>
    </w:p>
    <w:p>
      <w:pPr>
        <w:pStyle w:val="2"/>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rPr>
          <w:rFonts w:hint="eastAsia" w:ascii="Times New Roman" w:hAnsi="Times New Roman" w:eastAsiaTheme="minorEastAsia" w:cstheme="minorEastAsia"/>
          <w:b/>
          <w:sz w:val="24"/>
          <w:szCs w:val="24"/>
          <w:highlight w:val="none"/>
        </w:rPr>
      </w:pPr>
      <w:r>
        <w:rPr>
          <w:rFonts w:hint="eastAsia" w:ascii="Times New Roman" w:hAnsi="Times New Roman" w:eastAsiaTheme="minorEastAsia" w:cstheme="minorEastAsia"/>
          <w:b/>
          <w:sz w:val="24"/>
          <w:szCs w:val="24"/>
          <w:highlight w:val="none"/>
        </w:rPr>
        <w:t>※</w:t>
      </w:r>
      <w:r>
        <w:rPr>
          <w:rFonts w:hint="eastAsia" w:ascii="Times New Roman" w:hAnsi="Times New Roman" w:eastAsiaTheme="minorEastAsia" w:cstheme="minorEastAsia"/>
          <w:b/>
          <w:sz w:val="24"/>
          <w:szCs w:val="24"/>
          <w:highlight w:val="none"/>
          <w:lang w:eastAsia="zh-CN"/>
        </w:rPr>
        <w:t>通信</w:t>
      </w:r>
      <w:r>
        <w:rPr>
          <w:rFonts w:hint="eastAsia" w:ascii="Times New Roman" w:hAnsi="Times New Roman" w:eastAsiaTheme="minorEastAsia" w:cstheme="minorEastAsia"/>
          <w:b/>
          <w:sz w:val="24"/>
          <w:szCs w:val="24"/>
          <w:highlight w:val="none"/>
        </w:rPr>
        <w:t>部分</w:t>
      </w:r>
    </w:p>
    <w:p>
      <w:pPr>
        <w:pStyle w:val="5"/>
        <w:pageBreakBefore w:val="0"/>
        <w:numPr>
          <w:ilvl w:val="0"/>
          <w:numId w:val="0"/>
        </w:numPr>
        <w:kinsoku/>
        <w:wordWrap/>
        <w:overflowPunct/>
        <w:topLinePunct w:val="0"/>
        <w:bidi w:val="0"/>
        <w:spacing w:line="360" w:lineRule="auto"/>
        <w:ind w:firstLine="480" w:firstLineChars="200"/>
        <w:textAlignment w:val="auto"/>
        <w:rPr>
          <w:rFonts w:hint="eastAsia" w:ascii="Times New Roman" w:hAnsi="Times New Roman"/>
          <w:color w:val="auto"/>
          <w:sz w:val="24"/>
          <w:lang w:val="en-US" w:eastAsia="zh-CN"/>
        </w:rPr>
      </w:pPr>
      <w:r>
        <w:rPr>
          <w:rFonts w:hint="eastAsia" w:ascii="Times New Roman" w:hAnsi="Times New Roman" w:eastAsiaTheme="minorEastAsia" w:cstheme="minorEastAsia"/>
          <w:color w:val="auto"/>
          <w:sz w:val="24"/>
          <w:lang w:val="en-US" w:eastAsia="zh-CN"/>
        </w:rPr>
        <w:t>1、</w:t>
      </w:r>
      <w:r>
        <w:rPr>
          <w:rFonts w:hint="eastAsia" w:ascii="Times New Roman" w:hAnsi="Times New Roman"/>
          <w:color w:val="auto"/>
          <w:sz w:val="24"/>
          <w:lang w:val="en-US" w:eastAsia="zh-CN"/>
        </w:rPr>
        <w:t>光缆建设：（1）随文武站一回110线路接入梨园站同路径新建文武站至梨园站1条48芯管道光缆，新建管道光缆长约4.45千米（含入站光缆）。（2）随文武一回T接110千伏凯鹤线同路径新建文武站至鹤边站2条48芯管道光缆，新建管道光缆长约2×1.38千米（含入站光缆）。</w:t>
      </w:r>
    </w:p>
    <w:p>
      <w:pPr>
        <w:pStyle w:val="5"/>
        <w:pageBreakBefore w:val="0"/>
        <w:numPr>
          <w:ilvl w:val="0"/>
          <w:numId w:val="0"/>
        </w:numPr>
        <w:kinsoku/>
        <w:wordWrap/>
        <w:overflowPunct/>
        <w:topLinePunct w:val="0"/>
        <w:bidi w:val="0"/>
        <w:spacing w:line="360" w:lineRule="auto"/>
        <w:ind w:firstLine="480" w:firstLineChars="200"/>
        <w:textAlignment w:val="auto"/>
        <w:rPr>
          <w:rFonts w:hint="eastAsia" w:ascii="Times New Roman" w:hAnsi="Times New Roman" w:eastAsiaTheme="minorEastAsia" w:cstheme="minorEastAsia"/>
          <w:bCs/>
          <w:sz w:val="24"/>
          <w:szCs w:val="24"/>
          <w:highlight w:val="none"/>
        </w:rPr>
      </w:pPr>
      <w:r>
        <w:rPr>
          <w:rFonts w:hint="eastAsia" w:ascii="Times New Roman" w:hAnsi="Times New Roman" w:eastAsiaTheme="minorEastAsia" w:cstheme="minorEastAsia"/>
          <w:color w:val="auto"/>
          <w:sz w:val="24"/>
          <w:lang w:val="en-US" w:eastAsia="zh-CN"/>
        </w:rPr>
        <w:t>2、</w:t>
      </w:r>
      <w:r>
        <w:rPr>
          <w:rFonts w:hint="default" w:ascii="Times New Roman" w:hAnsi="Times New Roman"/>
          <w:color w:val="auto"/>
          <w:sz w:val="24"/>
          <w:lang w:val="en-US" w:eastAsia="zh-CN"/>
        </w:rPr>
        <w:t>设备配置</w:t>
      </w:r>
      <w:r>
        <w:rPr>
          <w:rFonts w:hint="eastAsia" w:ascii="Times New Roman" w:hAnsi="Times New Roman"/>
          <w:color w:val="auto"/>
          <w:sz w:val="24"/>
          <w:lang w:val="en-US" w:eastAsia="zh-CN"/>
        </w:rPr>
        <w:t>：本期建设110千伏文武变电站站内光纤通信设备及对侧站板卡。</w:t>
      </w:r>
    </w:p>
    <w:p>
      <w:pPr>
        <w:keepNext w:val="0"/>
        <w:keepLines w:val="0"/>
        <w:pageBreakBefore w:val="0"/>
        <w:kinsoku/>
        <w:wordWrap/>
        <w:overflowPunct/>
        <w:topLinePunct w:val="0"/>
        <w:autoSpaceDE/>
        <w:autoSpaceDN/>
        <w:bidi w:val="0"/>
        <w:adjustRightInd/>
        <w:snapToGrid/>
        <w:spacing w:before="157" w:beforeLines="50" w:after="157" w:afterLines="50"/>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二、招标采购范围</w:t>
      </w:r>
    </w:p>
    <w:p>
      <w:pPr>
        <w:keepNext w:val="0"/>
        <w:keepLines w:val="0"/>
        <w:pageBreakBefore w:val="0"/>
        <w:kinsoku/>
        <w:wordWrap/>
        <w:overflowPunct/>
        <w:topLinePunct w:val="0"/>
        <w:autoSpaceDE/>
        <w:autoSpaceDN/>
        <w:bidi w:val="0"/>
        <w:adjustRightInd/>
        <w:snapToGrid/>
        <w:spacing w:before="157" w:beforeLines="50" w:after="157" w:afterLines="50"/>
        <w:ind w:firstLine="480" w:firstLineChars="200"/>
        <w:textAlignment w:val="auto"/>
        <w:rPr>
          <w:rFonts w:hint="eastAsia" w:asciiTheme="minorEastAsia" w:hAnsiTheme="minorEastAsia" w:eastAsiaTheme="minorEastAsia" w:cstheme="minorEastAsia"/>
          <w:b w:val="0"/>
          <w:bCs w:val="0"/>
          <w:i w:val="0"/>
          <w:iCs/>
          <w:color w:val="auto"/>
          <w:kern w:val="2"/>
          <w:sz w:val="24"/>
          <w:szCs w:val="24"/>
          <w:highlight w:val="none"/>
          <w:u w:val="single"/>
          <w:lang w:val="en-US" w:eastAsia="zh-CN" w:bidi="ar-SA"/>
        </w:rPr>
      </w:pPr>
      <w:r>
        <w:rPr>
          <w:rFonts w:hint="eastAsia" w:hAnsi="宋体" w:eastAsia="宋体"/>
          <w:color w:val="auto"/>
          <w:sz w:val="24"/>
          <w:szCs w:val="24"/>
          <w:highlight w:val="none"/>
          <w:u w:val="single"/>
          <w:lang w:val="en-US" w:eastAsia="zh-CN"/>
        </w:rPr>
        <w:t>施工准备（含三通一平）、施工（含通信）、竣工结算、缺陷责任期、电子化移交的全过程监理，以及初步设计概算（或施工图预算）中监理计费范围以外但与工程相关的监理工作。按照建设单位要求使用工程信息管理系统</w:t>
      </w:r>
      <w:r>
        <w:rPr>
          <w:rFonts w:hint="eastAsia" w:hAnsi="宋体" w:eastAsia="宋体"/>
          <w:color w:val="auto"/>
          <w:sz w:val="24"/>
          <w:lang w:val="en-US" w:eastAsia="zh-CN"/>
        </w:rPr>
        <w:t>。</w:t>
      </w:r>
    </w:p>
    <w:p>
      <w:pPr>
        <w:rPr>
          <w:rFonts w:hint="eastAsia"/>
          <w:highlight w:val="none"/>
          <w:lang w:val="en-US" w:eastAsia="zh-CN"/>
        </w:rPr>
      </w:pPr>
    </w:p>
    <w:p>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三、报价表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2242"/>
        <w:gridCol w:w="1519"/>
        <w:gridCol w:w="1033"/>
        <w:gridCol w:w="155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bottom w:val="single" w:color="auto" w:sz="4" w:space="0"/>
            </w:tcBorders>
            <w:noWrap w:val="0"/>
            <w:vAlign w:val="center"/>
          </w:tcPr>
          <w:p>
            <w:pPr>
              <w:tabs>
                <w:tab w:val="left" w:pos="900"/>
              </w:tabs>
              <w:snapToGrid w:val="0"/>
              <w:ind w:right="-24"/>
              <w:jc w:val="center"/>
              <w:rPr>
                <w:rFonts w:ascii="宋体" w:hAnsi="宋体"/>
                <w:color w:val="auto"/>
                <w:highlight w:val="none"/>
              </w:rPr>
            </w:pPr>
            <w:r>
              <w:rPr>
                <w:rFonts w:hint="eastAsia" w:ascii="宋体" w:hAnsi="宋体"/>
                <w:color w:val="auto"/>
                <w:highlight w:val="none"/>
              </w:rPr>
              <w:t>序号</w:t>
            </w:r>
          </w:p>
        </w:tc>
        <w:tc>
          <w:tcPr>
            <w:tcW w:w="2242" w:type="dxa"/>
            <w:tcBorders>
              <w:bottom w:val="single" w:color="auto" w:sz="4" w:space="0"/>
            </w:tcBorders>
            <w:noWrap w:val="0"/>
            <w:vAlign w:val="center"/>
          </w:tcPr>
          <w:p>
            <w:pPr>
              <w:tabs>
                <w:tab w:val="left" w:pos="900"/>
              </w:tabs>
              <w:snapToGrid w:val="0"/>
              <w:ind w:left="282" w:right="-24"/>
              <w:jc w:val="center"/>
              <w:rPr>
                <w:rFonts w:ascii="宋体" w:hAnsi="宋体"/>
                <w:color w:val="auto"/>
                <w:highlight w:val="none"/>
              </w:rPr>
            </w:pPr>
            <w:r>
              <w:rPr>
                <w:rFonts w:hint="eastAsia" w:ascii="宋体" w:hAnsi="宋体"/>
                <w:color w:val="auto"/>
                <w:highlight w:val="none"/>
              </w:rPr>
              <w:t>费用名称</w:t>
            </w:r>
          </w:p>
        </w:tc>
        <w:tc>
          <w:tcPr>
            <w:tcW w:w="1519" w:type="dxa"/>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最高投标限价(元)</w:t>
            </w:r>
          </w:p>
        </w:tc>
        <w:tc>
          <w:tcPr>
            <w:tcW w:w="1033" w:type="dxa"/>
            <w:tcBorders>
              <w:bottom w:val="single" w:color="auto" w:sz="4" w:space="0"/>
            </w:tcBorders>
            <w:noWrap w:val="0"/>
            <w:vAlign w:val="center"/>
          </w:tcPr>
          <w:p>
            <w:pPr>
              <w:tabs>
                <w:tab w:val="left" w:pos="900"/>
              </w:tabs>
              <w:snapToGrid w:val="0"/>
              <w:spacing w:before="120" w:after="120"/>
              <w:ind w:right="-24"/>
              <w:jc w:val="center"/>
              <w:rPr>
                <w:rFonts w:hint="eastAsia" w:ascii="宋体" w:hAnsi="宋体" w:eastAsia="宋体"/>
                <w:b/>
                <w:color w:val="auto"/>
                <w:highlight w:val="none"/>
                <w:lang w:eastAsia="zh-CN"/>
              </w:rPr>
            </w:pPr>
            <w:r>
              <w:rPr>
                <w:rFonts w:hint="eastAsia" w:ascii="宋体" w:hAnsi="宋体"/>
                <w:b w:val="0"/>
                <w:bCs/>
                <w:color w:val="auto"/>
                <w:highlight w:val="none"/>
              </w:rPr>
              <w:t>投标下浮率</w:t>
            </w:r>
          </w:p>
        </w:tc>
        <w:tc>
          <w:tcPr>
            <w:tcW w:w="1559" w:type="dxa"/>
            <w:tcBorders>
              <w:bottom w:val="single" w:color="auto" w:sz="4" w:space="0"/>
            </w:tcBorders>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s="宋体"/>
                <w:color w:val="auto"/>
                <w:kern w:val="0"/>
                <w:szCs w:val="21"/>
                <w:highlight w:val="none"/>
                <w:lang w:bidi="ar"/>
              </w:rPr>
              <w:t>投标报价</w:t>
            </w:r>
            <w:r>
              <w:rPr>
                <w:rFonts w:hint="eastAsia" w:ascii="宋体" w:hAnsi="宋体"/>
                <w:color w:val="auto"/>
                <w:highlight w:val="none"/>
              </w:rPr>
              <w:t>(元)</w:t>
            </w:r>
          </w:p>
        </w:tc>
        <w:tc>
          <w:tcPr>
            <w:tcW w:w="1134" w:type="dxa"/>
            <w:tcBorders>
              <w:bottom w:val="single" w:color="auto" w:sz="4" w:space="0"/>
            </w:tcBorders>
            <w:noWrap w:val="0"/>
            <w:vAlign w:val="center"/>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widowControl/>
              <w:spacing w:line="240" w:lineRule="auto"/>
              <w:jc w:val="center"/>
              <w:textAlignment w:val="center"/>
              <w:rPr>
                <w:rFonts w:ascii="宋体" w:hAnsi="宋体"/>
                <w:color w:val="auto"/>
                <w:highlight w:val="none"/>
              </w:rPr>
            </w:pPr>
            <w:r>
              <w:rPr>
                <w:rFonts w:hint="eastAsia" w:ascii="宋体" w:hAnsi="宋体" w:cs="宋体"/>
                <w:b/>
                <w:bCs/>
                <w:color w:val="auto"/>
                <w:kern w:val="0"/>
                <w:sz w:val="21"/>
                <w:szCs w:val="21"/>
                <w:highlight w:val="none"/>
                <w:lang w:bidi="ar"/>
              </w:rPr>
              <w:t>一</w:t>
            </w:r>
          </w:p>
        </w:tc>
        <w:tc>
          <w:tcPr>
            <w:tcW w:w="2242" w:type="dxa"/>
            <w:tcBorders>
              <w:top w:val="single" w:color="auto" w:sz="4" w:space="0"/>
              <w:bottom w:val="single" w:color="auto" w:sz="4" w:space="0"/>
            </w:tcBorders>
            <w:noWrap w:val="0"/>
            <w:vAlign w:val="center"/>
          </w:tcPr>
          <w:p>
            <w:pPr>
              <w:widowControl/>
              <w:spacing w:line="240" w:lineRule="auto"/>
              <w:jc w:val="center"/>
              <w:textAlignment w:val="center"/>
              <w:rPr>
                <w:rFonts w:ascii="宋体" w:hAnsi="宋体"/>
                <w:color w:val="auto"/>
                <w:highlight w:val="none"/>
              </w:rPr>
            </w:pPr>
            <w:r>
              <w:rPr>
                <w:rFonts w:hint="eastAsia" w:ascii="宋体" w:hAnsi="宋体" w:cs="宋体"/>
                <w:b/>
                <w:color w:val="auto"/>
                <w:kern w:val="0"/>
                <w:sz w:val="21"/>
                <w:szCs w:val="21"/>
                <w:highlight w:val="none"/>
                <w:lang w:bidi="ar"/>
              </w:rPr>
              <w:t>变电工程</w:t>
            </w:r>
          </w:p>
        </w:tc>
        <w:tc>
          <w:tcPr>
            <w:tcW w:w="1519" w:type="dxa"/>
            <w:noWrap w:val="0"/>
            <w:vAlign w:val="center"/>
          </w:tcPr>
          <w:p>
            <w:pPr>
              <w:widowControl/>
              <w:spacing w:line="240" w:lineRule="auto"/>
              <w:jc w:val="center"/>
              <w:textAlignment w:val="center"/>
              <w:rPr>
                <w:rFonts w:hint="eastAsia" w:ascii="宋体" w:hAnsi="宋体" w:eastAsia="宋体" w:cs="宋体"/>
                <w:b/>
                <w:bCs/>
                <w:i w:val="0"/>
                <w:color w:val="000000"/>
                <w:kern w:val="2"/>
                <w:sz w:val="21"/>
                <w:szCs w:val="21"/>
                <w:u w:val="none"/>
                <w:lang w:val="en-US" w:eastAsia="zh-CN" w:bidi="ar-SA"/>
              </w:rPr>
            </w:pPr>
            <w:r>
              <w:rPr>
                <w:rFonts w:hint="eastAsia" w:ascii="宋体" w:hAnsi="宋体" w:eastAsia="宋体" w:cs="宋体"/>
                <w:b/>
                <w:bCs/>
                <w:color w:val="auto"/>
                <w:sz w:val="21"/>
                <w:szCs w:val="21"/>
                <w:highlight w:val="none"/>
                <w:lang w:val="en-US" w:eastAsia="zh-CN"/>
              </w:rPr>
              <w:t>2150076.11</w:t>
            </w:r>
          </w:p>
        </w:tc>
        <w:tc>
          <w:tcPr>
            <w:tcW w:w="1033" w:type="dxa"/>
            <w:vMerge w:val="restart"/>
            <w:tcBorders>
              <w:top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w:t>
            </w: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widowControl/>
              <w:spacing w:line="240" w:lineRule="auto"/>
              <w:jc w:val="center"/>
              <w:textAlignment w:val="center"/>
              <w:rPr>
                <w:rFonts w:ascii="宋体" w:hAnsi="宋体"/>
                <w:color w:val="auto"/>
                <w:highlight w:val="none"/>
              </w:rPr>
            </w:pPr>
            <w:r>
              <w:rPr>
                <w:rFonts w:hint="eastAsia" w:ascii="宋体" w:hAnsi="宋体" w:cs="宋体"/>
                <w:color w:val="auto"/>
                <w:kern w:val="0"/>
                <w:sz w:val="21"/>
                <w:szCs w:val="21"/>
                <w:highlight w:val="none"/>
                <w:lang w:bidi="ar"/>
              </w:rPr>
              <w:t>1</w:t>
            </w:r>
          </w:p>
        </w:tc>
        <w:tc>
          <w:tcPr>
            <w:tcW w:w="2242" w:type="dxa"/>
            <w:tcBorders>
              <w:top w:val="single" w:color="auto" w:sz="4" w:space="0"/>
              <w:bottom w:val="single" w:color="auto" w:sz="4" w:space="0"/>
            </w:tcBorders>
            <w:noWrap w:val="0"/>
            <w:vAlign w:val="center"/>
          </w:tcPr>
          <w:p>
            <w:pPr>
              <w:widowControl/>
              <w:spacing w:line="240" w:lineRule="auto"/>
              <w:jc w:val="left"/>
              <w:textAlignment w:val="center"/>
              <w:rPr>
                <w:rFonts w:hAnsi="宋体"/>
                <w:color w:val="auto"/>
                <w:highlight w:val="none"/>
                <w:u w:val="single"/>
              </w:rPr>
            </w:pPr>
            <w:r>
              <w:rPr>
                <w:rFonts w:hint="eastAsia" w:ascii="宋体" w:hAnsi="宋体" w:eastAsia="宋体" w:cs="宋体"/>
                <w:b w:val="0"/>
                <w:bCs/>
                <w:color w:val="auto"/>
                <w:sz w:val="21"/>
                <w:szCs w:val="21"/>
                <w:highlight w:val="none"/>
                <w:lang w:val="en-US" w:eastAsia="zh-CN"/>
              </w:rPr>
              <w:t>110kV文武变电站工程</w:t>
            </w:r>
          </w:p>
        </w:tc>
        <w:tc>
          <w:tcPr>
            <w:tcW w:w="1519" w:type="dxa"/>
            <w:noWrap w:val="0"/>
            <w:vAlign w:val="center"/>
          </w:tcPr>
          <w:p>
            <w:pPr>
              <w:widowControl/>
              <w:spacing w:line="240" w:lineRule="auto"/>
              <w:jc w:val="center"/>
              <w:textAlignment w:val="center"/>
              <w:rPr>
                <w:rFonts w:hint="eastAsia" w:ascii="宋体" w:hAnsi="宋体" w:eastAsia="宋体" w:cs="宋体"/>
                <w:b w:val="0"/>
                <w:bCs w:val="0"/>
                <w:i w:val="0"/>
                <w:color w:val="000000"/>
                <w:kern w:val="2"/>
                <w:sz w:val="21"/>
                <w:szCs w:val="21"/>
                <w:u w:val="none"/>
                <w:lang w:val="en-US" w:eastAsia="zh-CN" w:bidi="ar-SA"/>
              </w:rPr>
            </w:pPr>
            <w:r>
              <w:rPr>
                <w:rFonts w:hint="eastAsia" w:ascii="宋体" w:hAnsi="宋体" w:eastAsia="宋体" w:cs="宋体"/>
                <w:b w:val="0"/>
                <w:bCs w:val="0"/>
                <w:color w:val="auto"/>
                <w:sz w:val="21"/>
                <w:szCs w:val="21"/>
                <w:highlight w:val="none"/>
                <w:lang w:val="en-US" w:eastAsia="zh-CN"/>
              </w:rPr>
              <w:t>2131484.76</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widowControl/>
              <w:spacing w:line="240" w:lineRule="auto"/>
              <w:jc w:val="center"/>
              <w:textAlignment w:val="center"/>
              <w:rPr>
                <w:rFonts w:ascii="宋体" w:hAnsi="宋体"/>
                <w:color w:val="auto"/>
                <w:highlight w:val="none"/>
              </w:rPr>
            </w:pPr>
            <w:r>
              <w:rPr>
                <w:rFonts w:hint="eastAsia" w:ascii="宋体" w:hAnsi="宋体" w:eastAsia="宋体" w:cs="宋体"/>
                <w:color w:val="auto"/>
                <w:kern w:val="0"/>
                <w:sz w:val="21"/>
                <w:szCs w:val="21"/>
                <w:highlight w:val="none"/>
                <w:lang w:val="en-US" w:eastAsia="zh-CN" w:bidi="ar"/>
              </w:rPr>
              <w:t>2</w:t>
            </w:r>
          </w:p>
        </w:tc>
        <w:tc>
          <w:tcPr>
            <w:tcW w:w="2242" w:type="dxa"/>
            <w:tcBorders>
              <w:top w:val="single" w:color="auto" w:sz="4" w:space="0"/>
              <w:bottom w:val="single" w:color="auto" w:sz="4" w:space="0"/>
            </w:tcBorders>
            <w:noWrap w:val="0"/>
            <w:vAlign w:val="center"/>
          </w:tcPr>
          <w:p>
            <w:pPr>
              <w:widowControl/>
              <w:spacing w:line="240" w:lineRule="auto"/>
              <w:jc w:val="center"/>
              <w:textAlignment w:val="center"/>
              <w:rPr>
                <w:rFonts w:hAnsi="宋体"/>
                <w:color w:val="auto"/>
                <w:highlight w:val="none"/>
                <w:u w:val="single"/>
              </w:rPr>
            </w:pPr>
            <w:r>
              <w:rPr>
                <w:rFonts w:hint="eastAsia" w:ascii="宋体" w:hAnsi="宋体" w:cs="宋体"/>
                <w:color w:val="auto"/>
                <w:sz w:val="21"/>
                <w:szCs w:val="21"/>
                <w:highlight w:val="none"/>
              </w:rPr>
              <w:t>110kV鹤边变电站扩建工程</w:t>
            </w:r>
          </w:p>
        </w:tc>
        <w:tc>
          <w:tcPr>
            <w:tcW w:w="1519" w:type="dxa"/>
            <w:noWrap w:val="0"/>
            <w:vAlign w:val="center"/>
          </w:tcPr>
          <w:p>
            <w:pPr>
              <w:widowControl/>
              <w:spacing w:line="240" w:lineRule="auto"/>
              <w:jc w:val="center"/>
              <w:textAlignment w:val="center"/>
              <w:rPr>
                <w:rFonts w:hint="eastAsia" w:ascii="宋体" w:hAnsi="宋体" w:eastAsia="宋体" w:cs="宋体"/>
                <w:b w:val="0"/>
                <w:bCs w:val="0"/>
                <w:i w:val="0"/>
                <w:color w:val="000000"/>
                <w:kern w:val="2"/>
                <w:sz w:val="21"/>
                <w:szCs w:val="21"/>
                <w:u w:val="none"/>
                <w:lang w:val="en-US" w:eastAsia="zh-CN" w:bidi="ar-SA"/>
              </w:rPr>
            </w:pPr>
            <w:r>
              <w:rPr>
                <w:rFonts w:hint="eastAsia" w:ascii="宋体" w:hAnsi="宋体" w:eastAsia="宋体" w:cs="宋体"/>
                <w:b w:val="0"/>
                <w:bCs w:val="0"/>
                <w:color w:val="auto"/>
                <w:sz w:val="21"/>
                <w:szCs w:val="21"/>
                <w:highlight w:val="none"/>
                <w:lang w:val="en-US" w:eastAsia="zh-CN"/>
              </w:rPr>
              <w:t>3257.24</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widowControl/>
              <w:spacing w:line="240" w:lineRule="auto"/>
              <w:jc w:val="center"/>
              <w:textAlignment w:val="center"/>
              <w:rPr>
                <w:rFonts w:ascii="宋体" w:hAnsi="宋体"/>
                <w:color w:val="auto"/>
                <w:highlight w:val="none"/>
              </w:rPr>
            </w:pPr>
            <w:r>
              <w:rPr>
                <w:rFonts w:hint="eastAsia" w:ascii="宋体" w:hAnsi="宋体" w:eastAsia="宋体" w:cs="宋体"/>
                <w:color w:val="auto"/>
                <w:kern w:val="0"/>
                <w:sz w:val="21"/>
                <w:szCs w:val="21"/>
                <w:highlight w:val="none"/>
                <w:lang w:val="en-US" w:eastAsia="zh-CN" w:bidi="ar"/>
              </w:rPr>
              <w:t>3</w:t>
            </w:r>
          </w:p>
        </w:tc>
        <w:tc>
          <w:tcPr>
            <w:tcW w:w="2242" w:type="dxa"/>
            <w:tcBorders>
              <w:top w:val="single" w:color="auto" w:sz="4" w:space="0"/>
              <w:bottom w:val="single" w:color="auto" w:sz="4" w:space="0"/>
            </w:tcBorders>
            <w:noWrap w:val="0"/>
            <w:vAlign w:val="center"/>
          </w:tcPr>
          <w:p>
            <w:pPr>
              <w:widowControl/>
              <w:spacing w:line="240" w:lineRule="auto"/>
              <w:jc w:val="center"/>
              <w:textAlignment w:val="center"/>
              <w:rPr>
                <w:rFonts w:ascii="宋体" w:hAnsi="宋体"/>
                <w:color w:val="auto"/>
                <w:highlight w:val="none"/>
              </w:rPr>
            </w:pPr>
            <w:r>
              <w:rPr>
                <w:rFonts w:hint="default" w:ascii="宋体" w:hAnsi="宋体" w:eastAsia="宋体" w:cs="宋体"/>
                <w:b w:val="0"/>
                <w:bCs/>
                <w:color w:val="auto"/>
                <w:sz w:val="21"/>
                <w:szCs w:val="21"/>
                <w:highlight w:val="none"/>
                <w:lang w:val="en-US" w:eastAsia="zh-CN"/>
              </w:rPr>
              <w:t>220kV梨园变电站扩建工程</w:t>
            </w:r>
          </w:p>
        </w:tc>
        <w:tc>
          <w:tcPr>
            <w:tcW w:w="1519" w:type="dxa"/>
            <w:noWrap w:val="0"/>
            <w:vAlign w:val="center"/>
          </w:tcPr>
          <w:p>
            <w:pPr>
              <w:widowControl/>
              <w:spacing w:line="240" w:lineRule="auto"/>
              <w:jc w:val="center"/>
              <w:textAlignment w:val="center"/>
              <w:rPr>
                <w:rFonts w:hint="eastAsia" w:ascii="宋体" w:hAnsi="宋体" w:eastAsia="宋体" w:cs="宋体"/>
                <w:b/>
                <w:bCs/>
                <w:i w:val="0"/>
                <w:color w:val="000000"/>
                <w:kern w:val="2"/>
                <w:sz w:val="21"/>
                <w:szCs w:val="21"/>
                <w:u w:val="none"/>
                <w:lang w:val="en-US" w:eastAsia="zh-CN" w:bidi="ar-SA"/>
              </w:rPr>
            </w:pPr>
            <w:r>
              <w:rPr>
                <w:rFonts w:hint="eastAsia" w:ascii="宋体" w:hAnsi="宋体" w:eastAsia="宋体" w:cs="宋体"/>
                <w:b w:val="0"/>
                <w:bCs w:val="0"/>
                <w:color w:val="auto"/>
                <w:sz w:val="21"/>
                <w:szCs w:val="21"/>
                <w:highlight w:val="none"/>
                <w:lang w:val="en-US" w:eastAsia="zh-CN"/>
              </w:rPr>
              <w:t>15334.11</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spacing w:line="240" w:lineRule="auto"/>
              <w:jc w:val="center"/>
              <w:rPr>
                <w:rFonts w:ascii="宋体" w:hAnsi="宋体"/>
                <w:color w:val="auto"/>
                <w:highlight w:val="none"/>
              </w:rPr>
            </w:pPr>
            <w:r>
              <w:rPr>
                <w:rFonts w:hint="eastAsia" w:ascii="宋体" w:hAnsi="宋体" w:cs="宋体"/>
                <w:b/>
                <w:bCs/>
                <w:color w:val="auto"/>
                <w:sz w:val="21"/>
                <w:szCs w:val="21"/>
                <w:highlight w:val="none"/>
              </w:rPr>
              <w:t>二</w:t>
            </w:r>
          </w:p>
        </w:tc>
        <w:tc>
          <w:tcPr>
            <w:tcW w:w="2242" w:type="dxa"/>
            <w:tcBorders>
              <w:top w:val="single" w:color="auto" w:sz="4" w:space="0"/>
              <w:bottom w:val="single" w:color="auto" w:sz="4" w:space="0"/>
            </w:tcBorders>
            <w:noWrap w:val="0"/>
            <w:vAlign w:val="center"/>
          </w:tcPr>
          <w:p>
            <w:pPr>
              <w:widowControl/>
              <w:spacing w:line="240" w:lineRule="auto"/>
              <w:jc w:val="center"/>
              <w:textAlignment w:val="center"/>
              <w:rPr>
                <w:rFonts w:hAnsi="宋体"/>
                <w:color w:val="auto"/>
                <w:highlight w:val="none"/>
                <w:u w:val="single"/>
              </w:rPr>
            </w:pPr>
            <w:r>
              <w:rPr>
                <w:rStyle w:val="17"/>
                <w:rFonts w:hint="default"/>
                <w:b/>
                <w:bCs/>
                <w:color w:val="auto"/>
                <w:sz w:val="21"/>
                <w:szCs w:val="21"/>
                <w:highlight w:val="none"/>
                <w:lang w:bidi="ar"/>
              </w:rPr>
              <w:t>线路工程</w:t>
            </w:r>
          </w:p>
        </w:tc>
        <w:tc>
          <w:tcPr>
            <w:tcW w:w="1519" w:type="dxa"/>
            <w:noWrap w:val="0"/>
            <w:vAlign w:val="center"/>
          </w:tcPr>
          <w:p>
            <w:pPr>
              <w:widowControl/>
              <w:spacing w:line="240" w:lineRule="auto"/>
              <w:jc w:val="center"/>
              <w:textAlignment w:val="center"/>
              <w:rPr>
                <w:rFonts w:hint="eastAsia" w:ascii="宋体" w:hAnsi="宋体" w:eastAsia="宋体" w:cs="宋体"/>
                <w:b w:val="0"/>
                <w:bCs w:val="0"/>
                <w:i w:val="0"/>
                <w:color w:val="000000"/>
                <w:kern w:val="2"/>
                <w:sz w:val="21"/>
                <w:szCs w:val="21"/>
                <w:u w:val="none"/>
                <w:lang w:val="en-US" w:eastAsia="zh-CN" w:bidi="ar-SA"/>
              </w:rPr>
            </w:pPr>
            <w:r>
              <w:rPr>
                <w:rFonts w:hint="eastAsia" w:ascii="宋体" w:hAnsi="宋体" w:eastAsia="宋体" w:cs="宋体"/>
                <w:b/>
                <w:bCs/>
                <w:color w:val="auto"/>
                <w:sz w:val="21"/>
                <w:szCs w:val="21"/>
                <w:highlight w:val="none"/>
                <w:lang w:val="en-US" w:eastAsia="zh-CN"/>
              </w:rPr>
              <w:t>503374.63</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spacing w:line="240" w:lineRule="auto"/>
              <w:jc w:val="center"/>
              <w:rPr>
                <w:rFonts w:ascii="宋体" w:hAnsi="宋体"/>
                <w:color w:val="auto"/>
                <w:highlight w:val="none"/>
              </w:rPr>
            </w:pPr>
            <w:r>
              <w:rPr>
                <w:rFonts w:hint="eastAsia" w:ascii="宋体" w:hAnsi="宋体" w:cs="宋体"/>
                <w:color w:val="auto"/>
                <w:sz w:val="21"/>
                <w:szCs w:val="21"/>
                <w:highlight w:val="none"/>
                <w:lang w:val="en-US" w:eastAsia="zh-CN"/>
              </w:rPr>
              <w:t>1</w:t>
            </w:r>
          </w:p>
        </w:tc>
        <w:tc>
          <w:tcPr>
            <w:tcW w:w="2242" w:type="dxa"/>
            <w:tcBorders>
              <w:top w:val="single" w:color="auto" w:sz="4" w:space="0"/>
              <w:bottom w:val="single" w:color="auto" w:sz="4" w:space="0"/>
            </w:tcBorders>
            <w:noWrap w:val="0"/>
            <w:vAlign w:val="center"/>
          </w:tcPr>
          <w:p>
            <w:pPr>
              <w:widowControl/>
              <w:spacing w:line="240" w:lineRule="auto"/>
              <w:jc w:val="center"/>
              <w:textAlignment w:val="center"/>
              <w:rPr>
                <w:rFonts w:hAnsi="宋体"/>
                <w:color w:val="auto"/>
                <w:highlight w:val="none"/>
                <w:u w:val="single"/>
              </w:rPr>
            </w:pPr>
            <w:r>
              <w:rPr>
                <w:rFonts w:hint="default" w:ascii="宋体" w:hAnsi="宋体" w:eastAsia="宋体" w:cs="宋体"/>
                <w:b w:val="0"/>
                <w:bCs/>
                <w:color w:val="auto"/>
                <w:sz w:val="21"/>
                <w:szCs w:val="21"/>
                <w:highlight w:val="none"/>
                <w:lang w:val="en-US" w:eastAsia="zh-CN"/>
              </w:rPr>
              <w:t>110kV 梨园-文武单回电缆线路工程</w:t>
            </w:r>
          </w:p>
        </w:tc>
        <w:tc>
          <w:tcPr>
            <w:tcW w:w="1519" w:type="dxa"/>
            <w:noWrap w:val="0"/>
            <w:vAlign w:val="center"/>
          </w:tcPr>
          <w:p>
            <w:pPr>
              <w:widowControl/>
              <w:spacing w:line="240" w:lineRule="auto"/>
              <w:jc w:val="center"/>
              <w:textAlignment w:val="center"/>
              <w:rPr>
                <w:rFonts w:hint="eastAsia" w:ascii="宋体" w:hAnsi="宋体" w:eastAsia="宋体" w:cs="宋体"/>
                <w:b w:val="0"/>
                <w:bCs w:val="0"/>
                <w:i w:val="0"/>
                <w:color w:val="000000"/>
                <w:kern w:val="2"/>
                <w:sz w:val="21"/>
                <w:szCs w:val="21"/>
                <w:u w:val="none"/>
                <w:lang w:val="en-US" w:eastAsia="zh-CN" w:bidi="ar-SA"/>
              </w:rPr>
            </w:pPr>
            <w:r>
              <w:rPr>
                <w:rFonts w:hint="eastAsia" w:ascii="宋体" w:hAnsi="宋体" w:eastAsia="宋体" w:cs="宋体"/>
                <w:b w:val="0"/>
                <w:bCs w:val="0"/>
                <w:color w:val="auto"/>
                <w:sz w:val="21"/>
                <w:szCs w:val="21"/>
                <w:highlight w:val="none"/>
                <w:lang w:val="en-US" w:eastAsia="zh-CN"/>
              </w:rPr>
              <w:t>431793.26</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nil"/>
            </w:tcBorders>
            <w:noWrap w:val="0"/>
            <w:vAlign w:val="center"/>
          </w:tcPr>
          <w:p>
            <w:pPr>
              <w:spacing w:line="240" w:lineRule="auto"/>
              <w:jc w:val="center"/>
              <w:rPr>
                <w:rFonts w:ascii="宋体" w:hAnsi="宋体"/>
                <w:color w:val="auto"/>
                <w:highlight w:val="none"/>
              </w:rPr>
            </w:pPr>
            <w:r>
              <w:rPr>
                <w:rFonts w:hint="eastAsia" w:ascii="宋体" w:hAnsi="宋体" w:cs="宋体"/>
                <w:color w:val="auto"/>
                <w:sz w:val="21"/>
                <w:szCs w:val="21"/>
                <w:highlight w:val="none"/>
                <w:lang w:val="en-US" w:eastAsia="zh-CN"/>
              </w:rPr>
              <w:t>2</w:t>
            </w:r>
          </w:p>
        </w:tc>
        <w:tc>
          <w:tcPr>
            <w:tcW w:w="2242" w:type="dxa"/>
            <w:tcBorders>
              <w:top w:val="single" w:color="auto" w:sz="4" w:space="0"/>
              <w:bottom w:val="nil"/>
            </w:tcBorders>
            <w:noWrap w:val="0"/>
            <w:vAlign w:val="center"/>
          </w:tcPr>
          <w:p>
            <w:pPr>
              <w:widowControl/>
              <w:tabs>
                <w:tab w:val="left" w:pos="539"/>
              </w:tabs>
              <w:spacing w:line="240" w:lineRule="auto"/>
              <w:jc w:val="left"/>
              <w:textAlignment w:val="center"/>
              <w:rPr>
                <w:rFonts w:ascii="宋体" w:hAnsi="宋体"/>
                <w:color w:val="auto"/>
                <w:highlight w:val="none"/>
              </w:rPr>
            </w:pPr>
            <w:r>
              <w:rPr>
                <w:rStyle w:val="17"/>
                <w:rFonts w:hint="eastAsia" w:eastAsia="宋体"/>
                <w:b/>
                <w:bCs/>
                <w:color w:val="auto"/>
                <w:sz w:val="21"/>
                <w:szCs w:val="21"/>
                <w:highlight w:val="none"/>
                <w:lang w:eastAsia="zh-CN" w:bidi="ar"/>
              </w:rPr>
              <w:tab/>
            </w:r>
            <w:r>
              <w:rPr>
                <w:rFonts w:hint="eastAsia" w:ascii="宋体" w:hAnsi="宋体" w:eastAsia="宋体" w:cs="宋体"/>
                <w:b w:val="0"/>
                <w:bCs/>
                <w:color w:val="auto"/>
                <w:sz w:val="21"/>
                <w:szCs w:val="21"/>
                <w:highlight w:val="none"/>
                <w:lang w:val="en-US" w:eastAsia="zh-CN"/>
              </w:rPr>
              <w:t>T 接凯鹤线单回电缆线路工程</w:t>
            </w:r>
          </w:p>
        </w:tc>
        <w:tc>
          <w:tcPr>
            <w:tcW w:w="1519" w:type="dxa"/>
            <w:tcBorders>
              <w:bottom w:val="single" w:color="auto" w:sz="4" w:space="0"/>
            </w:tcBorders>
            <w:noWrap w:val="0"/>
            <w:vAlign w:val="center"/>
          </w:tcPr>
          <w:p>
            <w:pPr>
              <w:widowControl/>
              <w:spacing w:line="240" w:lineRule="auto"/>
              <w:jc w:val="center"/>
              <w:textAlignment w:val="center"/>
              <w:rPr>
                <w:rFonts w:hint="eastAsia" w:ascii="宋体" w:hAnsi="宋体" w:eastAsia="宋体" w:cs="宋体"/>
                <w:b w:val="0"/>
                <w:bCs w:val="0"/>
                <w:i w:val="0"/>
                <w:color w:val="000000"/>
                <w:kern w:val="0"/>
                <w:sz w:val="21"/>
                <w:szCs w:val="21"/>
                <w:u w:val="none"/>
                <w:lang w:val="en-US" w:eastAsia="zh-CN" w:bidi="ar"/>
              </w:rPr>
            </w:pPr>
            <w:r>
              <w:rPr>
                <w:rFonts w:hint="eastAsia" w:ascii="宋体" w:hAnsi="宋体" w:eastAsia="宋体" w:cs="宋体"/>
                <w:b w:val="0"/>
                <w:bCs w:val="0"/>
                <w:color w:val="auto"/>
                <w:sz w:val="21"/>
                <w:szCs w:val="21"/>
                <w:highlight w:val="none"/>
                <w:lang w:val="en-US" w:eastAsia="zh-CN"/>
              </w:rPr>
              <w:t>71581.37</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bottom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nil"/>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spacing w:line="240" w:lineRule="auto"/>
              <w:jc w:val="center"/>
              <w:rPr>
                <w:rFonts w:ascii="宋体" w:hAnsi="宋体"/>
                <w:color w:val="auto"/>
                <w:highlight w:val="none"/>
              </w:rPr>
            </w:pPr>
            <w:r>
              <w:rPr>
                <w:rFonts w:hint="eastAsia" w:ascii="宋体" w:hAnsi="宋体" w:cs="宋体"/>
                <w:b/>
                <w:bCs/>
                <w:color w:val="auto"/>
                <w:sz w:val="21"/>
                <w:szCs w:val="21"/>
                <w:highlight w:val="none"/>
                <w:lang w:val="en-US" w:eastAsia="zh-CN"/>
              </w:rPr>
              <w:t>三</w:t>
            </w:r>
          </w:p>
        </w:tc>
        <w:tc>
          <w:tcPr>
            <w:tcW w:w="2242" w:type="dxa"/>
            <w:tcBorders>
              <w:top w:val="single" w:color="auto" w:sz="4" w:space="0"/>
              <w:bottom w:val="single" w:color="auto" w:sz="4" w:space="0"/>
            </w:tcBorders>
            <w:noWrap w:val="0"/>
            <w:vAlign w:val="center"/>
          </w:tcPr>
          <w:p>
            <w:pPr>
              <w:widowControl/>
              <w:spacing w:line="240" w:lineRule="auto"/>
              <w:jc w:val="center"/>
              <w:textAlignment w:val="center"/>
              <w:rPr>
                <w:rFonts w:ascii="宋体" w:hAnsi="宋体"/>
                <w:color w:val="auto"/>
                <w:highlight w:val="none"/>
              </w:rPr>
            </w:pPr>
            <w:r>
              <w:rPr>
                <w:rStyle w:val="17"/>
                <w:rFonts w:hint="default"/>
                <w:b/>
                <w:bCs/>
                <w:color w:val="auto"/>
                <w:sz w:val="21"/>
                <w:szCs w:val="21"/>
                <w:highlight w:val="none"/>
                <w:lang w:bidi="ar"/>
              </w:rPr>
              <w:t>配套通信工程</w:t>
            </w:r>
          </w:p>
        </w:tc>
        <w:tc>
          <w:tcPr>
            <w:tcW w:w="1519" w:type="dxa"/>
            <w:tcBorders>
              <w:bottom w:val="single" w:color="auto" w:sz="4" w:space="0"/>
            </w:tcBorders>
            <w:noWrap w:val="0"/>
            <w:vAlign w:val="center"/>
          </w:tcPr>
          <w:p>
            <w:pPr>
              <w:widowControl/>
              <w:spacing w:line="240" w:lineRule="auto"/>
              <w:jc w:val="center"/>
              <w:textAlignment w:val="center"/>
              <w:rPr>
                <w:rFonts w:hint="eastAsia" w:ascii="宋体" w:hAnsi="宋体" w:eastAsia="宋体" w:cs="宋体"/>
                <w:b w:val="0"/>
                <w:bCs w:val="0"/>
                <w:i w:val="0"/>
                <w:color w:val="000000"/>
                <w:kern w:val="0"/>
                <w:sz w:val="21"/>
                <w:szCs w:val="21"/>
                <w:u w:val="none"/>
                <w:lang w:val="en-US" w:eastAsia="zh-CN" w:bidi="ar"/>
              </w:rPr>
            </w:pPr>
            <w:r>
              <w:rPr>
                <w:rFonts w:hint="eastAsia" w:ascii="宋体" w:hAnsi="宋体" w:eastAsia="宋体" w:cs="宋体"/>
                <w:b/>
                <w:bCs/>
                <w:color w:val="auto"/>
                <w:sz w:val="21"/>
                <w:szCs w:val="21"/>
                <w:highlight w:val="none"/>
                <w:lang w:val="en-US" w:eastAsia="zh-CN"/>
              </w:rPr>
              <w:t>24713.95</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bottom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spacing w:line="240" w:lineRule="auto"/>
              <w:jc w:val="center"/>
              <w:rPr>
                <w:rFonts w:hint="eastAsia" w:ascii="宋体" w:hAnsi="宋体"/>
                <w:color w:val="auto"/>
                <w:highlight w:val="none"/>
              </w:rPr>
            </w:pPr>
            <w:r>
              <w:rPr>
                <w:rFonts w:hint="eastAsia" w:ascii="宋体" w:hAnsi="宋体" w:cs="宋体"/>
                <w:color w:val="auto"/>
                <w:sz w:val="21"/>
                <w:szCs w:val="21"/>
                <w:highlight w:val="none"/>
                <w:lang w:val="en-US" w:eastAsia="zh-CN"/>
              </w:rPr>
              <w:t>1</w:t>
            </w:r>
          </w:p>
        </w:tc>
        <w:tc>
          <w:tcPr>
            <w:tcW w:w="2242" w:type="dxa"/>
            <w:tcBorders>
              <w:top w:val="single" w:color="auto" w:sz="4" w:space="0"/>
              <w:bottom w:val="single" w:color="auto" w:sz="4" w:space="0"/>
            </w:tcBorders>
            <w:noWrap w:val="0"/>
            <w:vAlign w:val="center"/>
          </w:tcPr>
          <w:p>
            <w:pPr>
              <w:widowControl/>
              <w:spacing w:line="240" w:lineRule="auto"/>
              <w:jc w:val="center"/>
              <w:textAlignment w:val="center"/>
              <w:rPr>
                <w:rFonts w:hint="eastAsia" w:ascii="宋体" w:hAnsi="宋体"/>
                <w:color w:val="auto"/>
                <w:highlight w:val="none"/>
              </w:rPr>
            </w:pPr>
            <w:r>
              <w:rPr>
                <w:rFonts w:hint="default" w:ascii="宋体" w:hAnsi="宋体" w:eastAsia="宋体" w:cs="宋体"/>
                <w:b w:val="0"/>
                <w:bCs/>
                <w:color w:val="auto"/>
                <w:sz w:val="21"/>
                <w:szCs w:val="21"/>
                <w:highlight w:val="none"/>
                <w:lang w:val="en-US" w:eastAsia="zh-CN"/>
              </w:rPr>
              <w:t>110kV文武变电站工程（站内通信）</w:t>
            </w:r>
          </w:p>
        </w:tc>
        <w:tc>
          <w:tcPr>
            <w:tcW w:w="1519" w:type="dxa"/>
            <w:tcBorders>
              <w:bottom w:val="single" w:color="auto" w:sz="4" w:space="0"/>
            </w:tcBorders>
            <w:noWrap w:val="0"/>
            <w:vAlign w:val="center"/>
          </w:tcPr>
          <w:p>
            <w:pPr>
              <w:widowControl/>
              <w:spacing w:line="240" w:lineRule="auto"/>
              <w:jc w:val="center"/>
              <w:textAlignment w:val="center"/>
              <w:rPr>
                <w:rFonts w:hint="eastAsia" w:ascii="宋体" w:hAnsi="宋体" w:eastAsia="宋体" w:cs="宋体"/>
                <w:b/>
                <w:bCs/>
                <w:i w:val="0"/>
                <w:color w:val="000000"/>
                <w:kern w:val="2"/>
                <w:sz w:val="21"/>
                <w:szCs w:val="21"/>
                <w:u w:val="none"/>
                <w:lang w:val="en-US" w:eastAsia="zh-CN" w:bidi="ar-SA"/>
              </w:rPr>
            </w:pPr>
            <w:r>
              <w:rPr>
                <w:rFonts w:hint="eastAsia" w:ascii="宋体" w:hAnsi="宋体" w:eastAsia="宋体" w:cs="宋体"/>
                <w:b w:val="0"/>
                <w:bCs w:val="0"/>
                <w:color w:val="auto"/>
                <w:sz w:val="21"/>
                <w:szCs w:val="21"/>
                <w:highlight w:val="none"/>
                <w:lang w:val="en-US" w:eastAsia="zh-CN"/>
              </w:rPr>
              <w:t>17699.60</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bottom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spacing w:line="240" w:lineRule="auto"/>
              <w:jc w:val="center"/>
              <w:rPr>
                <w:rFonts w:hint="eastAsia" w:ascii="宋体" w:hAnsi="宋体"/>
                <w:color w:val="auto"/>
                <w:highlight w:val="none"/>
              </w:rPr>
            </w:pPr>
            <w:r>
              <w:rPr>
                <w:rFonts w:hint="eastAsia" w:ascii="宋体" w:hAnsi="宋体" w:cs="宋体"/>
                <w:color w:val="auto"/>
                <w:sz w:val="21"/>
                <w:szCs w:val="21"/>
                <w:highlight w:val="none"/>
                <w:lang w:val="en-US" w:eastAsia="zh-CN"/>
              </w:rPr>
              <w:t>2</w:t>
            </w:r>
          </w:p>
        </w:tc>
        <w:tc>
          <w:tcPr>
            <w:tcW w:w="2242" w:type="dxa"/>
            <w:tcBorders>
              <w:top w:val="single" w:color="auto" w:sz="4" w:space="0"/>
              <w:bottom w:val="single" w:color="auto" w:sz="4" w:space="0"/>
            </w:tcBorders>
            <w:noWrap w:val="0"/>
            <w:vAlign w:val="center"/>
          </w:tcPr>
          <w:p>
            <w:pPr>
              <w:widowControl/>
              <w:spacing w:line="240" w:lineRule="auto"/>
              <w:jc w:val="center"/>
              <w:textAlignment w:val="center"/>
              <w:rPr>
                <w:rFonts w:hint="eastAsia" w:ascii="宋体" w:hAnsi="宋体"/>
                <w:color w:val="auto"/>
                <w:highlight w:val="none"/>
              </w:rPr>
            </w:pPr>
            <w:r>
              <w:rPr>
                <w:rFonts w:hint="default" w:ascii="宋体" w:hAnsi="宋体" w:eastAsia="宋体" w:cs="宋体"/>
                <w:b w:val="0"/>
                <w:bCs/>
                <w:color w:val="auto"/>
                <w:sz w:val="21"/>
                <w:szCs w:val="21"/>
                <w:highlight w:val="none"/>
                <w:lang w:val="en-US" w:eastAsia="zh-CN"/>
              </w:rPr>
              <w:t>110kV 梨园-文武单回电缆线路工程（管道光缆）</w:t>
            </w:r>
          </w:p>
        </w:tc>
        <w:tc>
          <w:tcPr>
            <w:tcW w:w="1519" w:type="dxa"/>
            <w:tcBorders>
              <w:bottom w:val="single" w:color="auto" w:sz="4" w:space="0"/>
            </w:tcBorders>
            <w:noWrap w:val="0"/>
            <w:vAlign w:val="center"/>
          </w:tcPr>
          <w:p>
            <w:pPr>
              <w:widowControl/>
              <w:spacing w:line="240" w:lineRule="auto"/>
              <w:jc w:val="center"/>
              <w:textAlignment w:val="center"/>
              <w:rPr>
                <w:rFonts w:hint="eastAsia" w:ascii="宋体" w:hAnsi="宋体" w:eastAsia="宋体" w:cs="宋体"/>
                <w:b w:val="0"/>
                <w:bCs w:val="0"/>
                <w:i w:val="0"/>
                <w:color w:val="000000"/>
                <w:kern w:val="2"/>
                <w:sz w:val="21"/>
                <w:szCs w:val="21"/>
                <w:u w:val="none"/>
                <w:lang w:val="en-US" w:eastAsia="zh-CN" w:bidi="ar-SA"/>
              </w:rPr>
            </w:pPr>
            <w:r>
              <w:rPr>
                <w:rFonts w:hint="eastAsia" w:ascii="宋体" w:hAnsi="宋体" w:eastAsia="宋体" w:cs="宋体"/>
                <w:b w:val="0"/>
                <w:bCs w:val="0"/>
                <w:color w:val="auto"/>
                <w:sz w:val="21"/>
                <w:szCs w:val="21"/>
                <w:highlight w:val="none"/>
                <w:lang w:val="en-US" w:eastAsia="zh-CN"/>
              </w:rPr>
              <w:t>4216.77</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bottom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3" w:type="dxa"/>
            <w:tcBorders>
              <w:top w:val="single" w:color="auto" w:sz="4" w:space="0"/>
              <w:bottom w:val="single" w:color="auto" w:sz="4" w:space="0"/>
            </w:tcBorders>
            <w:noWrap w:val="0"/>
            <w:vAlign w:val="center"/>
          </w:tcPr>
          <w:p>
            <w:pPr>
              <w:spacing w:line="240" w:lineRule="auto"/>
              <w:jc w:val="center"/>
              <w:rPr>
                <w:rFonts w:hint="eastAsia" w:ascii="宋体" w:hAnsi="宋体"/>
                <w:color w:val="auto"/>
                <w:highlight w:val="none"/>
              </w:rPr>
            </w:pPr>
            <w:r>
              <w:rPr>
                <w:rFonts w:hint="eastAsia" w:ascii="宋体" w:hAnsi="宋体" w:cs="宋体"/>
                <w:color w:val="auto"/>
                <w:sz w:val="21"/>
                <w:szCs w:val="21"/>
                <w:highlight w:val="none"/>
                <w:lang w:val="en-US" w:eastAsia="zh-CN"/>
              </w:rPr>
              <w:t>3</w:t>
            </w:r>
          </w:p>
        </w:tc>
        <w:tc>
          <w:tcPr>
            <w:tcW w:w="2242" w:type="dxa"/>
            <w:tcBorders>
              <w:top w:val="single" w:color="auto" w:sz="4" w:space="0"/>
              <w:bottom w:val="single" w:color="auto" w:sz="4" w:space="0"/>
            </w:tcBorders>
            <w:noWrap w:val="0"/>
            <w:vAlign w:val="center"/>
          </w:tcPr>
          <w:p>
            <w:pPr>
              <w:widowControl/>
              <w:spacing w:line="240" w:lineRule="auto"/>
              <w:jc w:val="center"/>
              <w:textAlignment w:val="center"/>
              <w:rPr>
                <w:rFonts w:hint="eastAsia" w:ascii="宋体" w:hAnsi="宋体"/>
                <w:color w:val="auto"/>
                <w:highlight w:val="none"/>
              </w:rPr>
            </w:pPr>
            <w:r>
              <w:rPr>
                <w:rFonts w:hint="default" w:ascii="宋体" w:hAnsi="宋体" w:eastAsia="宋体" w:cs="宋体"/>
                <w:b w:val="0"/>
                <w:bCs/>
                <w:color w:val="auto"/>
                <w:sz w:val="21"/>
                <w:szCs w:val="21"/>
                <w:highlight w:val="none"/>
                <w:lang w:val="en-US" w:eastAsia="zh-CN"/>
              </w:rPr>
              <w:t>T 接凯鹤线单回电缆线路工程（管道光缆）</w:t>
            </w:r>
          </w:p>
        </w:tc>
        <w:tc>
          <w:tcPr>
            <w:tcW w:w="1519" w:type="dxa"/>
            <w:tcBorders>
              <w:bottom w:val="single" w:color="auto" w:sz="4" w:space="0"/>
            </w:tcBorders>
            <w:noWrap w:val="0"/>
            <w:vAlign w:val="center"/>
          </w:tcPr>
          <w:p>
            <w:pPr>
              <w:widowControl/>
              <w:spacing w:line="240" w:lineRule="auto"/>
              <w:jc w:val="center"/>
              <w:textAlignment w:val="center"/>
              <w:rPr>
                <w:rFonts w:hint="eastAsia" w:ascii="宋体" w:hAnsi="宋体" w:eastAsia="宋体" w:cs="宋体"/>
                <w:b w:val="0"/>
                <w:bCs w:val="0"/>
                <w:i w:val="0"/>
                <w:color w:val="000000"/>
                <w:kern w:val="2"/>
                <w:sz w:val="21"/>
                <w:szCs w:val="21"/>
                <w:u w:val="none"/>
                <w:lang w:val="en-US" w:eastAsia="zh-CN" w:bidi="ar-SA"/>
              </w:rPr>
            </w:pPr>
            <w:r>
              <w:rPr>
                <w:rFonts w:hint="eastAsia" w:ascii="宋体" w:hAnsi="宋体" w:eastAsia="宋体" w:cs="宋体"/>
                <w:b w:val="0"/>
                <w:bCs w:val="0"/>
                <w:color w:val="auto"/>
                <w:sz w:val="21"/>
                <w:szCs w:val="21"/>
                <w:highlight w:val="none"/>
                <w:lang w:val="en-US" w:eastAsia="zh-CN"/>
              </w:rPr>
              <w:t>2797.58</w:t>
            </w:r>
          </w:p>
        </w:tc>
        <w:tc>
          <w:tcPr>
            <w:tcW w:w="1033" w:type="dxa"/>
            <w:vMerge w:val="continue"/>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bottom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085" w:type="dxa"/>
            <w:gridSpan w:val="2"/>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b/>
                <w:color w:val="auto"/>
                <w:szCs w:val="21"/>
                <w:highlight w:val="none"/>
              </w:rPr>
            </w:pPr>
            <w:r>
              <w:rPr>
                <w:rFonts w:hint="eastAsia" w:hAnsi="宋体" w:cs="Times New Roman"/>
                <w:b/>
                <w:bCs/>
                <w:color w:val="auto"/>
                <w:sz w:val="21"/>
                <w:szCs w:val="21"/>
                <w:highlight w:val="none"/>
                <w:u w:val="single"/>
                <w:lang w:val="en-US" w:eastAsia="zh-CN"/>
              </w:rPr>
              <w:t>合计（小写）</w:t>
            </w:r>
          </w:p>
        </w:tc>
        <w:tc>
          <w:tcPr>
            <w:tcW w:w="1519" w:type="dxa"/>
            <w:tcBorders>
              <w:top w:val="single" w:color="auto" w:sz="4" w:space="0"/>
              <w:bottom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r>
              <w:rPr>
                <w:rFonts w:hint="eastAsia" w:ascii="宋体" w:hAnsi="宋体" w:eastAsia="宋体" w:cs="宋体"/>
                <w:b/>
                <w:bCs/>
                <w:color w:val="auto"/>
                <w:sz w:val="21"/>
                <w:szCs w:val="21"/>
                <w:highlight w:val="none"/>
                <w:lang w:val="en-US" w:eastAsia="zh-CN"/>
              </w:rPr>
              <w:t>2678164.69</w:t>
            </w:r>
          </w:p>
        </w:tc>
        <w:tc>
          <w:tcPr>
            <w:tcW w:w="1033" w:type="dxa"/>
            <w:vMerge w:val="continue"/>
            <w:tcBorders>
              <w:bottom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color w:val="000000"/>
                <w:kern w:val="2"/>
                <w:sz w:val="21"/>
                <w:szCs w:val="21"/>
                <w:u w:val="none"/>
                <w:lang w:val="en-US" w:eastAsia="zh-CN" w:bidi="ar-SA"/>
              </w:rPr>
            </w:pPr>
          </w:p>
        </w:tc>
        <w:tc>
          <w:tcPr>
            <w:tcW w:w="1559" w:type="dxa"/>
            <w:tcBorders>
              <w:top w:val="single" w:color="auto" w:sz="4" w:space="0"/>
              <w:bottom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bl>
    <w:p>
      <w:pPr>
        <w:pStyle w:val="3"/>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pStyle w:val="7"/>
        <w:ind w:firstLine="240" w:firstLineChars="1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pPr>
        <w:pStyle w:val="2"/>
        <w:spacing w:line="240" w:lineRule="auto"/>
        <w:rPr>
          <w:rFonts w:hint="eastAsia" w:asciiTheme="minorEastAsia" w:hAnsiTheme="minorEastAsia" w:eastAsiaTheme="minorEastAsia" w:cstheme="minorEastAsia"/>
          <w:b w:val="0"/>
          <w:bCs/>
          <w:color w:val="auto"/>
          <w:kern w:val="0"/>
          <w:sz w:val="24"/>
          <w:szCs w:val="24"/>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（1）按下浮率报价（保留两位小数，如 8.88%），同时填报投标报价（投标报价=最高投标限价*（1-投标下浮率），四舍五入保留两位小数）。当投标报价与投标下浮率计算结果不一致时，以投标下浮率为准，按上述公式修订投标报价，如单项报价与投标下浮率不对应的也需按投标下浮率修正单项报价。</w:t>
      </w:r>
    </w:p>
    <w:p>
      <w:pPr>
        <w:pStyle w:val="2"/>
        <w:spacing w:line="240" w:lineRule="auto"/>
        <w:rPr>
          <w:rFonts w:hint="eastAsia" w:asciiTheme="minorEastAsia" w:hAnsiTheme="minorEastAsia" w:eastAsiaTheme="minorEastAsia" w:cstheme="minorEastAsia"/>
          <w:b w:val="0"/>
          <w:bCs/>
          <w:color w:val="auto"/>
          <w:kern w:val="0"/>
          <w:sz w:val="24"/>
          <w:szCs w:val="24"/>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（2）投标下浮率不低于0%为有效报价；当投标下浮率＞10%时应附成本分析报告，充分说明单价和费用的组成、降低成本的合理措施及在其他工程中应用过的经验等，经评审通过后方可视为有效报价。</w:t>
      </w:r>
    </w:p>
    <w:p>
      <w:pPr>
        <w:pStyle w:val="8"/>
        <w:spacing w:line="240" w:lineRule="auto"/>
        <w:jc w:val="left"/>
        <w:rPr>
          <w:rFonts w:hint="default" w:ascii="宋体" w:hAnsi="宋体" w:eastAsia="宋体" w:cs="宋体"/>
          <w:color w:val="auto"/>
          <w:kern w:val="2"/>
          <w:sz w:val="24"/>
          <w:szCs w:val="24"/>
          <w:highlight w:val="none"/>
          <w:u w:val="single"/>
          <w:lang w:val="en-US" w:eastAsia="zh-CN" w:bidi="ar-SA"/>
        </w:rPr>
      </w:pPr>
      <w:r>
        <w:rPr>
          <w:rFonts w:hint="eastAsia" w:asciiTheme="minorEastAsia" w:hAnsiTheme="minorEastAsia" w:eastAsiaTheme="minorEastAsia" w:cstheme="minorEastAsia"/>
          <w:b w:val="0"/>
          <w:bCs/>
          <w:color w:val="auto"/>
          <w:kern w:val="0"/>
          <w:sz w:val="24"/>
          <w:szCs w:val="24"/>
          <w:lang w:val="en-US" w:eastAsia="zh-CN" w:bidi="ar-SA"/>
        </w:rPr>
        <w:t>（3）价格分计算时，投标人评标价按（100-投标人填写的下浮数值）参与计算。如：下浮率为1.88％时，评标价按（100-1.88）参与计算。</w:t>
      </w:r>
    </w:p>
    <w:p>
      <w:pPr>
        <w:rPr>
          <w:rFonts w:hint="eastAsia"/>
          <w:highlight w:val="none"/>
          <w:lang w:val="en-US" w:eastAsia="zh-CN"/>
        </w:rPr>
      </w:pPr>
    </w:p>
    <w:p>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pStyle w:val="8"/>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下浮率报价，按实结算。结算监理费=（与合同范围对应的审定初步设计概算监理费+ 初设概算监理计费范围以外的监理工作费用）×（1-投标下浮率）±合同内约定且实际发生的相关奖罚费用 + 招标代理服务费。            </w:t>
      </w:r>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pPr>
        <w:pStyle w:val="11"/>
        <w:numPr>
          <w:ilvl w:val="0"/>
          <w:numId w:val="0"/>
        </w:numPr>
        <w:rPr>
          <w:rFonts w:hint="eastAsia"/>
          <w:sz w:val="24"/>
          <w:szCs w:val="24"/>
          <w:highlight w:val="none"/>
          <w:lang w:eastAsia="zh-CN"/>
        </w:rPr>
      </w:pPr>
      <w:r>
        <w:rPr>
          <w:rFonts w:hint="default" w:ascii="Wingdings" w:hAnsi="Wingdings" w:cs="Wingdings"/>
          <w:sz w:val="24"/>
          <w:szCs w:val="24"/>
          <w:highlight w:val="none"/>
        </w:rPr>
        <w:sym w:font="Wingdings" w:char="00FE"/>
      </w:r>
      <w:r>
        <w:rPr>
          <w:rFonts w:hint="eastAsia"/>
          <w:sz w:val="24"/>
          <w:szCs w:val="24"/>
          <w:highlight w:val="none"/>
          <w:lang w:eastAsia="zh-CN"/>
        </w:rPr>
        <w:t>不允许分包</w:t>
      </w:r>
    </w:p>
    <w:p>
      <w:pPr>
        <w:pStyle w:val="11"/>
        <w:numPr>
          <w:ilvl w:val="0"/>
          <w:numId w:val="0"/>
        </w:numPr>
        <w:rPr>
          <w:rFonts w:hint="eastAsia"/>
          <w:sz w:val="24"/>
          <w:szCs w:val="24"/>
          <w:highlight w:val="none"/>
          <w:lang w:eastAsia="zh-CN"/>
        </w:rPr>
      </w:pPr>
      <w:r>
        <w:rPr>
          <w:rFonts w:hint="default" w:ascii="Wingdings" w:hAnsi="Wingdings" w:cs="Wingdings"/>
          <w:sz w:val="24"/>
          <w:szCs w:val="24"/>
          <w:highlight w:val="none"/>
          <w:lang w:eastAsia="zh-CN"/>
        </w:rPr>
        <w:sym w:font="Wingdings" w:char="00A8"/>
      </w:r>
      <w:r>
        <w:rPr>
          <w:rFonts w:hint="eastAsia"/>
          <w:sz w:val="24"/>
          <w:szCs w:val="24"/>
          <w:highlight w:val="none"/>
          <w:lang w:eastAsia="zh-CN"/>
        </w:rPr>
        <w:t>允许分包，但必须符合以下要求：</w:t>
      </w:r>
    </w:p>
    <w:p>
      <w:pPr>
        <w:pStyle w:val="8"/>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                                     </w:t>
      </w:r>
    </w:p>
    <w:p>
      <w:pPr>
        <w:rPr>
          <w:rFonts w:hint="eastAsia" w:ascii="宋体" w:hAnsi="宋体" w:eastAsia="宋体" w:cs="宋体"/>
          <w:color w:val="auto"/>
          <w:kern w:val="2"/>
          <w:sz w:val="24"/>
          <w:szCs w:val="24"/>
          <w:highlight w:val="none"/>
          <w:u w:val="single"/>
          <w:lang w:val="en-US" w:eastAsia="zh-CN" w:bidi="ar-SA"/>
        </w:rPr>
      </w:pPr>
    </w:p>
    <w:p>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br w:type="page"/>
      </w:r>
    </w:p>
    <w:p>
      <w:pPr>
        <w:pStyle w:val="2"/>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1"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1"/>
    </w:p>
    <w:p>
      <w:pPr>
        <w:pStyle w:val="2"/>
        <w:rPr>
          <w:rFonts w:hint="eastAsia" w:asciiTheme="minorEastAsia" w:hAnsiTheme="minorEastAsia" w:eastAsiaTheme="minorEastAsia" w:cstheme="minorEastAsia"/>
          <w:i w:val="0"/>
          <w:iCs/>
          <w:color w:val="auto"/>
          <w:sz w:val="24"/>
          <w:szCs w:val="24"/>
          <w:highlight w:val="none"/>
        </w:rPr>
      </w:pPr>
    </w:p>
    <w:p>
      <w:pPr>
        <w:pStyle w:val="4"/>
        <w:spacing w:before="0" w:after="0" w:line="240" w:lineRule="auto"/>
        <w:rPr>
          <w:rFonts w:hint="eastAsia" w:asciiTheme="minorEastAsia" w:hAnsiTheme="minorEastAsia" w:eastAsiaTheme="minorEastAsia" w:cstheme="minorEastAsia"/>
          <w:i w:val="0"/>
          <w:iCs/>
          <w:color w:val="auto"/>
          <w:sz w:val="24"/>
          <w:szCs w:val="24"/>
          <w:highlight w:val="none"/>
        </w:rPr>
      </w:pPr>
      <w:bookmarkStart w:id="2"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2"/>
    </w:p>
    <w:p>
      <w:pPr>
        <w:autoSpaceDE w:val="0"/>
        <w:autoSpaceDN w:val="0"/>
        <w:adjustRightInd w:val="0"/>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（一）满足中国南方电网有限责任公司《监理项目部工作手册》、中国南方电网有限责任公司基建管理制度、建设单位的质量、环境和职业健康安全管理体系文件、其他有关制度和规定。</w:t>
      </w:r>
    </w:p>
    <w:p>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w:t>
      </w:r>
    </w:p>
    <w:p>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val="0"/>
          <w:i w:val="0"/>
          <w:color w:val="auto"/>
          <w:kern w:val="2"/>
          <w:sz w:val="24"/>
          <w:szCs w:val="24"/>
          <w:highlight w:val="none"/>
          <w:lang w:val="en-US" w:eastAsia="zh-CN" w:bidi="ar-SA"/>
        </w:rPr>
      </w:pPr>
      <w:r>
        <w:rPr>
          <w:rFonts w:hint="eastAsia" w:asciiTheme="minorEastAsia" w:hAnsiTheme="minorEastAsia" w:eastAsiaTheme="minorEastAsia" w:cstheme="minorEastAsia"/>
          <w:b w:val="0"/>
          <w:bCs w:val="0"/>
          <w:i w:val="0"/>
          <w:color w:val="auto"/>
          <w:kern w:val="2"/>
          <w:sz w:val="24"/>
          <w:szCs w:val="24"/>
          <w:highlight w:val="none"/>
          <w:lang w:val="en-US" w:eastAsia="zh-CN" w:bidi="ar-SA"/>
        </w:rPr>
        <w:t>（三）严格执行以下管理要求：</w:t>
      </w:r>
    </w:p>
    <w:p>
      <w:pPr>
        <w:pStyle w:val="2"/>
        <w:numPr>
          <w:ilvl w:val="0"/>
          <w:numId w:val="0"/>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pPr>
        <w:pStyle w:val="2"/>
        <w:numPr>
          <w:ilvl w:val="0"/>
          <w:numId w:val="4"/>
        </w:numPr>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pPr>
        <w:pStyle w:val="2"/>
        <w:numPr>
          <w:ilvl w:val="0"/>
          <w:numId w:val="4"/>
        </w:numPr>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pPr>
        <w:pStyle w:val="2"/>
        <w:numPr>
          <w:ilvl w:val="0"/>
          <w:numId w:val="4"/>
        </w:numPr>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p>
    <w:p>
      <w:pPr>
        <w:spacing w:line="360" w:lineRule="auto"/>
        <w:ind w:firstLine="480" w:firstLineChars="200"/>
        <w:rPr>
          <w:rFonts w:hint="eastAsia" w:ascii="宋体" w:hAnsi="宋体" w:eastAsia="宋体" w:cs="宋体"/>
          <w:color w:val="auto"/>
          <w:sz w:val="24"/>
          <w:szCs w:val="24"/>
          <w:highlight w:val="none"/>
          <w:u w:val="single"/>
          <w:lang w:val="en-US" w:eastAsia="zh-CN"/>
        </w:rPr>
      </w:pPr>
      <w:bookmarkStart w:id="3" w:name="_GoBack"/>
      <w:bookmarkEnd w:id="3"/>
    </w:p>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738845"/>
    <w:multiLevelType w:val="singleLevel"/>
    <w:tmpl w:val="C7738845"/>
    <w:lvl w:ilvl="0" w:tentative="0">
      <w:start w:val="2"/>
      <w:numFmt w:val="decimal"/>
      <w:suff w:val="nothing"/>
      <w:lvlText w:val="%1、"/>
      <w:lvlJc w:val="left"/>
      <w:rPr>
        <w:rFonts w:hint="default" w:asciiTheme="minorEastAsia" w:hAnsiTheme="minorEastAsia" w:eastAsiaTheme="minorEastAsia" w:cstheme="minorEastAsia"/>
      </w:rPr>
    </w:lvl>
  </w:abstractNum>
  <w:abstractNum w:abstractNumId="1">
    <w:nsid w:val="EAEE20F8"/>
    <w:multiLevelType w:val="singleLevel"/>
    <w:tmpl w:val="EAEE20F8"/>
    <w:lvl w:ilvl="0" w:tentative="0">
      <w:start w:val="2"/>
      <w:numFmt w:val="chineseCounting"/>
      <w:suff w:val="nothing"/>
      <w:lvlText w:val="第%1部分."/>
      <w:lvlJc w:val="left"/>
      <w:rPr>
        <w:rFonts w:hint="eastAsia"/>
      </w:rPr>
    </w:lvl>
  </w:abstractNum>
  <w:abstractNum w:abstractNumId="2">
    <w:nsid w:val="0D7920FF"/>
    <w:multiLevelType w:val="singleLevel"/>
    <w:tmpl w:val="0D7920FF"/>
    <w:lvl w:ilvl="0" w:tentative="0">
      <w:start w:val="1"/>
      <w:numFmt w:val="chineseCounting"/>
      <w:suff w:val="nothing"/>
      <w:lvlText w:val="第%1部分."/>
      <w:lvlJc w:val="left"/>
      <w:rPr>
        <w:rFonts w:hint="eastAsia"/>
      </w:rPr>
    </w:lvl>
  </w:abstractNum>
  <w:abstractNum w:abstractNumId="3">
    <w:nsid w:val="4122DDE1"/>
    <w:multiLevelType w:val="singleLevel"/>
    <w:tmpl w:val="4122DDE1"/>
    <w:lvl w:ilvl="0" w:tentative="0">
      <w:start w:val="2"/>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737D8"/>
    <w:rsid w:val="001270A5"/>
    <w:rsid w:val="007A4AD7"/>
    <w:rsid w:val="034C42F7"/>
    <w:rsid w:val="03F1316B"/>
    <w:rsid w:val="04A24F71"/>
    <w:rsid w:val="076F3B3B"/>
    <w:rsid w:val="07CA37DF"/>
    <w:rsid w:val="07CC3833"/>
    <w:rsid w:val="0BC07002"/>
    <w:rsid w:val="0BD30473"/>
    <w:rsid w:val="0E2F4C02"/>
    <w:rsid w:val="0E3616E0"/>
    <w:rsid w:val="0E937FF7"/>
    <w:rsid w:val="0F81532F"/>
    <w:rsid w:val="107144D2"/>
    <w:rsid w:val="116419AD"/>
    <w:rsid w:val="11794537"/>
    <w:rsid w:val="11DF6CFE"/>
    <w:rsid w:val="13383335"/>
    <w:rsid w:val="14440D4B"/>
    <w:rsid w:val="14B666F3"/>
    <w:rsid w:val="15056A61"/>
    <w:rsid w:val="182633AB"/>
    <w:rsid w:val="18E57496"/>
    <w:rsid w:val="19EC69D7"/>
    <w:rsid w:val="1A2D5CFF"/>
    <w:rsid w:val="1A386933"/>
    <w:rsid w:val="1A4F176B"/>
    <w:rsid w:val="1A912F72"/>
    <w:rsid w:val="1B663F82"/>
    <w:rsid w:val="1C2D4629"/>
    <w:rsid w:val="1C43636C"/>
    <w:rsid w:val="1D904223"/>
    <w:rsid w:val="1F653C49"/>
    <w:rsid w:val="1F6C0D31"/>
    <w:rsid w:val="1FBE7EE4"/>
    <w:rsid w:val="1FF914D4"/>
    <w:rsid w:val="20735046"/>
    <w:rsid w:val="216F4D5B"/>
    <w:rsid w:val="21FA2A73"/>
    <w:rsid w:val="23B738BA"/>
    <w:rsid w:val="248361F7"/>
    <w:rsid w:val="24E67795"/>
    <w:rsid w:val="24F737D8"/>
    <w:rsid w:val="25100685"/>
    <w:rsid w:val="26A73075"/>
    <w:rsid w:val="2CA17C08"/>
    <w:rsid w:val="2DB36314"/>
    <w:rsid w:val="2DDF66E3"/>
    <w:rsid w:val="2FDE77A9"/>
    <w:rsid w:val="2FF65FF8"/>
    <w:rsid w:val="300D195C"/>
    <w:rsid w:val="30BF37B5"/>
    <w:rsid w:val="31C955A9"/>
    <w:rsid w:val="33B200AF"/>
    <w:rsid w:val="33E61BE2"/>
    <w:rsid w:val="361736AD"/>
    <w:rsid w:val="36D200CF"/>
    <w:rsid w:val="379951F8"/>
    <w:rsid w:val="38382DC3"/>
    <w:rsid w:val="38DE045C"/>
    <w:rsid w:val="3A546240"/>
    <w:rsid w:val="3BF24D81"/>
    <w:rsid w:val="3BFE7BEA"/>
    <w:rsid w:val="3C4750A3"/>
    <w:rsid w:val="3C4A35F1"/>
    <w:rsid w:val="3E664B6D"/>
    <w:rsid w:val="3ED7087B"/>
    <w:rsid w:val="3F141BFC"/>
    <w:rsid w:val="444D481C"/>
    <w:rsid w:val="44982260"/>
    <w:rsid w:val="44D414C9"/>
    <w:rsid w:val="46472D5E"/>
    <w:rsid w:val="496A657E"/>
    <w:rsid w:val="49843C09"/>
    <w:rsid w:val="4B1B6579"/>
    <w:rsid w:val="4B3A1BDA"/>
    <w:rsid w:val="4BF83760"/>
    <w:rsid w:val="4C8349B8"/>
    <w:rsid w:val="4F8A05C8"/>
    <w:rsid w:val="520D6E5F"/>
    <w:rsid w:val="53115540"/>
    <w:rsid w:val="554C40C3"/>
    <w:rsid w:val="55C3156A"/>
    <w:rsid w:val="5782183A"/>
    <w:rsid w:val="57BD355E"/>
    <w:rsid w:val="59A5419F"/>
    <w:rsid w:val="5B0320E2"/>
    <w:rsid w:val="5B8B11A7"/>
    <w:rsid w:val="5B9E2EC4"/>
    <w:rsid w:val="608606DE"/>
    <w:rsid w:val="610E324A"/>
    <w:rsid w:val="61F31EFD"/>
    <w:rsid w:val="63066BC7"/>
    <w:rsid w:val="63D0487B"/>
    <w:rsid w:val="64672037"/>
    <w:rsid w:val="64911DA0"/>
    <w:rsid w:val="65945D8D"/>
    <w:rsid w:val="66C35559"/>
    <w:rsid w:val="67D57489"/>
    <w:rsid w:val="68570F93"/>
    <w:rsid w:val="6A287B5E"/>
    <w:rsid w:val="6B303A1A"/>
    <w:rsid w:val="6DAA2FDF"/>
    <w:rsid w:val="6E121228"/>
    <w:rsid w:val="6FC971BF"/>
    <w:rsid w:val="70D1495F"/>
    <w:rsid w:val="70ED510D"/>
    <w:rsid w:val="74695E39"/>
    <w:rsid w:val="754C6F3B"/>
    <w:rsid w:val="75B11AFF"/>
    <w:rsid w:val="75D32619"/>
    <w:rsid w:val="765369C1"/>
    <w:rsid w:val="767D6887"/>
    <w:rsid w:val="77900895"/>
    <w:rsid w:val="780B6A75"/>
    <w:rsid w:val="79F83E18"/>
    <w:rsid w:val="7A262145"/>
    <w:rsid w:val="7A281F3A"/>
    <w:rsid w:val="7D0F76D8"/>
    <w:rsid w:val="7E3420E0"/>
    <w:rsid w:val="7E535DCD"/>
    <w:rsid w:val="7F7B4315"/>
    <w:rsid w:val="7F9E59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3">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4">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5">
    <w:name w:val="Normal Indent"/>
    <w:basedOn w:val="1"/>
    <w:qFormat/>
    <w:uiPriority w:val="0"/>
    <w:pPr>
      <w:ind w:firstLine="420"/>
    </w:pPr>
    <w:rPr>
      <w:rFonts w:ascii="Times New Roman" w:hAnsi="Times New Roman" w:cs="Times New Roman"/>
      <w:kern w:val="0"/>
      <w:sz w:val="20"/>
      <w:szCs w:val="20"/>
    </w:rPr>
  </w:style>
  <w:style w:type="paragraph" w:styleId="6">
    <w:name w:val="annotation text"/>
    <w:basedOn w:val="1"/>
    <w:qFormat/>
    <w:uiPriority w:val="0"/>
    <w:pPr>
      <w:jc w:val="left"/>
    </w:pPr>
  </w:style>
  <w:style w:type="paragraph" w:styleId="7">
    <w:name w:val="Body Text"/>
    <w:basedOn w:val="1"/>
    <w:next w:val="8"/>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8">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9">
    <w:name w:val="Body Text Indent"/>
    <w:basedOn w:val="1"/>
    <w:qFormat/>
    <w:uiPriority w:val="0"/>
    <w:pPr>
      <w:spacing w:after="120"/>
      <w:ind w:left="420" w:leftChars="200"/>
    </w:p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w:basedOn w:val="7"/>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目录 21"/>
    <w:basedOn w:val="1"/>
    <w:next w:val="1"/>
    <w:qFormat/>
    <w:uiPriority w:val="0"/>
    <w:pPr>
      <w:spacing w:before="100" w:beforeAutospacing="1" w:after="100" w:afterAutospacing="1"/>
      <w:ind w:left="420" w:leftChars="200"/>
    </w:pPr>
  </w:style>
  <w:style w:type="paragraph" w:customStyle="1" w:styleId="16">
    <w:name w:val="正文首行缩进1"/>
    <w:basedOn w:val="1"/>
    <w:qFormat/>
    <w:uiPriority w:val="0"/>
    <w:pPr>
      <w:spacing w:line="360" w:lineRule="auto"/>
      <w:ind w:firstLine="200" w:firstLineChars="200"/>
    </w:pPr>
    <w:rPr>
      <w:kern w:val="2"/>
      <w:sz w:val="24"/>
      <w:szCs w:val="24"/>
    </w:rPr>
  </w:style>
  <w:style w:type="character" w:customStyle="1" w:styleId="17">
    <w:name w:val="font31"/>
    <w:basedOn w:val="14"/>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2485</Words>
  <Characters>2749</Characters>
  <Lines>0</Lines>
  <Paragraphs>0</Paragraphs>
  <TotalTime>0</TotalTime>
  <ScaleCrop>false</ScaleCrop>
  <LinksUpToDate>false</LinksUpToDate>
  <CharactersWithSpaces>3029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Administrator</cp:lastModifiedBy>
  <dcterms:modified xsi:type="dcterms:W3CDTF">2025-09-10T03:39:13Z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0FC967818C7B4D848059EEF1E9FF4DEB</vt:lpwstr>
  </property>
  <property fmtid="{D5CDD505-2E9C-101B-9397-08002B2CF9AE}" pid="4" name="KSOTemplateDocerSaveRecord">
    <vt:lpwstr>eyJoZGlkIjoiYTZhMjJkMGVjYmMwYTBkYTY4YmZhOTdkN2ZiYmFkZmEiLCJ1c2VySWQiOiIyNDAxNTkzMjUifQ==</vt:lpwstr>
  </property>
</Properties>
</file>