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110千伏金桥扩建主变工程监理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广供电基〔2024〕197号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穗发改核准〔2025〕4号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广供电资〔2025〕12号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广东电网有限责任公司广州番禺供电局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广州市番禺区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广州汇隽电力工程设计有限公司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合同签订之日起至2027年12月31日，实际工期以开工报告、竣工报告为准。</w:t>
            </w:r>
          </w:p>
        </w:tc>
      </w:tr>
    </w:tbl>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ind w:firstLine="482" w:firstLineChars="200"/>
        <w:jc w:val="left"/>
        <w:textAlignment w:val="auto"/>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t>※变电站部分:</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1、110kV金桥站扩建工程：本期在110kV金桥变电站内扩建1台6.3万千伏安主变压器，同时装设1×2×6兆乏电容器组，本期新建110kV出线1回，10kV出线16回。</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2、对侧110kV雁洲站工程：对侧雁洲站#1主变前期已预留电缆T接筒，本期工程无需新增，仅考虑电缆接入。</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ind w:firstLine="482" w:firstLineChars="200"/>
        <w:jc w:val="left"/>
        <w:textAlignment w:val="auto"/>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t>※电缆线路部分:</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金桥1回T接110kV亚基雁线电缆线路工程：新建1回110kV电缆线路T接110kV亚村～石基～雁洲线路，长约4.3km，线路导线截面1200平方毫米。本工程站外电缆管沟拟由政府投资建设。</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ind w:firstLine="482" w:firstLineChars="200"/>
        <w:jc w:val="left"/>
        <w:textAlignment w:val="auto"/>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t>※通信部分:</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1、通信设备工程：本期在金桥站和雁洲站分别新增1块传输新A网STM-16板卡和传输新网B STM-64板卡。</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2、通信线路工程：随110kV金桥—雁洲站线路，新建金桥站至雁洲站1条48芯管道光缆，长度约5.1km。</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具体建设规模以施工图纸为准。</w:t>
      </w:r>
    </w:p>
    <w:p>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pPr>
      <w:r>
        <w:rPr>
          <w:rFonts w:hint="eastAsia" w:hAnsi="宋体"/>
          <w:color w:val="auto"/>
          <w:sz w:val="24"/>
          <w:szCs w:val="24"/>
          <w:highlight w:val="none"/>
          <w:u w:val="single"/>
        </w:rPr>
        <w:t>勘察设计、施工准备（含三通一平）、施工（含通信）、竣工结算、缺陷责任期、电子化移交的全过程监理</w:t>
      </w:r>
      <w:r>
        <w:rPr>
          <w:rFonts w:hint="eastAsia" w:hAnsi="宋体"/>
          <w:color w:val="auto"/>
          <w:sz w:val="24"/>
          <w:szCs w:val="24"/>
          <w:highlight w:val="none"/>
          <w:u w:val="single"/>
          <w:lang w:eastAsia="zh-CN"/>
        </w:rPr>
        <w:t>，以及初步设计概算（或施工图预算）中监理计费范围以外但与工程相关的监理工作。</w:t>
      </w:r>
      <w:r>
        <w:rPr>
          <w:rFonts w:hint="eastAsia" w:hAnsi="宋体"/>
          <w:color w:val="auto"/>
          <w:sz w:val="24"/>
          <w:szCs w:val="24"/>
          <w:highlight w:val="none"/>
          <w:u w:val="single"/>
        </w:rPr>
        <w:t>按照建设单位要求使用工程信息管理系统</w:t>
      </w:r>
      <w:r>
        <w:rPr>
          <w:rFonts w:hint="eastAsia" w:hAnsi="宋体"/>
          <w:color w:val="auto"/>
          <w:sz w:val="24"/>
          <w:szCs w:val="24"/>
          <w:highlight w:val="none"/>
        </w:rPr>
        <w:t>。</w:t>
      </w: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242"/>
        <w:gridCol w:w="1703"/>
        <w:gridCol w:w="1200"/>
        <w:gridCol w:w="1323"/>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bottom w:val="single" w:color="auto" w:sz="4" w:space="0"/>
            </w:tcBorders>
            <w:noWrap w:val="0"/>
            <w:vAlign w:val="center"/>
          </w:tcPr>
          <w:p>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242" w:type="dxa"/>
            <w:tcBorders>
              <w:bottom w:val="single" w:color="auto" w:sz="4" w:space="0"/>
            </w:tcBorders>
            <w:noWrap w:val="0"/>
            <w:vAlign w:val="center"/>
          </w:tcPr>
          <w:p>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703" w:type="dxa"/>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200" w:type="dxa"/>
            <w:tcBorders>
              <w:bottom w:val="single" w:color="auto" w:sz="4" w:space="0"/>
            </w:tcBorders>
            <w:noWrap w:val="0"/>
            <w:vAlign w:val="center"/>
          </w:tcPr>
          <w:p>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323" w:type="dxa"/>
            <w:tcBorders>
              <w:bottom w:val="single" w:color="auto" w:sz="4" w:space="0"/>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019" w:type="dxa"/>
            <w:tcBorders>
              <w:bottom w:val="single" w:color="auto" w:sz="4" w:space="0"/>
            </w:tcBorders>
            <w:noWrap w:val="0"/>
            <w:vAlign w:val="center"/>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olor w:val="auto"/>
                <w:highlight w:val="none"/>
              </w:rPr>
              <w:t>1</w:t>
            </w: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ascii="宋体" w:hAnsi="宋体"/>
                <w:color w:val="auto"/>
                <w:highlight w:val="none"/>
              </w:rPr>
            </w:pPr>
            <w:r>
              <w:rPr>
                <w:rFonts w:hint="eastAsia" w:ascii="宋体" w:hAnsi="宋体" w:eastAsia="宋体" w:cs="宋体"/>
                <w:color w:val="auto"/>
                <w:highlight w:val="none"/>
                <w:u w:val="single"/>
                <w:lang w:val="en-US" w:eastAsia="zh-CN"/>
              </w:rPr>
              <w:t>110</w:t>
            </w:r>
            <w:r>
              <w:rPr>
                <w:rFonts w:hint="eastAsia" w:ascii="宋体" w:hAnsi="宋体" w:cs="宋体"/>
                <w:color w:val="auto"/>
                <w:highlight w:val="none"/>
                <w:u w:val="single"/>
                <w:lang w:val="en-US" w:eastAsia="zh-CN"/>
              </w:rPr>
              <w:t>千伏</w:t>
            </w:r>
            <w:r>
              <w:rPr>
                <w:rFonts w:hint="eastAsia" w:ascii="宋体" w:hAnsi="宋体" w:eastAsia="宋体" w:cs="宋体"/>
                <w:color w:val="auto"/>
                <w:highlight w:val="none"/>
                <w:u w:val="single"/>
                <w:lang w:val="en-US" w:eastAsia="zh-CN"/>
              </w:rPr>
              <w:t>金桥站扩建主变工程</w:t>
            </w:r>
            <w:r>
              <w:rPr>
                <w:rFonts w:hint="eastAsia" w:hAnsi="宋体" w:eastAsia="宋体" w:cs="Times New Roman"/>
                <w:color w:val="auto"/>
                <w:highlight w:val="none"/>
                <w:u w:val="single"/>
              </w:rPr>
              <w:t>（不含通信）</w:t>
            </w:r>
            <w:r>
              <w:rPr>
                <w:rFonts w:hint="eastAsia" w:hAnsi="宋体"/>
                <w:color w:val="auto"/>
                <w:highlight w:val="none"/>
                <w:u w:val="single"/>
              </w:rPr>
              <w:t>监理</w:t>
            </w:r>
          </w:p>
        </w:tc>
        <w:tc>
          <w:tcPr>
            <w:tcW w:w="1703"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255400.00</w:t>
            </w:r>
          </w:p>
        </w:tc>
        <w:tc>
          <w:tcPr>
            <w:tcW w:w="1200" w:type="dxa"/>
            <w:vMerge w:val="restart"/>
            <w:tcBorders>
              <w:top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323"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019"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Ansi="宋体"/>
                <w:color w:val="auto"/>
                <w:highlight w:val="none"/>
                <w:u w:val="single"/>
              </w:rPr>
            </w:pPr>
            <w:r>
              <w:rPr>
                <w:rFonts w:hint="eastAsia" w:hAnsi="宋体"/>
                <w:color w:val="auto"/>
                <w:highlight w:val="none"/>
                <w:u w:val="single"/>
              </w:rPr>
              <w:t>其中：</w:t>
            </w:r>
            <w:r>
              <w:rPr>
                <w:rFonts w:hint="eastAsia" w:ascii="宋体" w:hAnsi="宋体" w:eastAsia="宋体" w:cs="宋体"/>
                <w:i w:val="0"/>
                <w:iCs w:val="0"/>
                <w:color w:val="auto"/>
                <w:kern w:val="0"/>
                <w:sz w:val="20"/>
                <w:szCs w:val="20"/>
                <w:highlight w:val="none"/>
                <w:u w:val="single"/>
                <w:lang w:val="en-US" w:eastAsia="zh-CN" w:bidi="ar"/>
              </w:rPr>
              <w:t>110kV金桥站扩建主变工程</w:t>
            </w:r>
            <w:r>
              <w:rPr>
                <w:rFonts w:hint="eastAsia" w:hAnsi="宋体"/>
                <w:color w:val="auto"/>
                <w:highlight w:val="none"/>
                <w:u w:val="single"/>
              </w:rPr>
              <w:t>监理</w:t>
            </w:r>
          </w:p>
        </w:tc>
        <w:tc>
          <w:tcPr>
            <w:tcW w:w="1703"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150400.00</w:t>
            </w:r>
          </w:p>
        </w:tc>
        <w:tc>
          <w:tcPr>
            <w:tcW w:w="1200"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323"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019"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int="eastAsia" w:hAnsi="宋体"/>
                <w:color w:val="auto"/>
                <w:highlight w:val="none"/>
                <w:u w:val="single"/>
              </w:rPr>
            </w:pPr>
            <w:r>
              <w:rPr>
                <w:rFonts w:hint="eastAsia" w:ascii="宋体" w:hAnsi="宋体" w:eastAsia="宋体" w:cs="宋体"/>
                <w:i w:val="0"/>
                <w:iCs w:val="0"/>
                <w:color w:val="auto"/>
                <w:kern w:val="0"/>
                <w:sz w:val="20"/>
                <w:szCs w:val="20"/>
                <w:highlight w:val="none"/>
                <w:u w:val="single"/>
                <w:lang w:val="en-US" w:eastAsia="zh-CN" w:bidi="ar"/>
              </w:rPr>
              <w:t>对侧110kV雁洲站工程</w:t>
            </w:r>
            <w:r>
              <w:rPr>
                <w:rFonts w:hint="eastAsia" w:hAnsi="宋体"/>
                <w:color w:val="auto"/>
                <w:highlight w:val="none"/>
                <w:u w:val="single"/>
              </w:rPr>
              <w:t>监理</w:t>
            </w:r>
          </w:p>
        </w:tc>
        <w:tc>
          <w:tcPr>
            <w:tcW w:w="1703" w:type="dxa"/>
            <w:noWrap w:val="0"/>
            <w:vAlign w:val="center"/>
          </w:tcPr>
          <w:p>
            <w:pPr>
              <w:tabs>
                <w:tab w:val="left" w:pos="900"/>
              </w:tabs>
              <w:snapToGrid w:val="0"/>
              <w:spacing w:before="60" w:after="120"/>
              <w:ind w:right="-24"/>
              <w:jc w:val="center"/>
              <w:rPr>
                <w:rFonts w:hint="default" w:ascii="宋体" w:hAnsi="宋体"/>
                <w:color w:val="auto"/>
                <w:highlight w:val="none"/>
                <w:lang w:val="en-US" w:eastAsia="zh-CN"/>
              </w:rPr>
            </w:pPr>
            <w:r>
              <w:rPr>
                <w:rFonts w:hint="eastAsia" w:ascii="宋体" w:hAnsi="宋体"/>
                <w:color w:val="auto"/>
                <w:highlight w:val="none"/>
                <w:lang w:val="en-US" w:eastAsia="zh-CN"/>
              </w:rPr>
              <w:t>4500.00</w:t>
            </w:r>
          </w:p>
        </w:tc>
        <w:tc>
          <w:tcPr>
            <w:tcW w:w="1200"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323"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019"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Ansi="宋体"/>
                <w:color w:val="auto"/>
                <w:highlight w:val="none"/>
                <w:u w:val="single"/>
              </w:rPr>
            </w:pPr>
            <w:r>
              <w:rPr>
                <w:rFonts w:hint="eastAsia" w:ascii="宋体" w:hAnsi="宋体" w:eastAsia="宋体" w:cs="宋体"/>
                <w:i w:val="0"/>
                <w:iCs w:val="0"/>
                <w:color w:val="auto"/>
                <w:kern w:val="0"/>
                <w:sz w:val="20"/>
                <w:szCs w:val="20"/>
                <w:highlight w:val="none"/>
                <w:u w:val="single"/>
                <w:lang w:val="en-US" w:eastAsia="zh-CN" w:bidi="ar"/>
              </w:rPr>
              <w:t>金桥1回T接110kV亚基雁线电缆线路工程</w:t>
            </w:r>
            <w:r>
              <w:rPr>
                <w:rFonts w:hint="eastAsia" w:hAnsi="宋体"/>
                <w:color w:val="auto"/>
                <w:highlight w:val="none"/>
                <w:u w:val="single"/>
              </w:rPr>
              <w:t>监理</w:t>
            </w:r>
          </w:p>
        </w:tc>
        <w:tc>
          <w:tcPr>
            <w:tcW w:w="1703"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100500.00</w:t>
            </w:r>
          </w:p>
        </w:tc>
        <w:tc>
          <w:tcPr>
            <w:tcW w:w="1200"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323"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019"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olor w:val="auto"/>
                <w:highlight w:val="none"/>
              </w:rPr>
              <w:t>2</w:t>
            </w: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ascii="宋体" w:hAnsi="宋体"/>
                <w:color w:val="auto"/>
                <w:highlight w:val="none"/>
              </w:rPr>
            </w:pPr>
            <w:r>
              <w:rPr>
                <w:rFonts w:hint="eastAsia" w:ascii="宋体" w:hAnsi="宋体" w:eastAsia="宋体" w:cs="宋体"/>
                <w:color w:val="auto"/>
                <w:highlight w:val="none"/>
                <w:u w:val="single"/>
                <w:lang w:val="en-US" w:eastAsia="zh-CN"/>
              </w:rPr>
              <w:t>110</w:t>
            </w:r>
            <w:r>
              <w:rPr>
                <w:rFonts w:hint="eastAsia" w:ascii="宋体" w:hAnsi="宋体" w:cs="宋体"/>
                <w:color w:val="auto"/>
                <w:highlight w:val="none"/>
                <w:u w:val="single"/>
                <w:lang w:val="en-US" w:eastAsia="zh-CN"/>
              </w:rPr>
              <w:t>千伏</w:t>
            </w:r>
            <w:r>
              <w:rPr>
                <w:rFonts w:hint="eastAsia" w:ascii="宋体" w:hAnsi="宋体" w:eastAsia="宋体" w:cs="宋体"/>
                <w:color w:val="auto"/>
                <w:highlight w:val="none"/>
                <w:u w:val="single"/>
                <w:lang w:val="en-US" w:eastAsia="zh-CN"/>
              </w:rPr>
              <w:t>金桥站扩建主变工程</w:t>
            </w:r>
            <w:r>
              <w:rPr>
                <w:rFonts w:hint="eastAsia" w:hAnsi="宋体"/>
                <w:color w:val="auto"/>
                <w:highlight w:val="none"/>
                <w:u w:val="single"/>
              </w:rPr>
              <w:t>（通信部分）监理</w:t>
            </w:r>
          </w:p>
        </w:tc>
        <w:tc>
          <w:tcPr>
            <w:tcW w:w="1703"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8300.00</w:t>
            </w:r>
          </w:p>
        </w:tc>
        <w:tc>
          <w:tcPr>
            <w:tcW w:w="1200"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323" w:type="dxa"/>
            <w:noWrap w:val="0"/>
            <w:vAlign w:val="top"/>
          </w:tcPr>
          <w:p>
            <w:pPr>
              <w:tabs>
                <w:tab w:val="left" w:pos="900"/>
              </w:tabs>
              <w:snapToGrid w:val="0"/>
              <w:spacing w:before="60" w:after="120"/>
              <w:ind w:right="-24"/>
              <w:jc w:val="center"/>
              <w:rPr>
                <w:rFonts w:ascii="宋体" w:hAnsi="宋体"/>
                <w:color w:val="auto"/>
                <w:highlight w:val="none"/>
              </w:rPr>
            </w:pPr>
          </w:p>
        </w:tc>
        <w:tc>
          <w:tcPr>
            <w:tcW w:w="1019"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Ansi="宋体"/>
                <w:color w:val="auto"/>
                <w:highlight w:val="none"/>
                <w:u w:val="single"/>
              </w:rPr>
            </w:pPr>
            <w:r>
              <w:rPr>
                <w:rFonts w:hint="eastAsia" w:hAnsi="宋体"/>
                <w:color w:val="auto"/>
                <w:highlight w:val="none"/>
                <w:u w:val="single"/>
              </w:rPr>
              <w:t>其中：</w:t>
            </w:r>
            <w:r>
              <w:rPr>
                <w:rFonts w:hint="eastAsia" w:ascii="宋体" w:hAnsi="宋体" w:eastAsia="宋体" w:cs="宋体"/>
                <w:i w:val="0"/>
                <w:iCs w:val="0"/>
                <w:color w:val="auto"/>
                <w:kern w:val="0"/>
                <w:sz w:val="20"/>
                <w:szCs w:val="20"/>
                <w:highlight w:val="none"/>
                <w:u w:val="single"/>
                <w:lang w:val="en-US" w:eastAsia="zh-CN" w:bidi="ar"/>
              </w:rPr>
              <w:t>通信设备工程</w:t>
            </w:r>
            <w:r>
              <w:rPr>
                <w:rFonts w:hint="eastAsia" w:hAnsi="宋体"/>
                <w:color w:val="auto"/>
                <w:highlight w:val="none"/>
                <w:u w:val="single"/>
              </w:rPr>
              <w:t>监理</w:t>
            </w:r>
          </w:p>
        </w:tc>
        <w:tc>
          <w:tcPr>
            <w:tcW w:w="1703"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3600.00</w:t>
            </w:r>
          </w:p>
        </w:tc>
        <w:tc>
          <w:tcPr>
            <w:tcW w:w="1200"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323" w:type="dxa"/>
            <w:noWrap w:val="0"/>
            <w:vAlign w:val="top"/>
          </w:tcPr>
          <w:p>
            <w:pPr>
              <w:tabs>
                <w:tab w:val="left" w:pos="900"/>
              </w:tabs>
              <w:snapToGrid w:val="0"/>
              <w:spacing w:before="60" w:after="120"/>
              <w:ind w:right="-24"/>
              <w:jc w:val="center"/>
              <w:rPr>
                <w:rFonts w:ascii="宋体" w:hAnsi="宋体"/>
                <w:color w:val="auto"/>
                <w:highlight w:val="none"/>
              </w:rPr>
            </w:pPr>
          </w:p>
        </w:tc>
        <w:tc>
          <w:tcPr>
            <w:tcW w:w="1019"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Ansi="宋体"/>
                <w:color w:val="auto"/>
                <w:highlight w:val="none"/>
                <w:u w:val="single"/>
              </w:rPr>
            </w:pPr>
            <w:r>
              <w:rPr>
                <w:rFonts w:hint="eastAsia" w:hAnsi="宋体"/>
                <w:color w:val="auto"/>
                <w:highlight w:val="none"/>
                <w:u w:val="single"/>
              </w:rPr>
              <w:t>通信线路工程监理</w:t>
            </w:r>
          </w:p>
        </w:tc>
        <w:tc>
          <w:tcPr>
            <w:tcW w:w="1703"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4700.00</w:t>
            </w:r>
          </w:p>
        </w:tc>
        <w:tc>
          <w:tcPr>
            <w:tcW w:w="1200"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323" w:type="dxa"/>
            <w:noWrap w:val="0"/>
            <w:vAlign w:val="top"/>
          </w:tcPr>
          <w:p>
            <w:pPr>
              <w:tabs>
                <w:tab w:val="left" w:pos="900"/>
              </w:tabs>
              <w:snapToGrid w:val="0"/>
              <w:spacing w:before="60" w:after="120"/>
              <w:ind w:right="-24"/>
              <w:jc w:val="center"/>
              <w:rPr>
                <w:rFonts w:ascii="宋体" w:hAnsi="宋体"/>
                <w:color w:val="auto"/>
                <w:highlight w:val="none"/>
              </w:rPr>
            </w:pPr>
          </w:p>
        </w:tc>
        <w:tc>
          <w:tcPr>
            <w:tcW w:w="1019"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085" w:type="dxa"/>
            <w:gridSpan w:val="2"/>
            <w:tcBorders>
              <w:top w:val="single" w:color="auto" w:sz="4" w:space="0"/>
              <w:bottom w:val="single" w:color="auto" w:sz="4" w:space="0"/>
            </w:tcBorders>
            <w:noWrap w:val="0"/>
            <w:vAlign w:val="center"/>
          </w:tcPr>
          <w:p>
            <w:pPr>
              <w:tabs>
                <w:tab w:val="left" w:pos="900"/>
              </w:tabs>
              <w:snapToGrid w:val="0"/>
              <w:spacing w:before="60" w:after="120"/>
              <w:ind w:right="-24"/>
              <w:jc w:val="center"/>
              <w:rPr>
                <w:rFonts w:hint="eastAsia" w:hAnsi="宋体" w:eastAsia="宋体"/>
                <w:color w:val="auto"/>
                <w:highlight w:val="none"/>
                <w:u w:val="none"/>
                <w:lang w:val="en-US" w:eastAsia="zh-CN"/>
              </w:rPr>
            </w:pPr>
            <w:r>
              <w:rPr>
                <w:rFonts w:hint="eastAsia" w:hAnsi="宋体" w:cs="Times New Roman"/>
                <w:b/>
                <w:bCs/>
                <w:color w:val="auto"/>
                <w:sz w:val="21"/>
                <w:szCs w:val="21"/>
                <w:highlight w:val="none"/>
                <w:u w:val="single"/>
                <w:lang w:val="en-US" w:eastAsia="zh-CN"/>
              </w:rPr>
              <w:t>合计（小写）</w:t>
            </w:r>
          </w:p>
        </w:tc>
        <w:tc>
          <w:tcPr>
            <w:tcW w:w="1703" w:type="dxa"/>
            <w:noWrap w:val="0"/>
            <w:vAlign w:val="center"/>
          </w:tcPr>
          <w:p>
            <w:pPr>
              <w:tabs>
                <w:tab w:val="left" w:pos="900"/>
              </w:tabs>
              <w:snapToGrid w:val="0"/>
              <w:spacing w:before="60" w:after="120"/>
              <w:ind w:right="-24"/>
              <w:jc w:val="center"/>
              <w:rPr>
                <w:rFonts w:hint="default" w:ascii="宋体" w:hAnsi="宋体"/>
                <w:color w:val="auto"/>
                <w:highlight w:val="none"/>
                <w:lang w:val="en-US" w:eastAsia="zh-CN"/>
              </w:rPr>
            </w:pPr>
            <w:r>
              <w:rPr>
                <w:rFonts w:hint="eastAsia" w:ascii="宋体" w:hAnsi="宋体"/>
                <w:color w:val="auto"/>
                <w:highlight w:val="none"/>
                <w:lang w:val="en-US" w:eastAsia="zh-CN"/>
              </w:rPr>
              <w:t>263700.00</w:t>
            </w:r>
          </w:p>
        </w:tc>
        <w:tc>
          <w:tcPr>
            <w:tcW w:w="1200"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323" w:type="dxa"/>
            <w:noWrap w:val="0"/>
            <w:vAlign w:val="top"/>
          </w:tcPr>
          <w:p>
            <w:pPr>
              <w:tabs>
                <w:tab w:val="left" w:pos="900"/>
              </w:tabs>
              <w:snapToGrid w:val="0"/>
              <w:spacing w:before="60" w:after="120"/>
              <w:ind w:right="-24"/>
              <w:jc w:val="center"/>
              <w:rPr>
                <w:rFonts w:ascii="宋体" w:hAnsi="宋体"/>
                <w:color w:val="auto"/>
                <w:highlight w:val="none"/>
              </w:rPr>
            </w:pPr>
          </w:p>
        </w:tc>
        <w:tc>
          <w:tcPr>
            <w:tcW w:w="1019"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bl>
    <w:p>
      <w:pPr>
        <w:pStyle w:val="3"/>
        <w:rPr>
          <w:rFonts w:hint="eastAsia"/>
          <w:color w:val="auto"/>
          <w:highlight w:val="none"/>
          <w:lang w:val="en-US" w:eastAsia="zh-CN"/>
        </w:rPr>
      </w:pPr>
    </w:p>
    <w:p>
      <w:pPr>
        <w:rPr>
          <w:rFonts w:hint="eastAsia"/>
          <w:color w:val="auto"/>
          <w:highlight w:val="none"/>
          <w:lang w:val="en-US" w:eastAsia="zh-CN"/>
        </w:rPr>
      </w:pPr>
    </w:p>
    <w:p>
      <w:pPr>
        <w:pStyle w:val="7"/>
        <w:ind w:firstLine="240" w:firstLineChars="100"/>
        <w:rPr>
          <w:rFonts w:hint="eastAsia" w:ascii="宋体" w:hAnsi="宋体" w:eastAsia="宋体" w:cs="宋体"/>
          <w:color w:val="auto"/>
          <w:kern w:val="2"/>
          <w:sz w:val="24"/>
          <w:szCs w:val="24"/>
          <w:highlight w:val="none"/>
          <w:u w:val="none"/>
          <w:lang w:val="en-US" w:eastAsia="zh-CN" w:bidi="ar-SA"/>
        </w:rPr>
      </w:pPr>
    </w:p>
    <w:p>
      <w:pPr>
        <w:pStyle w:val="7"/>
        <w:spacing w:line="240" w:lineRule="auto"/>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2"/>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（1）按下浮率报价（保留两位小数，如 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pStyle w:val="2"/>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p>
    <w:p>
      <w:pPr>
        <w:pStyle w:val="8"/>
        <w:spacing w:line="240" w:lineRule="auto"/>
        <w:ind w:firstLine="480" w:firstLineChars="200"/>
        <w:jc w:val="left"/>
        <w:rPr>
          <w:rFonts w:hint="default" w:ascii="宋体" w:hAnsi="宋体" w:eastAsia="宋体" w:cs="宋体"/>
          <w:b w:val="0"/>
          <w:bCs w:val="0"/>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（3）价格分计算时，投标人评标价按（100-投标人填写的下浮数值）参与计算。如：下浮率为1.88％时，评标价按（100-1.88）参与计算。</w:t>
      </w:r>
    </w:p>
    <w:p>
      <w:pPr>
        <w:rPr>
          <w:rFonts w:hint="eastAsia"/>
          <w:color w:val="auto"/>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 xml:space="preserve">  按中标结果及合同结算条款进行结算。                             </w:t>
      </w:r>
      <w:r>
        <w:rPr>
          <w:rFonts w:hint="eastAsia" w:ascii="宋体" w:hAnsi="宋体" w:eastAsia="宋体" w:cs="宋体"/>
          <w:color w:val="auto"/>
          <w:kern w:val="2"/>
          <w:sz w:val="24"/>
          <w:szCs w:val="24"/>
          <w:highlight w:val="none"/>
          <w:u w:val="single"/>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10"/>
        <w:numPr>
          <w:ilvl w:val="0"/>
          <w:numId w:val="0"/>
        </w:numPr>
        <w:rPr>
          <w:rFonts w:hint="eastAsia"/>
          <w:color w:val="auto"/>
          <w:sz w:val="24"/>
          <w:szCs w:val="24"/>
          <w:highlight w:val="none"/>
          <w:lang w:eastAsia="zh-CN"/>
        </w:rPr>
      </w:pPr>
      <w:r>
        <w:rPr>
          <w:rFonts w:hint="default" w:ascii="Wingdings" w:hAnsi="Wingdings" w:cs="Wingdings"/>
          <w:color w:val="auto"/>
          <w:sz w:val="24"/>
          <w:szCs w:val="24"/>
          <w:highlight w:val="none"/>
        </w:rPr>
        <w:sym w:font="Wingdings" w:char="00FE"/>
      </w:r>
      <w:r>
        <w:rPr>
          <w:rFonts w:hint="eastAsia"/>
          <w:color w:val="auto"/>
          <w:sz w:val="24"/>
          <w:szCs w:val="24"/>
          <w:highlight w:val="none"/>
          <w:lang w:eastAsia="zh-CN"/>
        </w:rPr>
        <w:t>不允许分包</w:t>
      </w:r>
    </w:p>
    <w:p>
      <w:pPr>
        <w:pStyle w:val="10"/>
        <w:numPr>
          <w:ilvl w:val="0"/>
          <w:numId w:val="0"/>
        </w:numPr>
        <w:rPr>
          <w:rFonts w:hint="eastAsia"/>
          <w:color w:val="auto"/>
          <w:sz w:val="24"/>
          <w:szCs w:val="24"/>
          <w:highlight w:val="none"/>
          <w:lang w:eastAsia="zh-CN"/>
        </w:rPr>
      </w:pPr>
      <w:r>
        <w:rPr>
          <w:rFonts w:hint="default" w:ascii="Wingdings" w:hAnsi="Wingdings" w:cs="Wingdings"/>
          <w:color w:val="auto"/>
          <w:sz w:val="24"/>
          <w:szCs w:val="24"/>
          <w:highlight w:val="none"/>
          <w:lang w:eastAsia="zh-CN"/>
        </w:rPr>
        <w:sym w:font="Wingdings" w:char="00A8"/>
      </w:r>
      <w:r>
        <w:rPr>
          <w:rFonts w:hint="eastAsia"/>
          <w:color w:val="auto"/>
          <w:sz w:val="24"/>
          <w:szCs w:val="24"/>
          <w:highlight w:val="none"/>
          <w:lang w:eastAsia="zh-CN"/>
        </w:rPr>
        <w:t>允许分包，但必须符合以下要求：</w:t>
      </w:r>
    </w:p>
    <w:p>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2"/>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2"/>
        <w:rPr>
          <w:rFonts w:hint="eastAsia" w:asciiTheme="minorEastAsia" w:hAnsiTheme="minorEastAsia" w:eastAsiaTheme="minorEastAsia" w:cstheme="minorEastAsia"/>
          <w:i w:val="0"/>
          <w:iCs/>
          <w:color w:val="auto"/>
          <w:sz w:val="24"/>
          <w:szCs w:val="24"/>
          <w:highlight w:val="none"/>
        </w:rPr>
      </w:pP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（二）符合图纸及技术文件的要求。</w:t>
      </w:r>
    </w:p>
    <w:p>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en-US" w:eastAsia="zh-CN"/>
        </w:rPr>
      </w:pPr>
      <w:r>
        <w:rPr>
          <w:rFonts w:hint="eastAsia" w:asciiTheme="minorEastAsia" w:hAnsiTheme="minorEastAsia" w:eastAsiaTheme="minorEastAsia" w:cstheme="minorEastAsia"/>
          <w:i w:val="0"/>
          <w:iCs/>
          <w:color w:val="auto"/>
          <w:kern w:val="0"/>
          <w:sz w:val="24"/>
          <w:szCs w:val="24"/>
          <w:highlight w:val="none"/>
          <w:lang w:val="en-US" w:eastAsia="zh-CN"/>
        </w:rPr>
        <w:t>（三）严格执行以下管理要求：</w:t>
      </w:r>
    </w:p>
    <w:p>
      <w:pPr>
        <w:pStyle w:val="2"/>
        <w:keepNext w:val="0"/>
        <w:keepLines w:val="0"/>
        <w:pageBreakBefore w:val="0"/>
        <w:widowControl w:val="0"/>
        <w:numPr>
          <w:ilvl w:val="0"/>
          <w:numId w:val="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pPr>
        <w:pStyle w:val="2"/>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bookmarkStart w:id="3" w:name="_GoBack"/>
      <w:bookmarkEnd w:id="3"/>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abstractNum w:abstractNumId="2">
    <w:nsid w:val="4122DDE1"/>
    <w:multiLevelType w:val="singleLevel"/>
    <w:tmpl w:val="4122DDE1"/>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270A5"/>
    <w:rsid w:val="007A4AD7"/>
    <w:rsid w:val="034C42F7"/>
    <w:rsid w:val="03715EA0"/>
    <w:rsid w:val="03F1316B"/>
    <w:rsid w:val="04A24F71"/>
    <w:rsid w:val="076F3B3B"/>
    <w:rsid w:val="07CA37DF"/>
    <w:rsid w:val="07CC3833"/>
    <w:rsid w:val="0BC07002"/>
    <w:rsid w:val="0BD30473"/>
    <w:rsid w:val="0E2F4C02"/>
    <w:rsid w:val="0E3616E0"/>
    <w:rsid w:val="0E937FF7"/>
    <w:rsid w:val="0F81532F"/>
    <w:rsid w:val="107144D2"/>
    <w:rsid w:val="116419AD"/>
    <w:rsid w:val="11794537"/>
    <w:rsid w:val="11DF6CFE"/>
    <w:rsid w:val="13383335"/>
    <w:rsid w:val="14440D4B"/>
    <w:rsid w:val="14B666F3"/>
    <w:rsid w:val="15056A61"/>
    <w:rsid w:val="17FE63A6"/>
    <w:rsid w:val="182633AB"/>
    <w:rsid w:val="18E57496"/>
    <w:rsid w:val="1A2D5CFF"/>
    <w:rsid w:val="1A386933"/>
    <w:rsid w:val="1A4F176B"/>
    <w:rsid w:val="1A912F72"/>
    <w:rsid w:val="1B663F82"/>
    <w:rsid w:val="1C2D4629"/>
    <w:rsid w:val="1C43636C"/>
    <w:rsid w:val="1D904223"/>
    <w:rsid w:val="1F653C49"/>
    <w:rsid w:val="1F6C0D31"/>
    <w:rsid w:val="1FF914D4"/>
    <w:rsid w:val="20735046"/>
    <w:rsid w:val="216F4D5B"/>
    <w:rsid w:val="22123778"/>
    <w:rsid w:val="23B738BA"/>
    <w:rsid w:val="24E67795"/>
    <w:rsid w:val="24F737D8"/>
    <w:rsid w:val="25100685"/>
    <w:rsid w:val="26A73075"/>
    <w:rsid w:val="282D5DBD"/>
    <w:rsid w:val="2CA17C08"/>
    <w:rsid w:val="2DDF66E3"/>
    <w:rsid w:val="2FF65FF8"/>
    <w:rsid w:val="300D195C"/>
    <w:rsid w:val="30BF37B5"/>
    <w:rsid w:val="31C955A9"/>
    <w:rsid w:val="33B200AF"/>
    <w:rsid w:val="33E61BE2"/>
    <w:rsid w:val="361736AD"/>
    <w:rsid w:val="36D200CF"/>
    <w:rsid w:val="379951F8"/>
    <w:rsid w:val="38382DC3"/>
    <w:rsid w:val="38DE045C"/>
    <w:rsid w:val="3A546240"/>
    <w:rsid w:val="3AB0302C"/>
    <w:rsid w:val="3BF24D81"/>
    <w:rsid w:val="3BFE7BEA"/>
    <w:rsid w:val="3C4750A3"/>
    <w:rsid w:val="3C4A35F1"/>
    <w:rsid w:val="3D02209C"/>
    <w:rsid w:val="3E664B6D"/>
    <w:rsid w:val="3ED7087B"/>
    <w:rsid w:val="3F141BFC"/>
    <w:rsid w:val="4416621C"/>
    <w:rsid w:val="444D481C"/>
    <w:rsid w:val="44982260"/>
    <w:rsid w:val="44D414C9"/>
    <w:rsid w:val="46472D5E"/>
    <w:rsid w:val="496A657E"/>
    <w:rsid w:val="49843C09"/>
    <w:rsid w:val="4B3A1BDA"/>
    <w:rsid w:val="4BC66CF0"/>
    <w:rsid w:val="4BF83760"/>
    <w:rsid w:val="4C8349B8"/>
    <w:rsid w:val="520D6E5F"/>
    <w:rsid w:val="53115540"/>
    <w:rsid w:val="54987C9C"/>
    <w:rsid w:val="55C3156A"/>
    <w:rsid w:val="5782183A"/>
    <w:rsid w:val="57BD355E"/>
    <w:rsid w:val="59A5419F"/>
    <w:rsid w:val="5B0320E2"/>
    <w:rsid w:val="5B8B11A7"/>
    <w:rsid w:val="5B9E2EC4"/>
    <w:rsid w:val="608606DE"/>
    <w:rsid w:val="610E324A"/>
    <w:rsid w:val="61F31EFD"/>
    <w:rsid w:val="63066BC7"/>
    <w:rsid w:val="63D0487B"/>
    <w:rsid w:val="64672037"/>
    <w:rsid w:val="64911DA0"/>
    <w:rsid w:val="65945D8D"/>
    <w:rsid w:val="66C35559"/>
    <w:rsid w:val="67221D4F"/>
    <w:rsid w:val="67797872"/>
    <w:rsid w:val="67D57489"/>
    <w:rsid w:val="68570F93"/>
    <w:rsid w:val="6A287B5E"/>
    <w:rsid w:val="6B303A1A"/>
    <w:rsid w:val="6DAA2FDF"/>
    <w:rsid w:val="6E121228"/>
    <w:rsid w:val="6E614D6E"/>
    <w:rsid w:val="6FC971BF"/>
    <w:rsid w:val="70D1495F"/>
    <w:rsid w:val="70ED510D"/>
    <w:rsid w:val="74695E39"/>
    <w:rsid w:val="754C6F3B"/>
    <w:rsid w:val="75B11AFF"/>
    <w:rsid w:val="75D32619"/>
    <w:rsid w:val="765369C1"/>
    <w:rsid w:val="767D6887"/>
    <w:rsid w:val="780B6A75"/>
    <w:rsid w:val="79F83E18"/>
    <w:rsid w:val="7A262145"/>
    <w:rsid w:val="7BEC3F2B"/>
    <w:rsid w:val="7D0F76D8"/>
    <w:rsid w:val="7E3420E0"/>
    <w:rsid w:val="7E535DCD"/>
    <w:rsid w:val="7E7C75C0"/>
    <w:rsid w:val="7E9A7173"/>
    <w:rsid w:val="7F7B4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正文首行缩进1"/>
    <w:basedOn w:val="1"/>
    <w:qFormat/>
    <w:uiPriority w:val="0"/>
    <w:pPr>
      <w:spacing w:line="360" w:lineRule="auto"/>
      <w:ind w:firstLine="200" w:firstLineChars="200"/>
    </w:pPr>
    <w:rPr>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dcterms:modified xsi:type="dcterms:W3CDTF">2025-09-10T03:38:20Z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97F7B793B89747A78DD1BFF109257976</vt:lpwstr>
  </property>
</Properties>
</file>