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32"/>
          <w:szCs w:val="32"/>
          <w:highlight w:val="none"/>
          <w:u w:val="none"/>
          <w:lang w:val="en-US" w:eastAsia="zh-CN"/>
        </w:rPr>
      </w:pPr>
      <w:bookmarkStart w:id="0" w:name="_Toc8445"/>
      <w:r>
        <w:rPr>
          <w:rFonts w:hint="eastAsia" w:asciiTheme="minorEastAsia" w:hAnsiTheme="minorEastAsia" w:eastAsiaTheme="minorEastAsia" w:cstheme="minorEastAsia"/>
          <w:b/>
          <w:bCs/>
          <w:snapToGrid w:val="0"/>
          <w:color w:val="auto"/>
          <w:kern w:val="0"/>
          <w:sz w:val="32"/>
          <w:szCs w:val="32"/>
          <w:highlight w:val="none"/>
          <w:u w:val="none"/>
          <w:lang w:val="en-US" w:eastAsia="zh-CN"/>
        </w:rPr>
        <w:t>附件A.项目信息清单</w:t>
      </w:r>
      <w:r>
        <w:rPr>
          <w:rFonts w:hint="eastAsia" w:asciiTheme="minorEastAsia" w:hAnsiTheme="minorEastAsia" w:eastAsiaTheme="minorEastAsia" w:cstheme="minorEastAsia"/>
          <w:b/>
          <w:bCs/>
          <w:snapToGrid w:val="0"/>
          <w:color w:val="auto"/>
          <w:kern w:val="0"/>
          <w:sz w:val="28"/>
          <w:szCs w:val="28"/>
          <w:highlight w:val="none"/>
          <w:u w:val="none"/>
          <w:lang w:val="en-US" w:eastAsia="zh-CN"/>
        </w:rPr>
        <w:t>（</w:t>
      </w:r>
      <w:r>
        <w:rPr>
          <w:rFonts w:hint="eastAsia" w:asciiTheme="minorEastAsia" w:hAnsiTheme="minorEastAsia" w:eastAsiaTheme="minorEastAsia" w:cstheme="minorEastAsia"/>
          <w:b/>
          <w:bCs/>
          <w:snapToGrid w:val="0"/>
          <w:color w:val="auto"/>
          <w:kern w:val="0"/>
          <w:sz w:val="28"/>
          <w:szCs w:val="28"/>
          <w:highlight w:val="none"/>
          <w:u w:val="single"/>
          <w:lang w:val="en-US" w:eastAsia="zh-CN"/>
        </w:rPr>
        <w:t>奥林220千伏出线工程（不含二期隧道工程土建部分）监理</w:t>
      </w:r>
      <w:r>
        <w:rPr>
          <w:rFonts w:hint="eastAsia" w:asciiTheme="minorEastAsia" w:hAnsiTheme="minorEastAsia" w:eastAsiaTheme="minorEastAsia" w:cstheme="minorEastAsia"/>
          <w:b/>
          <w:bCs/>
          <w:snapToGrid w:val="0"/>
          <w:color w:val="auto"/>
          <w:kern w:val="0"/>
          <w:sz w:val="28"/>
          <w:szCs w:val="28"/>
          <w:highlight w:val="none"/>
          <w:u w:val="none"/>
          <w:lang w:val="en-US" w:eastAsia="zh-CN"/>
        </w:rPr>
        <w:t>）</w:t>
      </w:r>
    </w:p>
    <w:bookmarkEnd w:id="0"/>
    <w:p>
      <w:pPr>
        <w:pStyle w:val="10"/>
        <w:keepNext w:val="0"/>
        <w:keepLines w:val="0"/>
        <w:pageBreakBefore w:val="0"/>
        <w:widowControl w:val="0"/>
        <w:numPr>
          <w:ilvl w:val="0"/>
          <w:numId w:val="1"/>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项目信息</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u w:val="none"/>
          <w:lang w:val="en-US" w:eastAsia="zh-CN"/>
        </w:rPr>
      </w:pPr>
      <w:r>
        <w:rPr>
          <w:rFonts w:hint="eastAsia" w:hAnsi="宋体" w:cs="宋体"/>
          <w:b/>
          <w:bCs/>
          <w:snapToGrid w:val="0"/>
          <w:color w:val="auto"/>
          <w:kern w:val="0"/>
          <w:sz w:val="24"/>
          <w:szCs w:val="24"/>
          <w:highlight w:val="none"/>
          <w:u w:val="none"/>
          <w:lang w:val="en-US" w:eastAsia="zh-CN"/>
        </w:rPr>
        <w:t>招标前期资料</w:t>
      </w:r>
    </w:p>
    <w:tbl>
      <w:tblPr>
        <w:tblStyle w:val="12"/>
        <w:tblW w:w="9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3783"/>
        <w:gridCol w:w="5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exact"/>
          <w:jc w:val="center"/>
        </w:trPr>
        <w:tc>
          <w:tcPr>
            <w:tcW w:w="776"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序号</w:t>
            </w:r>
          </w:p>
        </w:tc>
        <w:tc>
          <w:tcPr>
            <w:tcW w:w="3783"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文件名称</w:t>
            </w:r>
          </w:p>
        </w:tc>
        <w:tc>
          <w:tcPr>
            <w:tcW w:w="5250"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1</w:t>
            </w:r>
          </w:p>
        </w:tc>
        <w:tc>
          <w:tcPr>
            <w:tcW w:w="3783"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可研批复文号</w:t>
            </w:r>
          </w:p>
        </w:tc>
        <w:tc>
          <w:tcPr>
            <w:tcW w:w="5250"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default" w:ascii="Times New Roman" w:hAnsi="Times New Roman" w:cs="Times New Roman" w:eastAsiaTheme="minorEastAsia"/>
                <w:b w:val="0"/>
                <w:bCs w:val="0"/>
                <w:snapToGrid w:val="0"/>
                <w:color w:val="auto"/>
                <w:kern w:val="0"/>
                <w:sz w:val="24"/>
                <w:szCs w:val="24"/>
                <w:highlight w:val="none"/>
                <w:u w:val="none"/>
                <w:vertAlign w:val="baseline"/>
                <w:lang w:val="en-US" w:eastAsia="zh-CN"/>
              </w:rPr>
            </w:pPr>
            <w:r>
              <w:rPr>
                <w:rFonts w:hint="default" w:ascii="Times New Roman" w:hAnsi="Times New Roman" w:cs="Times New Roman" w:eastAsiaTheme="minorEastAsia"/>
                <w:b w:val="0"/>
                <w:bCs w:val="0"/>
                <w:snapToGrid w:val="0"/>
                <w:color w:val="auto"/>
                <w:kern w:val="0"/>
                <w:sz w:val="24"/>
                <w:szCs w:val="24"/>
                <w:highlight w:val="none"/>
                <w:u w:val="single"/>
                <w:vertAlign w:val="baseline"/>
                <w:lang w:val="en-US" w:eastAsia="zh-CN"/>
              </w:rPr>
              <w:t>广供电基〔2024〕 104号</w:t>
            </w:r>
          </w:p>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2</w:t>
            </w:r>
          </w:p>
        </w:tc>
        <w:tc>
          <w:tcPr>
            <w:tcW w:w="3783"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项目核准/备案文号</w:t>
            </w:r>
          </w:p>
        </w:tc>
        <w:tc>
          <w:tcPr>
            <w:tcW w:w="5250"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穗发改核准〔2024〕37号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3</w:t>
            </w:r>
          </w:p>
        </w:tc>
        <w:tc>
          <w:tcPr>
            <w:tcW w:w="3783"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资金落实情况</w:t>
            </w:r>
          </w:p>
        </w:tc>
        <w:tc>
          <w:tcPr>
            <w:tcW w:w="5250"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default" w:ascii="Times New Roman" w:hAnsi="Times New Roman" w:cs="Times New Roman" w:eastAsiaTheme="minorEastAsia"/>
                <w:b w:val="0"/>
                <w:bCs w:val="0"/>
                <w:snapToGrid w:val="0"/>
                <w:color w:val="auto"/>
                <w:kern w:val="0"/>
                <w:sz w:val="24"/>
                <w:szCs w:val="24"/>
                <w:highlight w:val="none"/>
                <w:u w:val="single"/>
                <w:vertAlign w:val="baseline"/>
                <w:lang w:val="en-US" w:eastAsia="zh-CN"/>
              </w:rPr>
            </w:pPr>
            <w:r>
              <w:rPr>
                <w:rFonts w:hint="default" w:ascii="Times New Roman" w:hAnsi="Times New Roman" w:cs="Times New Roman" w:eastAsiaTheme="minorEastAsia"/>
                <w:b w:val="0"/>
                <w:bCs w:val="0"/>
                <w:snapToGrid w:val="0"/>
                <w:color w:val="auto"/>
                <w:kern w:val="0"/>
                <w:sz w:val="24"/>
                <w:szCs w:val="24"/>
                <w:highlight w:val="none"/>
                <w:u w:val="single"/>
                <w:vertAlign w:val="baseline"/>
                <w:lang w:val="en-US" w:eastAsia="zh-CN"/>
              </w:rPr>
              <w:t>已落实，广供电资〔2025〕3 号</w:t>
            </w:r>
          </w:p>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4</w:t>
            </w:r>
          </w:p>
        </w:tc>
        <w:tc>
          <w:tcPr>
            <w:tcW w:w="3783"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项目建设单位</w:t>
            </w:r>
          </w:p>
        </w:tc>
        <w:tc>
          <w:tcPr>
            <w:tcW w:w="5250"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广东电网有限责任公司广州供电局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5</w:t>
            </w:r>
          </w:p>
        </w:tc>
        <w:tc>
          <w:tcPr>
            <w:tcW w:w="3783"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项目建设地点</w:t>
            </w:r>
          </w:p>
        </w:tc>
        <w:tc>
          <w:tcPr>
            <w:tcW w:w="5250"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广州市天河区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76"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6</w:t>
            </w:r>
          </w:p>
        </w:tc>
        <w:tc>
          <w:tcPr>
            <w:tcW w:w="3783"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前期的设计或咨询服务单位名称</w:t>
            </w:r>
          </w:p>
        </w:tc>
        <w:tc>
          <w:tcPr>
            <w:tcW w:w="5250"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t>广州电力设计院有限公司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exact"/>
          <w:jc w:val="center"/>
        </w:trPr>
        <w:tc>
          <w:tcPr>
            <w:tcW w:w="776"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7</w:t>
            </w:r>
          </w:p>
        </w:tc>
        <w:tc>
          <w:tcPr>
            <w:tcW w:w="3783"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工期/服务期</w:t>
            </w:r>
          </w:p>
        </w:tc>
        <w:tc>
          <w:tcPr>
            <w:tcW w:w="5250"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both"/>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single"/>
                <w:vertAlign w:val="baseline"/>
                <w:lang w:val="en-US" w:eastAsia="zh-CN"/>
              </w:rPr>
              <w:t>合同签订之日起至2027年12月30日，实际工期以开工报告、竣工报告为准。</w:t>
            </w:r>
          </w:p>
        </w:tc>
      </w:tr>
    </w:tbl>
    <w:p>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4"/>
          <w:szCs w:val="24"/>
          <w:highlight w:val="none"/>
          <w:u w:val="none"/>
          <w:lang w:val="en-US" w:eastAsia="zh-CN"/>
        </w:rPr>
      </w:pPr>
    </w:p>
    <w:p>
      <w:pPr>
        <w:keepNext w:val="0"/>
        <w:keepLines w:val="0"/>
        <w:pageBreakBefore w:val="0"/>
        <w:widowControl w:val="0"/>
        <w:kinsoku/>
        <w:wordWrap/>
        <w:overflowPunct/>
        <w:topLinePunct w:val="0"/>
        <w:autoSpaceDE/>
        <w:autoSpaceDN/>
        <w:bidi w:val="0"/>
        <w:spacing w:line="36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u w:val="none"/>
          <w:lang w:val="en-US" w:eastAsia="zh-CN"/>
        </w:rPr>
        <w:t>一、项目概况</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482" w:firstLineChars="200"/>
        <w:jc w:val="both"/>
        <w:textAlignment w:val="auto"/>
        <w:rPr>
          <w:rFonts w:hint="eastAsia" w:asciiTheme="minorEastAsia" w:hAnsiTheme="minorEastAsia" w:eastAsiaTheme="minorEastAsia" w:cstheme="minorEastAsia"/>
          <w:b/>
          <w:bCs w:val="0"/>
          <w:color w:val="auto"/>
          <w:sz w:val="24"/>
          <w:szCs w:val="24"/>
          <w:highlight w:val="none"/>
        </w:rPr>
      </w:pPr>
      <w:r>
        <w:rPr>
          <w:rFonts w:hint="eastAsia" w:asciiTheme="minorEastAsia" w:hAnsiTheme="minorEastAsia" w:eastAsiaTheme="minorEastAsia" w:cstheme="minorEastAsia"/>
          <w:b/>
          <w:bCs w:val="0"/>
          <w:color w:val="auto"/>
          <w:sz w:val="24"/>
          <w:szCs w:val="24"/>
          <w:highlight w:val="none"/>
        </w:rPr>
        <w:t>※变电工程</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1.220kV奥林站：完成2回电缆接入。</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2.220千伏碧山变电站改造工程：自奥林站新建2回电缆线路接入碧山站，2个出线间隔在前期工程中已考虑建设，本期仅需配合完成电缆接入。自奥林站新建2回电缆线路接入碧山站（碧山站母线改造后，与木棉-碧山线路同在分段的一侧），其中两侧站内扩建线路间隔一次设备已上齐，本期仅新增对应间隔二次设备。扩建2个间隔。增加6面线路保护屏。新建电缆终端支架和设备支架及构架工作量。</w:t>
      </w:r>
    </w:p>
    <w:p>
      <w:pPr>
        <w:pStyle w:val="2"/>
        <w:keepNext w:val="0"/>
        <w:keepLines w:val="0"/>
        <w:pageBreakBefore w:val="0"/>
        <w:widowControl w:val="0"/>
        <w:kinsoku/>
        <w:wordWrap/>
        <w:overflowPunct/>
        <w:topLinePunct w:val="0"/>
        <w:autoSpaceDE/>
        <w:autoSpaceDN/>
        <w:bidi w:val="0"/>
        <w:spacing w:line="360" w:lineRule="exac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3.</w:t>
      </w:r>
      <w:r>
        <w:rPr>
          <w:rFonts w:hint="eastAsia" w:asciiTheme="minorEastAsia" w:hAnsiTheme="minorEastAsia" w:eastAsiaTheme="minorEastAsia" w:cstheme="minorEastAsia"/>
          <w:b w:val="0"/>
          <w:bCs/>
          <w:color w:val="auto"/>
          <w:sz w:val="24"/>
          <w:szCs w:val="24"/>
          <w:highlight w:val="none"/>
        </w:rPr>
        <w:t>220千伏棠下变电站改造工程：拆除增出棠甲线GIS间隔架空线套管及分支母线，新建敞开式设备电缆终端头及避雷器，员热甲、乙线电缆出线利用平台架空转接至科北站。增棠甲、乙线和员热甲、乙线GIS设备转为备用间隔。增棠甲、乙线和员热甲、乙线GIS设备转为备用间隔。在棠下站屋面新建二组电缆终端基础、二组避雷器支架及基础。</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4.220kV员热站：增加四面线路保护屏。</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482" w:firstLineChars="200"/>
        <w:jc w:val="both"/>
        <w:textAlignment w:val="auto"/>
        <w:rPr>
          <w:rFonts w:hint="eastAsia" w:asciiTheme="minorEastAsia" w:hAnsiTheme="minorEastAsia" w:eastAsiaTheme="minorEastAsia" w:cstheme="minorEastAsia"/>
          <w:b/>
          <w:bCs w:val="0"/>
          <w:color w:val="auto"/>
          <w:sz w:val="24"/>
          <w:szCs w:val="24"/>
          <w:highlight w:val="none"/>
        </w:rPr>
      </w:pPr>
      <w:r>
        <w:rPr>
          <w:rFonts w:hint="eastAsia" w:asciiTheme="minorEastAsia" w:hAnsiTheme="minorEastAsia" w:eastAsiaTheme="minorEastAsia" w:cstheme="minorEastAsia"/>
          <w:b/>
          <w:bCs w:val="0"/>
          <w:color w:val="auto"/>
          <w:sz w:val="24"/>
          <w:szCs w:val="24"/>
          <w:highlight w:val="none"/>
        </w:rPr>
        <w:t>※隧道部分：</w:t>
      </w:r>
    </w:p>
    <w:p>
      <w:pPr>
        <w:keepNext w:val="0"/>
        <w:keepLines w:val="0"/>
        <w:pageBreakBefore w:val="0"/>
        <w:widowControl w:val="0"/>
        <w:numPr>
          <w:ilvl w:val="0"/>
          <w:numId w:val="2"/>
        </w:numPr>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220千伏奥林线路工程一期（新建电缆隧道）：新建碧山站内隧道，隧道长度约为39.35米，拟采用明挖法施工，管容 2 回 220kV 线路，配套建设隧道内通风、给排水、消防、照明动力、接地、隧道外电源等附属设施。</w:t>
      </w:r>
    </w:p>
    <w:p>
      <w:pPr>
        <w:keepNext w:val="0"/>
        <w:keepLines w:val="0"/>
        <w:pageBreakBefore w:val="0"/>
        <w:widowControl w:val="0"/>
        <w:numPr>
          <w:ilvl w:val="0"/>
          <w:numId w:val="2"/>
        </w:numPr>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220千伏奥林线路工程二期（隧道工程）</w:t>
      </w:r>
      <w:r>
        <w:rPr>
          <w:rFonts w:hint="eastAsia" w:asciiTheme="minorEastAsia" w:hAnsiTheme="minorEastAsia" w:eastAsiaTheme="minorEastAsia" w:cstheme="minorEastAsia"/>
          <w:b w:val="0"/>
          <w:bCs/>
          <w:color w:val="auto"/>
          <w:sz w:val="24"/>
          <w:szCs w:val="24"/>
          <w:highlight w:val="none"/>
          <w:lang w:val="en-US" w:eastAsia="zh-CN"/>
        </w:rPr>
        <w:t>风水电部分</w:t>
      </w:r>
      <w:r>
        <w:rPr>
          <w:rFonts w:hint="eastAsia" w:asciiTheme="minorEastAsia" w:hAnsiTheme="minorEastAsia" w:eastAsiaTheme="minorEastAsia" w:cstheme="minorEastAsia"/>
          <w:b w:val="0"/>
          <w:bCs/>
          <w:color w:val="auto"/>
          <w:sz w:val="24"/>
          <w:szCs w:val="24"/>
          <w:highlight w:val="none"/>
        </w:rPr>
        <w:t>：施工图纸范围内的风水电消防、监控安装及调试工程，包含综合监测系统（包括监控软件系统、环境监测系统、视频监控系统、门禁系统、分布式光纤测温系统）、消防系统、通风空调（暖通）系统、通信系统（不含隧道内无线通信）、机器人巡检系统、给排水系统、低压配电及照明系统、接地系统（不含工作井预埋接地）、10kV永久电源、电缆支架安装。</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482" w:firstLineChars="200"/>
        <w:jc w:val="both"/>
        <w:textAlignment w:val="auto"/>
        <w:rPr>
          <w:rFonts w:hint="eastAsia" w:asciiTheme="minorEastAsia" w:hAnsiTheme="minorEastAsia" w:eastAsiaTheme="minorEastAsia" w:cstheme="minorEastAsia"/>
          <w:b/>
          <w:bCs w:val="0"/>
          <w:color w:val="auto"/>
          <w:sz w:val="24"/>
          <w:szCs w:val="24"/>
          <w:highlight w:val="none"/>
        </w:rPr>
      </w:pPr>
      <w:r>
        <w:rPr>
          <w:rFonts w:hint="eastAsia" w:asciiTheme="minorEastAsia" w:hAnsiTheme="minorEastAsia" w:eastAsiaTheme="minorEastAsia" w:cstheme="minorEastAsia"/>
          <w:b/>
          <w:bCs w:val="0"/>
          <w:color w:val="auto"/>
          <w:sz w:val="24"/>
          <w:szCs w:val="24"/>
          <w:highlight w:val="none"/>
        </w:rPr>
        <w:t>※线路部分</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（1）220kV奥林至碧山双回电缆线路新建路径长约8.475km ，电缆长约2×8.925km。</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（2）220kV员热至规划科北双回线路新建220kV回电缆线路路长2×0.65km，新建电缆长2×0.68km。</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480" w:firstLineChars="200"/>
        <w:jc w:val="both"/>
        <w:textAlignment w:val="auto"/>
        <w:rPr>
          <w:rFonts w:hint="default"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rPr>
        <w:t>（3）220千伏柔直至碧山临时方案单回电缆线路工程</w:t>
      </w:r>
      <w:r>
        <w:rPr>
          <w:rFonts w:hint="eastAsia" w:asciiTheme="minorEastAsia" w:hAnsiTheme="minorEastAsia" w:eastAsia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rPr>
        <w:t>新建科城终端场至碧山段单回电缆线路长1×7.08km</w:t>
      </w:r>
      <w:r>
        <w:rPr>
          <w:rFonts w:hint="eastAsia" w:asciiTheme="minorEastAsia" w:hAnsiTheme="minorEastAsia" w:eastAsia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lang w:val="en-US" w:eastAsia="zh-CN"/>
        </w:rPr>
        <w:t>新建</w:t>
      </w:r>
      <w:r>
        <w:rPr>
          <w:rFonts w:hint="eastAsia" w:asciiTheme="minorEastAsia" w:hAnsiTheme="minorEastAsia" w:eastAsiaTheme="minorEastAsia" w:cstheme="minorEastAsia"/>
          <w:b w:val="0"/>
          <w:bCs/>
          <w:color w:val="auto"/>
          <w:sz w:val="24"/>
          <w:szCs w:val="24"/>
          <w:highlight w:val="none"/>
        </w:rPr>
        <w:t>220kV直碧山临时方案(</w:t>
      </w:r>
      <w:r>
        <w:rPr>
          <w:rFonts w:hint="eastAsia" w:asciiTheme="minorEastAsia" w:hAnsiTheme="minorEastAsia" w:eastAsiaTheme="minorEastAsia" w:cstheme="minorEastAsia"/>
          <w:b w:val="0"/>
          <w:bCs/>
          <w:color w:val="auto"/>
          <w:sz w:val="24"/>
          <w:szCs w:val="24"/>
          <w:highlight w:val="none"/>
          <w:lang w:val="en-US" w:eastAsia="zh-CN"/>
        </w:rPr>
        <w:t>增</w:t>
      </w:r>
      <w:r>
        <w:rPr>
          <w:rFonts w:hint="eastAsia" w:asciiTheme="minorEastAsia" w:hAnsiTheme="minorEastAsia" w:eastAsiaTheme="minorEastAsia" w:cstheme="minorEastAsia"/>
          <w:b w:val="0"/>
          <w:bCs/>
          <w:color w:val="auto"/>
          <w:sz w:val="24"/>
          <w:szCs w:val="24"/>
          <w:highlight w:val="none"/>
        </w:rPr>
        <w:t>棠跳通段)单回电缆线路长1×0.3km</w:t>
      </w:r>
      <w:r>
        <w:rPr>
          <w:rFonts w:hint="eastAsia" w:asciiTheme="minorEastAsia" w:hAnsiTheme="minorEastAsia" w:eastAsiaTheme="minorEastAsia" w:cstheme="minorEastAsia"/>
          <w:b w:val="0"/>
          <w:bCs/>
          <w:color w:val="auto"/>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480" w:firstLineChars="200"/>
        <w:jc w:val="both"/>
        <w:textAlignment w:val="auto"/>
        <w:rPr>
          <w:rFonts w:hint="default" w:asciiTheme="minorEastAsia" w:hAnsiTheme="minorEastAsia" w:eastAsiaTheme="minorEastAsia" w:cstheme="minorEastAsia"/>
          <w:b w:val="0"/>
          <w:bCs/>
          <w:color w:val="auto"/>
          <w:sz w:val="24"/>
          <w:szCs w:val="24"/>
          <w:highlight w:val="none"/>
          <w:lang w:val="en-US"/>
        </w:rPr>
      </w:pPr>
      <w:r>
        <w:rPr>
          <w:rFonts w:hint="eastAsia" w:asciiTheme="minorEastAsia" w:hAnsiTheme="minorEastAsia" w:eastAsiaTheme="minorEastAsia" w:cstheme="minorEastAsia"/>
          <w:b w:val="0"/>
          <w:bCs/>
          <w:color w:val="auto"/>
          <w:sz w:val="24"/>
          <w:szCs w:val="24"/>
          <w:highlight w:val="none"/>
        </w:rPr>
        <w:t>（4）220kV柔直至碧山最终方案单回电缆线路</w:t>
      </w:r>
      <w:r>
        <w:rPr>
          <w:rFonts w:hint="eastAsia" w:asciiTheme="minorEastAsia" w:hAnsiTheme="minorEastAsia" w:eastAsiaTheme="minorEastAsia" w:cstheme="minorEastAsia"/>
          <w:b w:val="0"/>
          <w:bCs/>
          <w:color w:val="auto"/>
          <w:sz w:val="24"/>
          <w:szCs w:val="24"/>
          <w:highlight w:val="none"/>
          <w:lang w:val="en-US" w:eastAsia="zh-CN"/>
        </w:rPr>
        <w:t>工程</w:t>
      </w:r>
      <w:r>
        <w:rPr>
          <w:rFonts w:hint="eastAsia" w:asciiTheme="minorEastAsia" w:hAnsiTheme="minorEastAsia" w:eastAsia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lang w:val="en-US" w:eastAsia="zh-CN"/>
        </w:rPr>
        <w:t>拆除</w:t>
      </w:r>
      <w:r>
        <w:rPr>
          <w:rFonts w:hint="eastAsia" w:asciiTheme="minorEastAsia" w:hAnsiTheme="minorEastAsia" w:eastAsiaTheme="minorEastAsia" w:cstheme="minorEastAsia"/>
          <w:b w:val="0"/>
          <w:bCs/>
          <w:color w:val="auto"/>
          <w:sz w:val="24"/>
          <w:szCs w:val="24"/>
          <w:highlight w:val="none"/>
        </w:rPr>
        <w:t>科城终端场至碧山段单回电缆线路长1×7.08km</w:t>
      </w:r>
      <w:r>
        <w:rPr>
          <w:rFonts w:hint="eastAsia" w:asciiTheme="minorEastAsia" w:hAnsiTheme="minorEastAsia" w:eastAsia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lang w:val="en-US" w:eastAsia="zh-CN"/>
        </w:rPr>
        <w:t>拆除</w:t>
      </w:r>
      <w:r>
        <w:rPr>
          <w:rFonts w:hint="eastAsia" w:asciiTheme="minorEastAsia" w:hAnsiTheme="minorEastAsia" w:eastAsiaTheme="minorEastAsia" w:cstheme="minorEastAsia"/>
          <w:b w:val="0"/>
          <w:bCs/>
          <w:color w:val="auto"/>
          <w:sz w:val="24"/>
          <w:szCs w:val="24"/>
          <w:highlight w:val="none"/>
        </w:rPr>
        <w:t>220kV直碧山临时方案(</w:t>
      </w:r>
      <w:r>
        <w:rPr>
          <w:rFonts w:hint="eastAsia" w:asciiTheme="minorEastAsia" w:hAnsiTheme="minorEastAsia" w:eastAsiaTheme="minorEastAsia" w:cstheme="minorEastAsia"/>
          <w:b w:val="0"/>
          <w:bCs/>
          <w:color w:val="auto"/>
          <w:sz w:val="24"/>
          <w:szCs w:val="24"/>
          <w:highlight w:val="none"/>
          <w:lang w:val="en-US" w:eastAsia="zh-CN"/>
        </w:rPr>
        <w:t>增</w:t>
      </w:r>
      <w:r>
        <w:rPr>
          <w:rFonts w:hint="eastAsia" w:asciiTheme="minorEastAsia" w:hAnsiTheme="minorEastAsia" w:eastAsiaTheme="minorEastAsia" w:cstheme="minorEastAsia"/>
          <w:b w:val="0"/>
          <w:bCs/>
          <w:color w:val="auto"/>
          <w:sz w:val="24"/>
          <w:szCs w:val="24"/>
          <w:highlight w:val="none"/>
        </w:rPr>
        <w:t>棠跳通段)单回电缆线路长1×0.3km</w:t>
      </w:r>
      <w:r>
        <w:rPr>
          <w:rFonts w:hint="eastAsia" w:asciiTheme="minorEastAsia" w:hAnsiTheme="minorEastAsia" w:eastAsiaTheme="minorEastAsia" w:cstheme="minorEastAsia"/>
          <w:b w:val="0"/>
          <w:bCs/>
          <w:color w:val="auto"/>
          <w:sz w:val="24"/>
          <w:szCs w:val="24"/>
          <w:highlight w:val="none"/>
          <w:lang w:val="en-US" w:eastAsia="zh-CN"/>
        </w:rPr>
        <w:t>。新建220kV柔直至碧山最终方案单回电缆线路路径长约10.98km，电缆长约1X11.52km。</w:t>
      </w:r>
      <w:r>
        <w:rPr>
          <w:rFonts w:hint="eastAsia" w:asciiTheme="minorEastAsia" w:hAnsiTheme="minorEastAsia" w:eastAsiaTheme="minorEastAsia" w:cstheme="minorEastAsia"/>
          <w:b w:val="0"/>
          <w:bCs/>
          <w:color w:val="auto"/>
          <w:sz w:val="24"/>
          <w:szCs w:val="24"/>
          <w:highlight w:val="none"/>
          <w:lang w:val="en-US" w:eastAsia="zh-CN"/>
        </w:rPr>
        <w:tab/>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482" w:firstLineChars="200"/>
        <w:jc w:val="both"/>
        <w:textAlignment w:val="auto"/>
        <w:rPr>
          <w:rFonts w:hint="eastAsia" w:asciiTheme="minorEastAsia" w:hAnsiTheme="minorEastAsia" w:eastAsiaTheme="minorEastAsia" w:cstheme="minorEastAsia"/>
          <w:b/>
          <w:bCs w:val="0"/>
          <w:color w:val="auto"/>
          <w:sz w:val="24"/>
          <w:szCs w:val="24"/>
          <w:highlight w:val="none"/>
        </w:rPr>
      </w:pPr>
      <w:r>
        <w:rPr>
          <w:rFonts w:hint="eastAsia" w:asciiTheme="minorEastAsia" w:hAnsiTheme="minorEastAsia" w:eastAsiaTheme="minorEastAsia" w:cstheme="minorEastAsia"/>
          <w:b/>
          <w:bCs w:val="0"/>
          <w:color w:val="auto"/>
          <w:sz w:val="24"/>
          <w:szCs w:val="24"/>
          <w:highlight w:val="none"/>
        </w:rPr>
        <w:t>※通信工程</w:t>
      </w:r>
    </w:p>
    <w:p>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(1)随新建科城终端场至碧山段单回电缆线路，新建科城终端场-碧山站2条72芯管道光缆，管道光缆长度约为7.69km（含碧山站入站光缆），待与天河区重点发展片区高压架空线下地迁改项目建设的柔直站-科翔路A终端场、棠下站-科翔路A终端场的这2条72芯管道光缆熔接，未来将形成柔直-碧山站、棠下站-碧山站各1条72芯管道光缆。</w:t>
      </w:r>
    </w:p>
    <w:p>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(2)随新建柔直站至棠下跳接段单回电缆线路，新建1条柔直站至棠下站1条72芯管道光缆，管道光缆长度约为0.6km，作为柔直站的备用光缆出线。</w:t>
      </w:r>
    </w:p>
    <w:p>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lang w:val="en-US" w:eastAsia="zh-CN"/>
        </w:rPr>
        <w:t>3</w:t>
      </w:r>
      <w:r>
        <w:rPr>
          <w:rFonts w:hint="eastAsia" w:asciiTheme="minorEastAsia" w:hAnsiTheme="minorEastAsia" w:eastAsia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lang w:val="en-US" w:eastAsia="zh-CN"/>
        </w:rPr>
        <w:t>随</w:t>
      </w:r>
      <w:r>
        <w:rPr>
          <w:rFonts w:hint="default" w:asciiTheme="minorEastAsia" w:hAnsiTheme="minorEastAsia" w:eastAsiaTheme="minorEastAsia" w:cstheme="minorEastAsia"/>
          <w:b w:val="0"/>
          <w:bCs/>
          <w:color w:val="auto"/>
          <w:sz w:val="24"/>
          <w:szCs w:val="24"/>
          <w:highlight w:val="none"/>
          <w:lang w:val="en-US" w:eastAsia="zh-CN"/>
        </w:rPr>
        <w:t>220kV</w:t>
      </w:r>
      <w:r>
        <w:rPr>
          <w:rFonts w:hint="eastAsia" w:asciiTheme="minorEastAsia" w:hAnsiTheme="minorEastAsia" w:eastAsiaTheme="minorEastAsia" w:cstheme="minorEastAsia"/>
          <w:b w:val="0"/>
          <w:bCs/>
          <w:color w:val="auto"/>
          <w:sz w:val="24"/>
          <w:szCs w:val="24"/>
          <w:highlight w:val="none"/>
          <w:lang w:val="en-US" w:eastAsia="zh-CN"/>
        </w:rPr>
        <w:t>奥林至碧山双回电缆线路，新建奥林站</w:t>
      </w:r>
      <w:r>
        <w:rPr>
          <w:rFonts w:hint="default" w:asciiTheme="minorEastAsia" w:hAnsiTheme="minorEastAsia" w:eastAsiaTheme="minorEastAsia" w:cstheme="minorEastAsia"/>
          <w:b w:val="0"/>
          <w:bCs/>
          <w:color w:val="auto"/>
          <w:sz w:val="24"/>
          <w:szCs w:val="24"/>
          <w:highlight w:val="none"/>
          <w:lang w:val="en-US" w:eastAsia="zh-CN"/>
        </w:rPr>
        <w:t>~</w:t>
      </w:r>
      <w:r>
        <w:rPr>
          <w:rFonts w:hint="eastAsia" w:asciiTheme="minorEastAsia" w:hAnsiTheme="minorEastAsia" w:eastAsiaTheme="minorEastAsia" w:cstheme="minorEastAsia"/>
          <w:b w:val="0"/>
          <w:bCs/>
          <w:color w:val="auto"/>
          <w:sz w:val="24"/>
          <w:szCs w:val="24"/>
          <w:highlight w:val="none"/>
          <w:lang w:val="en-US" w:eastAsia="zh-CN"/>
        </w:rPr>
        <w:t>碧山站</w:t>
      </w:r>
      <w:r>
        <w:rPr>
          <w:rFonts w:hint="default" w:asciiTheme="minorEastAsia" w:hAnsiTheme="minorEastAsia" w:eastAsiaTheme="minorEastAsia" w:cstheme="minorEastAsia"/>
          <w:b w:val="0"/>
          <w:bCs/>
          <w:color w:val="auto"/>
          <w:sz w:val="24"/>
          <w:szCs w:val="24"/>
          <w:highlight w:val="none"/>
          <w:lang w:val="en-US" w:eastAsia="zh-CN"/>
        </w:rPr>
        <w:t>2</w:t>
      </w:r>
      <w:r>
        <w:rPr>
          <w:rFonts w:hint="eastAsia" w:asciiTheme="minorEastAsia" w:hAnsiTheme="minorEastAsia" w:eastAsiaTheme="minorEastAsia" w:cstheme="minorEastAsia"/>
          <w:b w:val="0"/>
          <w:bCs/>
          <w:color w:val="auto"/>
          <w:sz w:val="24"/>
          <w:szCs w:val="24"/>
          <w:highlight w:val="none"/>
          <w:lang w:val="en-US" w:eastAsia="zh-CN"/>
        </w:rPr>
        <w:t>条</w:t>
      </w:r>
      <w:r>
        <w:rPr>
          <w:rFonts w:hint="default" w:asciiTheme="minorEastAsia" w:hAnsiTheme="minorEastAsia" w:eastAsiaTheme="minorEastAsia" w:cstheme="minorEastAsia"/>
          <w:b w:val="0"/>
          <w:bCs/>
          <w:color w:val="auto"/>
          <w:sz w:val="24"/>
          <w:szCs w:val="24"/>
          <w:highlight w:val="none"/>
          <w:lang w:val="en-US" w:eastAsia="zh-CN"/>
        </w:rPr>
        <w:t>48</w:t>
      </w:r>
      <w:r>
        <w:rPr>
          <w:rFonts w:hint="eastAsia" w:asciiTheme="minorEastAsia" w:hAnsiTheme="minorEastAsia" w:eastAsiaTheme="minorEastAsia" w:cstheme="minorEastAsia"/>
          <w:b w:val="0"/>
          <w:bCs/>
          <w:color w:val="auto"/>
          <w:sz w:val="24"/>
          <w:szCs w:val="24"/>
          <w:highlight w:val="none"/>
          <w:lang w:val="en-US" w:eastAsia="zh-CN"/>
        </w:rPr>
        <w:t>芯管道光缆，单条长约</w:t>
      </w:r>
      <w:r>
        <w:rPr>
          <w:rFonts w:hint="default" w:asciiTheme="minorEastAsia" w:hAnsiTheme="minorEastAsia" w:eastAsiaTheme="minorEastAsia" w:cstheme="minorEastAsia"/>
          <w:b w:val="0"/>
          <w:bCs/>
          <w:color w:val="auto"/>
          <w:sz w:val="24"/>
          <w:szCs w:val="24"/>
          <w:highlight w:val="none"/>
          <w:lang w:val="en-US" w:eastAsia="zh-CN"/>
        </w:rPr>
        <w:t>8.17km</w:t>
      </w:r>
      <w:r>
        <w:rPr>
          <w:rFonts w:hint="eastAsia" w:asciiTheme="minorEastAsia" w:hAnsiTheme="minorEastAsia" w:eastAsiaTheme="minorEastAsia" w:cstheme="minorEastAsia"/>
          <w:b w:val="0"/>
          <w:bCs/>
          <w:color w:val="auto"/>
          <w:sz w:val="24"/>
          <w:szCs w:val="24"/>
          <w:highlight w:val="none"/>
          <w:lang w:val="en-US" w:eastAsia="zh-CN"/>
        </w:rPr>
        <w:t>。</w:t>
      </w:r>
    </w:p>
    <w:p>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（4）随 </w:t>
      </w:r>
      <w:r>
        <w:rPr>
          <w:rFonts w:hint="default" w:asciiTheme="minorEastAsia" w:hAnsiTheme="minorEastAsia" w:eastAsiaTheme="minorEastAsia" w:cstheme="minorEastAsia"/>
          <w:b w:val="0"/>
          <w:bCs/>
          <w:color w:val="auto"/>
          <w:sz w:val="24"/>
          <w:szCs w:val="24"/>
          <w:highlight w:val="none"/>
          <w:lang w:val="en-US" w:eastAsia="zh-CN"/>
        </w:rPr>
        <w:t xml:space="preserve">220kV </w:t>
      </w:r>
      <w:r>
        <w:rPr>
          <w:rFonts w:hint="eastAsia" w:asciiTheme="minorEastAsia" w:hAnsiTheme="minorEastAsia" w:eastAsiaTheme="minorEastAsia" w:cstheme="minorEastAsia"/>
          <w:b w:val="0"/>
          <w:bCs/>
          <w:color w:val="auto"/>
          <w:sz w:val="24"/>
          <w:szCs w:val="24"/>
          <w:highlight w:val="none"/>
          <w:lang w:val="en-US" w:eastAsia="zh-CN"/>
        </w:rPr>
        <w:t>员热至科北双回电缆线路，由地铁十一号线综合管廊内</w:t>
      </w:r>
      <w:r>
        <w:rPr>
          <w:rFonts w:hint="default" w:asciiTheme="minorEastAsia" w:hAnsiTheme="minorEastAsia" w:eastAsiaTheme="minorEastAsia" w:cstheme="minorEastAsia"/>
          <w:b w:val="0"/>
          <w:bCs/>
          <w:color w:val="auto"/>
          <w:sz w:val="24"/>
          <w:szCs w:val="24"/>
          <w:highlight w:val="none"/>
          <w:lang w:val="en-US" w:eastAsia="zh-CN"/>
        </w:rPr>
        <w:t xml:space="preserve">#5 </w:t>
      </w:r>
      <w:r>
        <w:rPr>
          <w:rFonts w:hint="eastAsia" w:asciiTheme="minorEastAsia" w:hAnsiTheme="minorEastAsia" w:eastAsiaTheme="minorEastAsia" w:cstheme="minorEastAsia"/>
          <w:b w:val="0"/>
          <w:bCs/>
          <w:color w:val="auto"/>
          <w:sz w:val="24"/>
          <w:szCs w:val="24"/>
          <w:highlight w:val="none"/>
          <w:lang w:val="en-US" w:eastAsia="zh-CN"/>
        </w:rPr>
        <w:t>接头附近起，新建</w:t>
      </w:r>
      <w:r>
        <w:rPr>
          <w:rFonts w:hint="default" w:asciiTheme="minorEastAsia" w:hAnsiTheme="minorEastAsia" w:eastAsiaTheme="minorEastAsia" w:cstheme="minorEastAsia"/>
          <w:b w:val="0"/>
          <w:bCs/>
          <w:color w:val="auto"/>
          <w:sz w:val="24"/>
          <w:szCs w:val="24"/>
          <w:highlight w:val="none"/>
          <w:lang w:val="en-US" w:eastAsia="zh-CN"/>
        </w:rPr>
        <w:t>2</w:t>
      </w:r>
      <w:r>
        <w:rPr>
          <w:rFonts w:hint="eastAsia" w:asciiTheme="minorEastAsia" w:hAnsiTheme="minorEastAsia" w:eastAsiaTheme="minorEastAsia" w:cstheme="minorEastAsia"/>
          <w:b w:val="0"/>
          <w:bCs/>
          <w:color w:val="auto"/>
          <w:sz w:val="24"/>
          <w:szCs w:val="24"/>
          <w:highlight w:val="none"/>
          <w:lang w:val="en-US" w:eastAsia="zh-CN"/>
        </w:rPr>
        <w:t>条</w:t>
      </w:r>
      <w:r>
        <w:rPr>
          <w:rFonts w:hint="default" w:asciiTheme="minorEastAsia" w:hAnsiTheme="minorEastAsia" w:eastAsiaTheme="minorEastAsia" w:cstheme="minorEastAsia"/>
          <w:b w:val="0"/>
          <w:bCs/>
          <w:color w:val="auto"/>
          <w:sz w:val="24"/>
          <w:szCs w:val="24"/>
          <w:highlight w:val="none"/>
          <w:lang w:val="en-US" w:eastAsia="zh-CN"/>
        </w:rPr>
        <w:t>48</w:t>
      </w:r>
      <w:r>
        <w:rPr>
          <w:rFonts w:hint="eastAsia" w:asciiTheme="minorEastAsia" w:hAnsiTheme="minorEastAsia" w:eastAsiaTheme="minorEastAsia" w:cstheme="minorEastAsia"/>
          <w:b w:val="0"/>
          <w:bCs/>
          <w:color w:val="auto"/>
          <w:sz w:val="24"/>
          <w:szCs w:val="24"/>
          <w:highlight w:val="none"/>
          <w:lang w:val="en-US" w:eastAsia="zh-CN"/>
        </w:rPr>
        <w:t>芯管道光缆至棠下站通信机房，单条长约</w:t>
      </w:r>
      <w:r>
        <w:rPr>
          <w:rFonts w:hint="default" w:asciiTheme="minorEastAsia" w:hAnsiTheme="minorEastAsia" w:eastAsiaTheme="minorEastAsia" w:cstheme="minorEastAsia"/>
          <w:b w:val="0"/>
          <w:bCs/>
          <w:color w:val="auto"/>
          <w:sz w:val="24"/>
          <w:szCs w:val="24"/>
          <w:highlight w:val="none"/>
          <w:lang w:val="en-US" w:eastAsia="zh-CN"/>
        </w:rPr>
        <w:t>0.8km</w:t>
      </w:r>
      <w:r>
        <w:rPr>
          <w:rFonts w:hint="eastAsia" w:asciiTheme="minorEastAsia" w:hAnsiTheme="minorEastAsia" w:eastAsiaTheme="minorEastAsia" w:cstheme="minorEastAsia"/>
          <w:b w:val="0"/>
          <w:bCs/>
          <w:color w:val="auto"/>
          <w:sz w:val="24"/>
          <w:szCs w:val="24"/>
          <w:highlight w:val="none"/>
          <w:lang w:val="en-US" w:eastAsia="zh-CN"/>
        </w:rPr>
        <w:t>；甲缆用于恢复棠下</w:t>
      </w:r>
      <w:r>
        <w:rPr>
          <w:rFonts w:hint="default" w:asciiTheme="minorEastAsia" w:hAnsiTheme="minorEastAsia" w:eastAsiaTheme="minorEastAsia" w:cstheme="minorEastAsia"/>
          <w:b w:val="0"/>
          <w:bCs/>
          <w:color w:val="auto"/>
          <w:sz w:val="24"/>
          <w:szCs w:val="24"/>
          <w:highlight w:val="none"/>
          <w:lang w:val="en-US" w:eastAsia="zh-CN"/>
        </w:rPr>
        <w:t>-</w:t>
      </w:r>
      <w:r>
        <w:rPr>
          <w:rFonts w:hint="eastAsia" w:asciiTheme="minorEastAsia" w:hAnsiTheme="minorEastAsia" w:eastAsiaTheme="minorEastAsia" w:cstheme="minorEastAsia"/>
          <w:b w:val="0"/>
          <w:bCs/>
          <w:color w:val="auto"/>
          <w:sz w:val="24"/>
          <w:szCs w:val="24"/>
          <w:highlight w:val="none"/>
          <w:lang w:val="en-US" w:eastAsia="zh-CN"/>
        </w:rPr>
        <w:t xml:space="preserve">员热 </w:t>
      </w:r>
      <w:r>
        <w:rPr>
          <w:rFonts w:hint="default" w:asciiTheme="minorEastAsia" w:hAnsiTheme="minorEastAsia" w:eastAsiaTheme="minorEastAsia" w:cstheme="minorEastAsia"/>
          <w:b w:val="0"/>
          <w:bCs/>
          <w:color w:val="auto"/>
          <w:sz w:val="24"/>
          <w:szCs w:val="24"/>
          <w:highlight w:val="none"/>
          <w:lang w:val="en-US" w:eastAsia="zh-CN"/>
        </w:rPr>
        <w:t xml:space="preserve">48 </w:t>
      </w:r>
      <w:r>
        <w:rPr>
          <w:rFonts w:hint="eastAsia" w:asciiTheme="minorEastAsia" w:hAnsiTheme="minorEastAsia" w:eastAsiaTheme="minorEastAsia" w:cstheme="minorEastAsia"/>
          <w:b w:val="0"/>
          <w:bCs/>
          <w:color w:val="auto"/>
          <w:sz w:val="24"/>
          <w:szCs w:val="24"/>
          <w:highlight w:val="none"/>
          <w:lang w:val="en-US" w:eastAsia="zh-CN"/>
        </w:rPr>
        <w:t>芯管道光缆甲，乙缆用于形成员热</w:t>
      </w:r>
      <w:r>
        <w:rPr>
          <w:rFonts w:hint="default" w:asciiTheme="minorEastAsia" w:hAnsiTheme="minorEastAsia" w:eastAsiaTheme="minorEastAsia" w:cstheme="minorEastAsia"/>
          <w:b w:val="0"/>
          <w:bCs/>
          <w:color w:val="auto"/>
          <w:sz w:val="24"/>
          <w:szCs w:val="24"/>
          <w:highlight w:val="none"/>
          <w:lang w:val="en-US" w:eastAsia="zh-CN"/>
        </w:rPr>
        <w:t>-</w:t>
      </w:r>
      <w:r>
        <w:rPr>
          <w:rFonts w:hint="eastAsia" w:asciiTheme="minorEastAsia" w:hAnsiTheme="minorEastAsia" w:eastAsiaTheme="minorEastAsia" w:cstheme="minorEastAsia"/>
          <w:b w:val="0"/>
          <w:bCs/>
          <w:color w:val="auto"/>
          <w:sz w:val="24"/>
          <w:szCs w:val="24"/>
          <w:highlight w:val="none"/>
          <w:lang w:val="en-US" w:eastAsia="zh-CN"/>
        </w:rPr>
        <w:t xml:space="preserve">科北 </w:t>
      </w:r>
      <w:r>
        <w:rPr>
          <w:rFonts w:hint="default" w:asciiTheme="minorEastAsia" w:hAnsiTheme="minorEastAsia" w:eastAsiaTheme="minorEastAsia" w:cstheme="minorEastAsia"/>
          <w:b w:val="0"/>
          <w:bCs/>
          <w:color w:val="auto"/>
          <w:sz w:val="24"/>
          <w:szCs w:val="24"/>
          <w:highlight w:val="none"/>
          <w:lang w:val="en-US" w:eastAsia="zh-CN"/>
        </w:rPr>
        <w:t>48</w:t>
      </w:r>
      <w:r>
        <w:rPr>
          <w:rFonts w:hint="eastAsia" w:asciiTheme="minorEastAsia" w:hAnsiTheme="minorEastAsia" w:eastAsiaTheme="minorEastAsia" w:cstheme="minorEastAsia"/>
          <w:b w:val="0"/>
          <w:bCs/>
          <w:color w:val="auto"/>
          <w:sz w:val="24"/>
          <w:szCs w:val="24"/>
          <w:highlight w:val="none"/>
          <w:lang w:val="en-US" w:eastAsia="zh-CN"/>
        </w:rPr>
        <w:t>芯光缆。</w:t>
      </w:r>
    </w:p>
    <w:p>
      <w:pPr>
        <w:pStyle w:val="2"/>
        <w:keepNext w:val="0"/>
        <w:keepLines w:val="0"/>
        <w:pageBreakBefore w:val="0"/>
        <w:widowControl w:val="0"/>
        <w:kinsoku/>
        <w:wordWrap/>
        <w:overflowPunct/>
        <w:topLinePunct w:val="0"/>
        <w:autoSpaceDE/>
        <w:autoSpaceDN/>
        <w:bidi w:val="0"/>
        <w:spacing w:line="360" w:lineRule="exact"/>
        <w:textAlignment w:val="auto"/>
        <w:rPr>
          <w:rFonts w:hint="eastAsia" w:eastAsiaTheme="minorEastAsia"/>
          <w:color w:val="auto"/>
          <w:lang w:eastAsia="zh-CN"/>
        </w:rPr>
      </w:pPr>
      <w:r>
        <w:rPr>
          <w:rFonts w:hint="eastAsia" w:asciiTheme="minorEastAsia" w:hAnsiTheme="minorEastAsia" w:eastAsiaTheme="minorEastAsia" w:cstheme="minorEastAsia"/>
          <w:b w:val="0"/>
          <w:bCs/>
          <w:color w:val="auto"/>
          <w:sz w:val="24"/>
          <w:szCs w:val="24"/>
          <w:highlight w:val="none"/>
          <w:lang w:val="en-US" w:eastAsia="zh-CN"/>
        </w:rPr>
        <w:t>（5）站内通信工程：在碧山站、奥林站传输新A网设备上各配置2块STM-64光接口板，在奥林站传输新网B设备配置1块STM-64光接口板以及1块2M光接口板，在原有光接口板上新增1个10G光模块；在碧山站传输新网B设备配置1块2M光接口板，在原有光接口板上新增2个10G光模块。</w:t>
      </w:r>
    </w:p>
    <w:p>
      <w:pPr>
        <w:keepNext w:val="0"/>
        <w:keepLines w:val="0"/>
        <w:pageBreakBefore w:val="0"/>
        <w:widowControl w:val="0"/>
        <w:kinsoku/>
        <w:wordWrap/>
        <w:overflowPunct/>
        <w:topLinePunct w:val="0"/>
        <w:autoSpaceDE/>
        <w:autoSpaceDN/>
        <w:bidi w:val="0"/>
        <w:snapToGrid/>
        <w:spacing w:before="157" w:beforeLines="50" w:after="157" w:afterLines="50" w:line="360" w:lineRule="exact"/>
        <w:ind w:firstLine="482" w:firstLineChars="200"/>
        <w:textAlignment w:val="auto"/>
        <w:rPr>
          <w:rFonts w:hint="eastAsia"/>
          <w:b/>
          <w:bCs/>
          <w:color w:val="auto"/>
        </w:rPr>
      </w:pPr>
      <w:r>
        <w:rPr>
          <w:rFonts w:hint="default" w:ascii="Times New Roman" w:hAnsi="Times New Roman" w:cs="Times New Roman" w:eastAsiaTheme="minorEastAsia"/>
          <w:b/>
          <w:bCs/>
          <w:i w:val="0"/>
          <w:iCs/>
          <w:color w:val="auto"/>
          <w:kern w:val="2"/>
          <w:sz w:val="24"/>
          <w:szCs w:val="24"/>
          <w:highlight w:val="none"/>
          <w:u w:val="single"/>
          <w:lang w:val="en-US" w:eastAsia="zh-CN" w:bidi="ar-SA"/>
        </w:rPr>
        <w:t>具体规模以施工图为准。</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exact"/>
        <w:textAlignment w:val="auto"/>
        <w:rPr>
          <w:rFonts w:hint="eastAsia"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二、招标采购范围</w:t>
      </w:r>
    </w:p>
    <w:p>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勘察设计、施工准备（含三通一平）、施工（含通信）、竣工结算、缺陷责任期、电子化移交的全过程监理，以及初步设计概算（或施工图预算）中监理计费范围以外但与工程相关的监理工作。按照建设单位要求使用工程信息管理系统。</w:t>
      </w:r>
    </w:p>
    <w:p>
      <w:pPr>
        <w:pStyle w:val="6"/>
        <w:keepNext w:val="0"/>
        <w:keepLines w:val="0"/>
        <w:pageBreakBefore w:val="0"/>
        <w:numPr>
          <w:ilvl w:val="0"/>
          <w:numId w:val="0"/>
        </w:numPr>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p>
    <w:p>
      <w:pPr>
        <w:pStyle w:val="6"/>
        <w:keepNext w:val="0"/>
        <w:keepLines w:val="0"/>
        <w:pageBreakBefore w:val="0"/>
        <w:numPr>
          <w:ilvl w:val="0"/>
          <w:numId w:val="0"/>
        </w:numPr>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三、报价表</w:t>
      </w:r>
    </w:p>
    <w:tbl>
      <w:tblPr>
        <w:tblStyle w:val="11"/>
        <w:tblW w:w="5000" w:type="pct"/>
        <w:jc w:val="center"/>
        <w:shd w:val="clear" w:color="auto" w:fill="FFFFFF" w:themeFill="background1"/>
        <w:tblLayout w:type="fixed"/>
        <w:tblCellMar>
          <w:top w:w="0" w:type="dxa"/>
          <w:left w:w="0" w:type="dxa"/>
          <w:bottom w:w="0" w:type="dxa"/>
          <w:right w:w="0" w:type="dxa"/>
        </w:tblCellMar>
      </w:tblPr>
      <w:tblGrid>
        <w:gridCol w:w="791"/>
        <w:gridCol w:w="4705"/>
        <w:gridCol w:w="1470"/>
        <w:gridCol w:w="1005"/>
        <w:gridCol w:w="1207"/>
        <w:gridCol w:w="784"/>
      </w:tblGrid>
      <w:tr>
        <w:tblPrEx>
          <w:shd w:val="clear" w:color="auto" w:fill="FFFFFF" w:themeFill="background1"/>
          <w:tblCellMar>
            <w:top w:w="0" w:type="dxa"/>
            <w:left w:w="0" w:type="dxa"/>
            <w:bottom w:w="0" w:type="dxa"/>
            <w:right w:w="0" w:type="dxa"/>
          </w:tblCellMar>
        </w:tblPrEx>
        <w:trPr>
          <w:trHeight w:val="136" w:hRule="atLeast"/>
          <w:tblHeader/>
          <w:jc w:val="center"/>
        </w:trPr>
        <w:tc>
          <w:tcPr>
            <w:tcW w:w="9962" w:type="dxa"/>
            <w:gridSpan w:val="6"/>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b w:val="0"/>
                <w:bCs/>
                <w:color w:val="auto"/>
                <w:sz w:val="21"/>
                <w:szCs w:val="21"/>
                <w:highlight w:val="none"/>
                <w:u w:val="none"/>
                <w:lang w:val="en-US" w:eastAsia="zh-CN"/>
              </w:rPr>
            </w:pPr>
            <w:r>
              <w:rPr>
                <w:rFonts w:hint="eastAsia" w:ascii="宋体" w:hAnsi="宋体" w:eastAsia="宋体" w:cs="宋体"/>
                <w:b/>
                <w:i w:val="0"/>
                <w:color w:val="auto"/>
                <w:kern w:val="0"/>
                <w:sz w:val="21"/>
                <w:szCs w:val="21"/>
                <w:highlight w:val="none"/>
                <w:u w:val="none"/>
                <w:lang w:val="en-US" w:eastAsia="zh-CN" w:bidi="ar"/>
              </w:rPr>
              <w:t>基建监理报价表</w:t>
            </w:r>
          </w:p>
        </w:tc>
      </w:tr>
      <w:tr>
        <w:tblPrEx>
          <w:shd w:val="clear" w:color="auto" w:fill="FFFFFF" w:themeFill="background1"/>
          <w:tblCellMar>
            <w:top w:w="0" w:type="dxa"/>
            <w:left w:w="0" w:type="dxa"/>
            <w:bottom w:w="0" w:type="dxa"/>
            <w:right w:w="0" w:type="dxa"/>
          </w:tblCellMar>
        </w:tblPrEx>
        <w:trPr>
          <w:trHeight w:val="136" w:hRule="atLeast"/>
          <w:tblHeader/>
          <w:jc w:val="center"/>
        </w:trPr>
        <w:tc>
          <w:tcPr>
            <w:tcW w:w="791"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b w:val="0"/>
                <w:bCs/>
                <w:color w:val="auto"/>
                <w:sz w:val="21"/>
                <w:szCs w:val="21"/>
                <w:highlight w:val="none"/>
                <w:u w:val="none"/>
              </w:rPr>
            </w:pPr>
            <w:r>
              <w:rPr>
                <w:rFonts w:hint="eastAsia" w:ascii="宋体" w:hAnsi="宋体" w:eastAsia="宋体" w:cs="宋体"/>
                <w:b w:val="0"/>
                <w:bCs/>
                <w:color w:val="auto"/>
                <w:sz w:val="21"/>
                <w:szCs w:val="21"/>
                <w:highlight w:val="none"/>
                <w:u w:val="none"/>
                <w:lang w:val="en-US" w:eastAsia="zh-CN"/>
              </w:rPr>
              <w:t>序号</w:t>
            </w:r>
          </w:p>
        </w:tc>
        <w:tc>
          <w:tcPr>
            <w:tcW w:w="470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b w:val="0"/>
                <w:bCs/>
                <w:color w:val="auto"/>
                <w:sz w:val="21"/>
                <w:szCs w:val="21"/>
                <w:highlight w:val="none"/>
                <w:u w:val="none"/>
              </w:rPr>
            </w:pPr>
            <w:r>
              <w:rPr>
                <w:rFonts w:hint="eastAsia" w:ascii="宋体" w:hAnsi="宋体" w:eastAsia="宋体" w:cs="宋体"/>
                <w:b w:val="0"/>
                <w:bCs/>
                <w:color w:val="auto"/>
                <w:sz w:val="21"/>
                <w:szCs w:val="21"/>
                <w:highlight w:val="none"/>
                <w:u w:val="none"/>
              </w:rPr>
              <w:t>工程或费用名称</w:t>
            </w:r>
          </w:p>
        </w:tc>
        <w:tc>
          <w:tcPr>
            <w:tcW w:w="1470"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b w:val="0"/>
                <w:bCs/>
                <w:color w:val="auto"/>
                <w:sz w:val="21"/>
                <w:szCs w:val="21"/>
                <w:highlight w:val="none"/>
                <w:u w:val="none"/>
              </w:rPr>
            </w:pPr>
            <w:r>
              <w:rPr>
                <w:rFonts w:hint="eastAsia" w:ascii="宋体" w:hAnsi="宋体" w:eastAsia="宋体" w:cs="宋体"/>
                <w:b w:val="0"/>
                <w:bCs/>
                <w:color w:val="auto"/>
                <w:sz w:val="21"/>
                <w:szCs w:val="21"/>
                <w:highlight w:val="none"/>
                <w:u w:val="none"/>
                <w:lang w:val="en-US" w:eastAsia="zh-CN"/>
              </w:rPr>
              <w:t>最高投标限价（元）</w:t>
            </w:r>
          </w:p>
        </w:tc>
        <w:tc>
          <w:tcPr>
            <w:tcW w:w="100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b w:val="0"/>
                <w:bCs/>
                <w:color w:val="auto"/>
                <w:sz w:val="21"/>
                <w:szCs w:val="21"/>
                <w:highlight w:val="none"/>
                <w:u w:val="none"/>
                <w:lang w:val="en-US" w:eastAsia="zh-CN"/>
              </w:rPr>
            </w:pPr>
            <w:r>
              <w:rPr>
                <w:rFonts w:hint="eastAsia" w:ascii="宋体" w:hAnsi="宋体" w:eastAsia="宋体" w:cs="宋体"/>
                <w:b w:val="0"/>
                <w:bCs/>
                <w:color w:val="auto"/>
                <w:sz w:val="21"/>
                <w:szCs w:val="21"/>
                <w:highlight w:val="none"/>
                <w:u w:val="none"/>
                <w:lang w:val="en-US" w:eastAsia="zh-CN"/>
              </w:rPr>
              <w:t>投标下浮率（%）</w:t>
            </w:r>
          </w:p>
        </w:tc>
        <w:tc>
          <w:tcPr>
            <w:tcW w:w="120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b w:val="0"/>
                <w:bCs/>
                <w:color w:val="auto"/>
                <w:sz w:val="21"/>
                <w:szCs w:val="21"/>
                <w:highlight w:val="none"/>
                <w:u w:val="none"/>
              </w:rPr>
            </w:pPr>
            <w:r>
              <w:rPr>
                <w:rFonts w:hint="eastAsia" w:ascii="宋体" w:hAnsi="宋体" w:eastAsia="宋体" w:cs="宋体"/>
                <w:b w:val="0"/>
                <w:bCs/>
                <w:color w:val="auto"/>
                <w:sz w:val="21"/>
                <w:szCs w:val="21"/>
                <w:highlight w:val="none"/>
                <w:u w:val="none"/>
                <w:lang w:val="en-US" w:eastAsia="zh-CN"/>
              </w:rPr>
              <w:t>投标报价（元）</w:t>
            </w:r>
          </w:p>
        </w:tc>
        <w:tc>
          <w:tcPr>
            <w:tcW w:w="784"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宋体"/>
                <w:b w:val="0"/>
                <w:bCs/>
                <w:color w:val="auto"/>
                <w:sz w:val="21"/>
                <w:szCs w:val="21"/>
                <w:highlight w:val="none"/>
                <w:u w:val="none"/>
              </w:rPr>
            </w:pPr>
            <w:r>
              <w:rPr>
                <w:rFonts w:hint="eastAsia" w:ascii="宋体" w:hAnsi="宋体" w:eastAsia="宋体" w:cs="宋体"/>
                <w:b w:val="0"/>
                <w:bCs/>
                <w:color w:val="auto"/>
                <w:sz w:val="21"/>
                <w:szCs w:val="21"/>
                <w:highlight w:val="none"/>
                <w:u w:val="none"/>
                <w:lang w:val="en-US" w:eastAsia="zh-CN"/>
              </w:rPr>
              <w:t>备注</w:t>
            </w:r>
          </w:p>
        </w:tc>
      </w:tr>
      <w:tr>
        <w:tblPrEx>
          <w:shd w:val="clear" w:color="auto" w:fill="FFFFFF" w:themeFill="background1"/>
          <w:tblCellMar>
            <w:top w:w="0" w:type="dxa"/>
            <w:left w:w="0" w:type="dxa"/>
            <w:bottom w:w="0" w:type="dxa"/>
            <w:right w:w="0" w:type="dxa"/>
          </w:tblCellMar>
        </w:tblPrEx>
        <w:trPr>
          <w:trHeight w:val="136" w:hRule="atLeast"/>
          <w:jc w:val="center"/>
        </w:trPr>
        <w:tc>
          <w:tcPr>
            <w:tcW w:w="791"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color w:val="auto"/>
                <w:sz w:val="21"/>
                <w:szCs w:val="21"/>
                <w:highlight w:val="none"/>
                <w:u w:val="none"/>
                <w:lang w:val="en-US" w:eastAsia="zh-CN"/>
              </w:rPr>
            </w:pPr>
            <w:r>
              <w:rPr>
                <w:rFonts w:hint="eastAsia" w:ascii="宋体" w:hAnsi="宋体" w:eastAsia="宋体" w:cs="宋体"/>
                <w:b/>
                <w:bCs/>
                <w:color w:val="000000"/>
                <w:lang w:val="en-US" w:eastAsia="zh-CN"/>
              </w:rPr>
              <w:t>一</w:t>
            </w:r>
          </w:p>
        </w:tc>
        <w:tc>
          <w:tcPr>
            <w:tcW w:w="470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eastAsia" w:ascii="宋体" w:hAnsi="宋体" w:eastAsia="宋体" w:cs="宋体"/>
                <w:color w:val="auto"/>
                <w:sz w:val="21"/>
                <w:szCs w:val="21"/>
                <w:highlight w:val="none"/>
                <w:u w:val="none"/>
                <w:lang w:val="en-US" w:eastAsia="zh-CN"/>
              </w:rPr>
            </w:pPr>
            <w:r>
              <w:rPr>
                <w:rFonts w:hint="eastAsia" w:ascii="宋体" w:hAnsi="宋体" w:eastAsia="宋体" w:cs="宋体"/>
                <w:b/>
                <w:bCs/>
                <w:i w:val="0"/>
                <w:iCs w:val="0"/>
                <w:color w:val="000000"/>
                <w:kern w:val="0"/>
                <w:sz w:val="21"/>
                <w:szCs w:val="21"/>
                <w:u w:val="none"/>
                <w:lang w:val="en-US" w:eastAsia="zh-CN" w:bidi="ar"/>
              </w:rPr>
              <w:t>变电工程</w:t>
            </w:r>
          </w:p>
        </w:tc>
        <w:tc>
          <w:tcPr>
            <w:tcW w:w="1470"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000000"/>
                <w:kern w:val="0"/>
                <w:sz w:val="22"/>
                <w:szCs w:val="22"/>
                <w:u w:val="none"/>
                <w:lang w:val="en-US" w:eastAsia="zh-CN" w:bidi="ar"/>
              </w:rPr>
              <w:t>220410.05</w:t>
            </w:r>
          </w:p>
        </w:tc>
        <w:tc>
          <w:tcPr>
            <w:tcW w:w="1005" w:type="dxa"/>
            <w:vMerge w:val="restart"/>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lang w:val="en-US" w:eastAsia="zh-CN"/>
              </w:rPr>
            </w:pP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none"/>
                <w:lang w:val="en-US" w:eastAsia="zh-CN"/>
              </w:rPr>
              <w:t>%</w:t>
            </w:r>
          </w:p>
        </w:tc>
        <w:tc>
          <w:tcPr>
            <w:tcW w:w="120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784"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r>
      <w:tr>
        <w:tblPrEx>
          <w:shd w:val="clear" w:color="auto" w:fill="FFFFFF" w:themeFill="background1"/>
          <w:tblCellMar>
            <w:top w:w="0" w:type="dxa"/>
            <w:left w:w="0" w:type="dxa"/>
            <w:bottom w:w="0" w:type="dxa"/>
            <w:right w:w="0" w:type="dxa"/>
          </w:tblCellMar>
        </w:tblPrEx>
        <w:trPr>
          <w:trHeight w:val="136" w:hRule="atLeast"/>
          <w:jc w:val="center"/>
        </w:trPr>
        <w:tc>
          <w:tcPr>
            <w:tcW w:w="791"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center"/>
              <w:textAlignment w:val="center"/>
              <w:rPr>
                <w:rFonts w:hint="eastAsia" w:ascii="宋体" w:hAnsi="宋体" w:eastAsia="宋体" w:cs="宋体"/>
                <w:color w:val="auto"/>
                <w:sz w:val="21"/>
                <w:szCs w:val="21"/>
                <w:highlight w:val="none"/>
                <w:u w:val="none"/>
                <w:lang w:val="en-US" w:eastAsia="zh-CN"/>
              </w:rPr>
            </w:pPr>
            <w:r>
              <w:rPr>
                <w:rFonts w:hint="eastAsia" w:ascii="宋体" w:hAnsi="宋体" w:eastAsia="宋体" w:cs="宋体"/>
                <w:b/>
                <w:bCs/>
                <w:i w:val="0"/>
                <w:iCs w:val="0"/>
                <w:color w:val="000000"/>
                <w:kern w:val="0"/>
                <w:sz w:val="21"/>
                <w:szCs w:val="21"/>
                <w:u w:val="none"/>
                <w:lang w:val="en-US" w:eastAsia="zh-CN" w:bidi="ar"/>
              </w:rPr>
              <w:t>1</w:t>
            </w:r>
          </w:p>
        </w:tc>
        <w:tc>
          <w:tcPr>
            <w:tcW w:w="470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left"/>
              <w:textAlignment w:val="center"/>
              <w:rPr>
                <w:rFonts w:hint="eastAsia" w:ascii="宋体" w:hAnsi="宋体" w:eastAsia="宋体" w:cs="宋体"/>
                <w:color w:val="auto"/>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220kV碧山站改造（恒运东对侧）</w:t>
            </w:r>
          </w:p>
        </w:tc>
        <w:tc>
          <w:tcPr>
            <w:tcW w:w="1470"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000000"/>
                <w:kern w:val="0"/>
                <w:sz w:val="22"/>
                <w:szCs w:val="22"/>
                <w:u w:val="none"/>
                <w:lang w:val="en-US" w:eastAsia="zh-CN" w:bidi="ar"/>
              </w:rPr>
              <w:t xml:space="preserve">93186.29 </w:t>
            </w:r>
          </w:p>
        </w:tc>
        <w:tc>
          <w:tcPr>
            <w:tcW w:w="100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120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784"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r>
      <w:tr>
        <w:tblPrEx>
          <w:shd w:val="clear" w:color="auto" w:fill="FFFFFF" w:themeFill="background1"/>
          <w:tblCellMar>
            <w:top w:w="0" w:type="dxa"/>
            <w:left w:w="0" w:type="dxa"/>
            <w:bottom w:w="0" w:type="dxa"/>
            <w:right w:w="0" w:type="dxa"/>
          </w:tblCellMar>
        </w:tblPrEx>
        <w:trPr>
          <w:trHeight w:val="136" w:hRule="atLeast"/>
          <w:jc w:val="center"/>
        </w:trPr>
        <w:tc>
          <w:tcPr>
            <w:tcW w:w="791"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center"/>
              <w:textAlignment w:val="center"/>
              <w:rPr>
                <w:rFonts w:hint="eastAsia" w:ascii="宋体" w:hAnsi="宋体" w:eastAsia="宋体" w:cs="宋体"/>
                <w:color w:val="auto"/>
                <w:sz w:val="21"/>
                <w:szCs w:val="21"/>
                <w:highlight w:val="none"/>
                <w:u w:val="none"/>
                <w:lang w:val="en-US" w:eastAsia="zh-CN"/>
              </w:rPr>
            </w:pPr>
            <w:r>
              <w:rPr>
                <w:rFonts w:hint="eastAsia" w:ascii="宋体" w:hAnsi="宋体" w:eastAsia="宋体" w:cs="宋体"/>
                <w:b/>
                <w:bCs/>
                <w:i w:val="0"/>
                <w:iCs w:val="0"/>
                <w:color w:val="000000"/>
                <w:kern w:val="0"/>
                <w:sz w:val="21"/>
                <w:szCs w:val="21"/>
                <w:u w:val="none"/>
                <w:lang w:val="en-US" w:eastAsia="zh-CN" w:bidi="ar"/>
              </w:rPr>
              <w:t>2</w:t>
            </w:r>
          </w:p>
        </w:tc>
        <w:tc>
          <w:tcPr>
            <w:tcW w:w="470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left"/>
              <w:textAlignment w:val="center"/>
              <w:rPr>
                <w:rFonts w:hint="eastAsia" w:ascii="宋体" w:hAnsi="宋体" w:eastAsia="宋体" w:cs="宋体"/>
                <w:color w:val="auto"/>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220kV棠下站改造（恒运东对侧）</w:t>
            </w:r>
          </w:p>
        </w:tc>
        <w:tc>
          <w:tcPr>
            <w:tcW w:w="1470"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000000"/>
                <w:kern w:val="0"/>
                <w:sz w:val="22"/>
                <w:szCs w:val="22"/>
                <w:u w:val="none"/>
                <w:lang w:val="en-US" w:eastAsia="zh-CN" w:bidi="ar"/>
              </w:rPr>
              <w:t xml:space="preserve">29581.54 </w:t>
            </w:r>
          </w:p>
        </w:tc>
        <w:tc>
          <w:tcPr>
            <w:tcW w:w="100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120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784"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r>
      <w:tr>
        <w:tblPrEx>
          <w:shd w:val="clear" w:color="auto" w:fill="FFFFFF" w:themeFill="background1"/>
          <w:tblCellMar>
            <w:top w:w="0" w:type="dxa"/>
            <w:left w:w="0" w:type="dxa"/>
            <w:bottom w:w="0" w:type="dxa"/>
            <w:right w:w="0" w:type="dxa"/>
          </w:tblCellMar>
        </w:tblPrEx>
        <w:trPr>
          <w:trHeight w:val="136" w:hRule="atLeast"/>
          <w:jc w:val="center"/>
        </w:trPr>
        <w:tc>
          <w:tcPr>
            <w:tcW w:w="791"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center"/>
              <w:textAlignment w:val="center"/>
              <w:rPr>
                <w:rFonts w:hint="eastAsia" w:ascii="宋体" w:hAnsi="宋体" w:eastAsia="宋体" w:cs="宋体"/>
                <w:color w:val="auto"/>
                <w:sz w:val="21"/>
                <w:szCs w:val="21"/>
                <w:highlight w:val="none"/>
                <w:u w:val="none"/>
                <w:lang w:val="en-US" w:eastAsia="zh-CN"/>
              </w:rPr>
            </w:pPr>
            <w:r>
              <w:rPr>
                <w:rFonts w:hint="eastAsia" w:ascii="宋体" w:hAnsi="宋体" w:eastAsia="宋体" w:cs="宋体"/>
                <w:b/>
                <w:bCs/>
                <w:i w:val="0"/>
                <w:iCs w:val="0"/>
                <w:color w:val="000000"/>
                <w:kern w:val="0"/>
                <w:sz w:val="21"/>
                <w:szCs w:val="21"/>
                <w:u w:val="none"/>
                <w:lang w:val="en-US" w:eastAsia="zh-CN" w:bidi="ar"/>
              </w:rPr>
              <w:t>3</w:t>
            </w:r>
          </w:p>
        </w:tc>
        <w:tc>
          <w:tcPr>
            <w:tcW w:w="470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left"/>
              <w:textAlignment w:val="center"/>
              <w:rPr>
                <w:rFonts w:hint="eastAsia" w:ascii="宋体" w:hAnsi="宋体" w:eastAsia="宋体" w:cs="宋体"/>
                <w:color w:val="auto"/>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220kV奥林变电站改造</w:t>
            </w:r>
          </w:p>
        </w:tc>
        <w:tc>
          <w:tcPr>
            <w:tcW w:w="1470"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000000"/>
                <w:kern w:val="0"/>
                <w:sz w:val="22"/>
                <w:szCs w:val="22"/>
                <w:u w:val="none"/>
                <w:lang w:val="en-US" w:eastAsia="zh-CN" w:bidi="ar"/>
              </w:rPr>
              <w:t xml:space="preserve">29598.50 </w:t>
            </w:r>
          </w:p>
        </w:tc>
        <w:tc>
          <w:tcPr>
            <w:tcW w:w="100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120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784"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r>
      <w:tr>
        <w:tblPrEx>
          <w:shd w:val="clear" w:color="auto" w:fill="FFFFFF" w:themeFill="background1"/>
          <w:tblCellMar>
            <w:top w:w="0" w:type="dxa"/>
            <w:left w:w="0" w:type="dxa"/>
            <w:bottom w:w="0" w:type="dxa"/>
            <w:right w:w="0" w:type="dxa"/>
          </w:tblCellMar>
        </w:tblPrEx>
        <w:trPr>
          <w:trHeight w:val="136" w:hRule="atLeast"/>
          <w:jc w:val="center"/>
        </w:trPr>
        <w:tc>
          <w:tcPr>
            <w:tcW w:w="791"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center"/>
              <w:textAlignment w:val="center"/>
              <w:rPr>
                <w:rFonts w:hint="eastAsia" w:ascii="宋体" w:hAnsi="宋体" w:eastAsia="宋体" w:cs="宋体"/>
                <w:color w:val="auto"/>
                <w:sz w:val="21"/>
                <w:szCs w:val="21"/>
                <w:highlight w:val="none"/>
                <w:u w:val="none"/>
                <w:lang w:val="en-US" w:eastAsia="zh-CN"/>
              </w:rPr>
            </w:pPr>
            <w:r>
              <w:rPr>
                <w:rFonts w:hint="eastAsia" w:ascii="宋体" w:hAnsi="宋体" w:eastAsia="宋体" w:cs="宋体"/>
                <w:b/>
                <w:bCs/>
                <w:i w:val="0"/>
                <w:iCs w:val="0"/>
                <w:color w:val="000000"/>
                <w:kern w:val="0"/>
                <w:sz w:val="21"/>
                <w:szCs w:val="21"/>
                <w:u w:val="none"/>
                <w:lang w:val="en-US" w:eastAsia="zh-CN" w:bidi="ar"/>
              </w:rPr>
              <w:t>4</w:t>
            </w:r>
          </w:p>
        </w:tc>
        <w:tc>
          <w:tcPr>
            <w:tcW w:w="470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left"/>
              <w:textAlignment w:val="center"/>
              <w:rPr>
                <w:rFonts w:hint="eastAsia" w:ascii="宋体" w:hAnsi="宋体" w:eastAsia="宋体" w:cs="宋体"/>
                <w:color w:val="auto"/>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220kV碧山变电站改造</w:t>
            </w:r>
          </w:p>
        </w:tc>
        <w:tc>
          <w:tcPr>
            <w:tcW w:w="1470"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000000"/>
                <w:kern w:val="0"/>
                <w:sz w:val="22"/>
                <w:szCs w:val="22"/>
                <w:u w:val="none"/>
                <w:lang w:val="en-US" w:eastAsia="zh-CN" w:bidi="ar"/>
              </w:rPr>
              <w:t xml:space="preserve">48340.23 </w:t>
            </w:r>
          </w:p>
        </w:tc>
        <w:tc>
          <w:tcPr>
            <w:tcW w:w="100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120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784"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r>
      <w:tr>
        <w:tblPrEx>
          <w:shd w:val="clear" w:color="auto" w:fill="FFFFFF" w:themeFill="background1"/>
          <w:tblCellMar>
            <w:top w:w="0" w:type="dxa"/>
            <w:left w:w="0" w:type="dxa"/>
            <w:bottom w:w="0" w:type="dxa"/>
            <w:right w:w="0" w:type="dxa"/>
          </w:tblCellMar>
        </w:tblPrEx>
        <w:trPr>
          <w:trHeight w:val="136" w:hRule="atLeast"/>
          <w:jc w:val="center"/>
        </w:trPr>
        <w:tc>
          <w:tcPr>
            <w:tcW w:w="791"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center"/>
              <w:textAlignment w:val="center"/>
              <w:rPr>
                <w:rFonts w:hint="eastAsia" w:ascii="宋体" w:hAnsi="宋体" w:eastAsia="宋体" w:cs="宋体"/>
                <w:color w:val="auto"/>
                <w:sz w:val="21"/>
                <w:szCs w:val="21"/>
                <w:lang w:val="en-US" w:eastAsia="zh-CN"/>
              </w:rPr>
            </w:pPr>
            <w:r>
              <w:rPr>
                <w:rFonts w:hint="eastAsia" w:ascii="宋体" w:hAnsi="宋体" w:eastAsia="宋体" w:cs="宋体"/>
                <w:b/>
                <w:bCs/>
                <w:i w:val="0"/>
                <w:iCs w:val="0"/>
                <w:color w:val="000000"/>
                <w:kern w:val="0"/>
                <w:sz w:val="21"/>
                <w:szCs w:val="21"/>
                <w:u w:val="none"/>
                <w:lang w:val="en-US" w:eastAsia="zh-CN" w:bidi="ar"/>
              </w:rPr>
              <w:t>5</w:t>
            </w:r>
          </w:p>
        </w:tc>
        <w:tc>
          <w:tcPr>
            <w:tcW w:w="470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220kV棠下变电站改造</w:t>
            </w:r>
          </w:p>
        </w:tc>
        <w:tc>
          <w:tcPr>
            <w:tcW w:w="1470"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3999.13 </w:t>
            </w:r>
          </w:p>
        </w:tc>
        <w:tc>
          <w:tcPr>
            <w:tcW w:w="100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120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784"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r>
      <w:tr>
        <w:tblPrEx>
          <w:shd w:val="clear" w:color="auto" w:fill="FFFFFF" w:themeFill="background1"/>
          <w:tblCellMar>
            <w:top w:w="0" w:type="dxa"/>
            <w:left w:w="0" w:type="dxa"/>
            <w:bottom w:w="0" w:type="dxa"/>
            <w:right w:w="0" w:type="dxa"/>
          </w:tblCellMar>
        </w:tblPrEx>
        <w:trPr>
          <w:trHeight w:val="136" w:hRule="atLeast"/>
          <w:jc w:val="center"/>
        </w:trPr>
        <w:tc>
          <w:tcPr>
            <w:tcW w:w="791"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center"/>
              <w:textAlignment w:val="center"/>
              <w:rPr>
                <w:rFonts w:hint="eastAsia" w:ascii="宋体" w:hAnsi="宋体" w:eastAsia="宋体" w:cs="宋体"/>
                <w:color w:val="auto"/>
                <w:sz w:val="21"/>
                <w:szCs w:val="21"/>
                <w:lang w:val="en-US" w:eastAsia="zh-CN"/>
              </w:rPr>
            </w:pPr>
            <w:r>
              <w:rPr>
                <w:rFonts w:hint="eastAsia" w:ascii="宋体" w:hAnsi="宋体" w:eastAsia="宋体" w:cs="宋体"/>
                <w:b/>
                <w:bCs/>
                <w:i w:val="0"/>
                <w:iCs w:val="0"/>
                <w:color w:val="000000"/>
                <w:kern w:val="0"/>
                <w:sz w:val="21"/>
                <w:szCs w:val="21"/>
                <w:u w:val="none"/>
                <w:lang w:val="en-US" w:eastAsia="zh-CN" w:bidi="ar"/>
              </w:rPr>
              <w:t>6</w:t>
            </w:r>
          </w:p>
        </w:tc>
        <w:tc>
          <w:tcPr>
            <w:tcW w:w="470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220kV员热变电站改造</w:t>
            </w:r>
          </w:p>
        </w:tc>
        <w:tc>
          <w:tcPr>
            <w:tcW w:w="1470"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15704.37 </w:t>
            </w:r>
          </w:p>
        </w:tc>
        <w:tc>
          <w:tcPr>
            <w:tcW w:w="100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120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784"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r>
      <w:tr>
        <w:tblPrEx>
          <w:shd w:val="clear" w:color="auto" w:fill="FFFFFF" w:themeFill="background1"/>
          <w:tblCellMar>
            <w:top w:w="0" w:type="dxa"/>
            <w:left w:w="0" w:type="dxa"/>
            <w:bottom w:w="0" w:type="dxa"/>
            <w:right w:w="0" w:type="dxa"/>
          </w:tblCellMar>
        </w:tblPrEx>
        <w:trPr>
          <w:trHeight w:val="136" w:hRule="atLeast"/>
          <w:jc w:val="center"/>
        </w:trPr>
        <w:tc>
          <w:tcPr>
            <w:tcW w:w="791"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color w:val="auto"/>
                <w:sz w:val="21"/>
                <w:szCs w:val="21"/>
                <w:highlight w:val="none"/>
                <w:u w:val="none"/>
                <w:lang w:val="en-US" w:eastAsia="zh-CN"/>
              </w:rPr>
            </w:pPr>
            <w:r>
              <w:rPr>
                <w:rFonts w:hint="eastAsia" w:ascii="宋体" w:hAnsi="宋体" w:eastAsia="宋体" w:cs="宋体"/>
                <w:b/>
                <w:bCs/>
                <w:i w:val="0"/>
                <w:iCs w:val="0"/>
                <w:color w:val="000000"/>
                <w:kern w:val="0"/>
                <w:sz w:val="20"/>
                <w:szCs w:val="20"/>
                <w:u w:val="none"/>
                <w:lang w:val="en-US" w:eastAsia="zh-CN" w:bidi="ar"/>
              </w:rPr>
              <w:t>二</w:t>
            </w:r>
          </w:p>
        </w:tc>
        <w:tc>
          <w:tcPr>
            <w:tcW w:w="470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center"/>
              <w:rPr>
                <w:rFonts w:hint="eastAsia" w:ascii="宋体" w:hAnsi="宋体" w:eastAsia="宋体" w:cs="宋体"/>
                <w:color w:val="auto"/>
                <w:sz w:val="21"/>
                <w:szCs w:val="21"/>
                <w:highlight w:val="none"/>
                <w:u w:val="none"/>
              </w:rPr>
            </w:pPr>
            <w:r>
              <w:rPr>
                <w:rFonts w:hint="eastAsia" w:ascii="宋体" w:hAnsi="宋体" w:eastAsia="宋体" w:cs="宋体"/>
                <w:b/>
                <w:bCs/>
                <w:i w:val="0"/>
                <w:iCs w:val="0"/>
                <w:color w:val="000000"/>
                <w:kern w:val="0"/>
                <w:sz w:val="20"/>
                <w:szCs w:val="20"/>
                <w:u w:val="none"/>
                <w:lang w:val="en-US" w:eastAsia="zh-CN" w:bidi="ar"/>
              </w:rPr>
              <w:t>线路工程</w:t>
            </w:r>
          </w:p>
        </w:tc>
        <w:tc>
          <w:tcPr>
            <w:tcW w:w="1470"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000000"/>
                <w:kern w:val="0"/>
                <w:sz w:val="22"/>
                <w:szCs w:val="22"/>
                <w:u w:val="none"/>
                <w:lang w:val="en-US" w:eastAsia="zh-CN" w:bidi="ar"/>
              </w:rPr>
              <w:t xml:space="preserve">785953.42 </w:t>
            </w:r>
          </w:p>
        </w:tc>
        <w:tc>
          <w:tcPr>
            <w:tcW w:w="100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120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784"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r>
      <w:tr>
        <w:tblPrEx>
          <w:shd w:val="clear" w:color="auto" w:fill="FFFFFF" w:themeFill="background1"/>
          <w:tblCellMar>
            <w:top w:w="0" w:type="dxa"/>
            <w:left w:w="0" w:type="dxa"/>
            <w:bottom w:w="0" w:type="dxa"/>
            <w:right w:w="0" w:type="dxa"/>
          </w:tblCellMar>
        </w:tblPrEx>
        <w:trPr>
          <w:trHeight w:val="136" w:hRule="atLeast"/>
          <w:jc w:val="center"/>
        </w:trPr>
        <w:tc>
          <w:tcPr>
            <w:tcW w:w="791"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color w:val="auto"/>
                <w:sz w:val="21"/>
                <w:szCs w:val="21"/>
                <w:highlight w:val="none"/>
                <w:u w:val="none"/>
                <w:lang w:val="en-US" w:eastAsia="zh-CN"/>
              </w:rPr>
            </w:pPr>
            <w:r>
              <w:rPr>
                <w:rFonts w:hint="eastAsia" w:ascii="宋体" w:hAnsi="宋体" w:eastAsia="宋体" w:cs="宋体"/>
                <w:i w:val="0"/>
                <w:iCs w:val="0"/>
                <w:color w:val="000000"/>
                <w:kern w:val="0"/>
                <w:sz w:val="20"/>
                <w:szCs w:val="20"/>
                <w:u w:val="none"/>
                <w:lang w:val="en-US" w:eastAsia="zh-CN" w:bidi="ar"/>
              </w:rPr>
              <w:t>1</w:t>
            </w:r>
          </w:p>
        </w:tc>
        <w:tc>
          <w:tcPr>
            <w:tcW w:w="470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center"/>
              <w:rPr>
                <w:rFonts w:hint="eastAsia" w:ascii="宋体" w:hAnsi="宋体" w:eastAsia="宋体" w:cs="宋体"/>
                <w:color w:val="auto"/>
                <w:sz w:val="21"/>
                <w:szCs w:val="21"/>
                <w:highlight w:val="none"/>
                <w:u w:val="none"/>
              </w:rPr>
            </w:pPr>
            <w:r>
              <w:rPr>
                <w:rFonts w:hint="eastAsia" w:ascii="宋体" w:hAnsi="宋体" w:eastAsia="宋体" w:cs="宋体"/>
                <w:i w:val="0"/>
                <w:iCs w:val="0"/>
                <w:color w:val="000000"/>
                <w:kern w:val="0"/>
                <w:sz w:val="20"/>
                <w:szCs w:val="20"/>
                <w:u w:val="none"/>
                <w:lang w:val="en-US" w:eastAsia="zh-CN" w:bidi="ar"/>
              </w:rPr>
              <w:t>220kV柔直至碧山临时方案单回电缆线路</w:t>
            </w:r>
          </w:p>
        </w:tc>
        <w:tc>
          <w:tcPr>
            <w:tcW w:w="1470"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000000"/>
                <w:kern w:val="0"/>
                <w:sz w:val="22"/>
                <w:szCs w:val="22"/>
                <w:u w:val="none"/>
                <w:lang w:val="en-US" w:eastAsia="zh-CN" w:bidi="ar"/>
              </w:rPr>
              <w:t xml:space="preserve">145722.32 </w:t>
            </w:r>
          </w:p>
        </w:tc>
        <w:tc>
          <w:tcPr>
            <w:tcW w:w="100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120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784"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r>
      <w:tr>
        <w:tblPrEx>
          <w:shd w:val="clear" w:color="auto" w:fill="FFFFFF" w:themeFill="background1"/>
          <w:tblCellMar>
            <w:top w:w="0" w:type="dxa"/>
            <w:left w:w="0" w:type="dxa"/>
            <w:bottom w:w="0" w:type="dxa"/>
            <w:right w:w="0" w:type="dxa"/>
          </w:tblCellMar>
        </w:tblPrEx>
        <w:trPr>
          <w:trHeight w:val="136" w:hRule="atLeast"/>
          <w:jc w:val="center"/>
        </w:trPr>
        <w:tc>
          <w:tcPr>
            <w:tcW w:w="791"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color w:val="auto"/>
                <w:sz w:val="21"/>
                <w:szCs w:val="21"/>
                <w:highlight w:val="none"/>
                <w:u w:val="none"/>
                <w:lang w:val="en-US" w:eastAsia="zh-CN"/>
              </w:rPr>
            </w:pPr>
            <w:r>
              <w:rPr>
                <w:rFonts w:hint="eastAsia" w:ascii="宋体" w:hAnsi="宋体" w:eastAsia="宋体" w:cs="宋体"/>
                <w:i w:val="0"/>
                <w:iCs w:val="0"/>
                <w:color w:val="auto"/>
                <w:kern w:val="0"/>
                <w:sz w:val="20"/>
                <w:szCs w:val="20"/>
                <w:u w:val="none"/>
                <w:lang w:val="en-US" w:eastAsia="zh-CN" w:bidi="ar"/>
              </w:rPr>
              <w:t>2</w:t>
            </w:r>
          </w:p>
        </w:tc>
        <w:tc>
          <w:tcPr>
            <w:tcW w:w="470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center"/>
              <w:rPr>
                <w:rFonts w:hint="eastAsia" w:ascii="宋体" w:hAnsi="宋体" w:eastAsia="宋体" w:cs="宋体"/>
                <w:color w:val="auto"/>
                <w:sz w:val="21"/>
                <w:szCs w:val="21"/>
                <w:highlight w:val="none"/>
                <w:u w:val="none"/>
              </w:rPr>
            </w:pPr>
            <w:r>
              <w:rPr>
                <w:rFonts w:hint="eastAsia" w:ascii="宋体" w:hAnsi="宋体" w:eastAsia="宋体" w:cs="宋体"/>
                <w:i w:val="0"/>
                <w:iCs w:val="0"/>
                <w:color w:val="auto"/>
                <w:kern w:val="0"/>
                <w:sz w:val="20"/>
                <w:szCs w:val="20"/>
                <w:u w:val="none"/>
                <w:lang w:val="en-US" w:eastAsia="zh-CN" w:bidi="ar"/>
              </w:rPr>
              <w:t>220kV奥林至碧山双回电缆线路</w:t>
            </w:r>
          </w:p>
        </w:tc>
        <w:tc>
          <w:tcPr>
            <w:tcW w:w="1470"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000000"/>
                <w:kern w:val="0"/>
                <w:sz w:val="22"/>
                <w:szCs w:val="22"/>
                <w:u w:val="none"/>
                <w:lang w:val="en-US" w:eastAsia="zh-CN" w:bidi="ar"/>
              </w:rPr>
              <w:t xml:space="preserve">380277.98 </w:t>
            </w:r>
          </w:p>
        </w:tc>
        <w:tc>
          <w:tcPr>
            <w:tcW w:w="100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120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784"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r>
      <w:tr>
        <w:tblPrEx>
          <w:shd w:val="clear" w:color="auto" w:fill="FFFFFF" w:themeFill="background1"/>
          <w:tblCellMar>
            <w:top w:w="0" w:type="dxa"/>
            <w:left w:w="0" w:type="dxa"/>
            <w:bottom w:w="0" w:type="dxa"/>
            <w:right w:w="0" w:type="dxa"/>
          </w:tblCellMar>
        </w:tblPrEx>
        <w:trPr>
          <w:trHeight w:val="136" w:hRule="atLeast"/>
          <w:jc w:val="center"/>
        </w:trPr>
        <w:tc>
          <w:tcPr>
            <w:tcW w:w="791"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color w:val="auto"/>
                <w:sz w:val="21"/>
                <w:szCs w:val="21"/>
                <w:highlight w:val="none"/>
                <w:u w:val="none"/>
                <w:lang w:val="en-US" w:eastAsia="zh-CN"/>
              </w:rPr>
            </w:pPr>
            <w:r>
              <w:rPr>
                <w:rFonts w:hint="eastAsia" w:ascii="宋体" w:hAnsi="宋体" w:eastAsia="宋体" w:cs="宋体"/>
                <w:i w:val="0"/>
                <w:iCs w:val="0"/>
                <w:color w:val="auto"/>
                <w:kern w:val="0"/>
                <w:sz w:val="20"/>
                <w:szCs w:val="20"/>
                <w:u w:val="none"/>
                <w:lang w:val="en-US" w:eastAsia="zh-CN" w:bidi="ar"/>
              </w:rPr>
              <w:t>3</w:t>
            </w:r>
          </w:p>
        </w:tc>
        <w:tc>
          <w:tcPr>
            <w:tcW w:w="470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center"/>
              <w:rPr>
                <w:rFonts w:hint="eastAsia" w:ascii="宋体" w:hAnsi="宋体" w:eastAsia="宋体" w:cs="宋体"/>
                <w:color w:val="auto"/>
                <w:sz w:val="21"/>
                <w:szCs w:val="21"/>
                <w:highlight w:val="none"/>
                <w:u w:val="none"/>
              </w:rPr>
            </w:pPr>
            <w:r>
              <w:rPr>
                <w:rFonts w:hint="eastAsia" w:ascii="宋体" w:hAnsi="宋体" w:eastAsia="宋体" w:cs="宋体"/>
                <w:i w:val="0"/>
                <w:iCs w:val="0"/>
                <w:color w:val="auto"/>
                <w:kern w:val="0"/>
                <w:sz w:val="20"/>
                <w:szCs w:val="20"/>
                <w:u w:val="none"/>
                <w:lang w:val="en-US" w:eastAsia="zh-CN" w:bidi="ar"/>
              </w:rPr>
              <w:t>220kV员热至科北双回电缆线路</w:t>
            </w:r>
          </w:p>
        </w:tc>
        <w:tc>
          <w:tcPr>
            <w:tcW w:w="1470"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000000"/>
                <w:kern w:val="0"/>
                <w:sz w:val="22"/>
                <w:szCs w:val="22"/>
                <w:u w:val="none"/>
                <w:lang w:val="en-US" w:eastAsia="zh-CN" w:bidi="ar"/>
              </w:rPr>
              <w:t xml:space="preserve">46975.75 </w:t>
            </w:r>
          </w:p>
        </w:tc>
        <w:tc>
          <w:tcPr>
            <w:tcW w:w="100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120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784"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r>
      <w:tr>
        <w:tblPrEx>
          <w:shd w:val="clear" w:color="auto" w:fill="FFFFFF" w:themeFill="background1"/>
          <w:tblCellMar>
            <w:top w:w="0" w:type="dxa"/>
            <w:left w:w="0" w:type="dxa"/>
            <w:bottom w:w="0" w:type="dxa"/>
            <w:right w:w="0" w:type="dxa"/>
          </w:tblCellMar>
        </w:tblPrEx>
        <w:trPr>
          <w:trHeight w:val="136" w:hRule="atLeast"/>
          <w:jc w:val="center"/>
        </w:trPr>
        <w:tc>
          <w:tcPr>
            <w:tcW w:w="791"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color w:val="auto"/>
                <w:sz w:val="21"/>
                <w:szCs w:val="21"/>
                <w:highlight w:val="none"/>
                <w:u w:val="none"/>
                <w:lang w:val="en-US" w:eastAsia="zh-CN"/>
              </w:rPr>
            </w:pPr>
            <w:r>
              <w:rPr>
                <w:rFonts w:hint="eastAsia" w:ascii="宋体" w:hAnsi="宋体" w:eastAsia="宋体" w:cs="宋体"/>
                <w:i w:val="0"/>
                <w:iCs w:val="0"/>
                <w:color w:val="auto"/>
                <w:kern w:val="0"/>
                <w:sz w:val="20"/>
                <w:szCs w:val="20"/>
                <w:u w:val="none"/>
                <w:lang w:val="en-US" w:eastAsia="zh-CN" w:bidi="ar"/>
              </w:rPr>
              <w:t>4</w:t>
            </w:r>
          </w:p>
        </w:tc>
        <w:tc>
          <w:tcPr>
            <w:tcW w:w="470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center"/>
              <w:rPr>
                <w:rFonts w:hint="eastAsia" w:ascii="宋体" w:hAnsi="宋体" w:eastAsia="宋体" w:cs="宋体"/>
                <w:color w:val="auto"/>
                <w:sz w:val="21"/>
                <w:szCs w:val="21"/>
                <w:highlight w:val="none"/>
                <w:u w:val="none"/>
              </w:rPr>
            </w:pPr>
            <w:r>
              <w:rPr>
                <w:rFonts w:hint="eastAsia" w:ascii="宋体" w:hAnsi="宋体" w:eastAsia="宋体" w:cs="宋体"/>
                <w:i w:val="0"/>
                <w:iCs w:val="0"/>
                <w:color w:val="auto"/>
                <w:kern w:val="0"/>
                <w:sz w:val="20"/>
                <w:szCs w:val="20"/>
                <w:u w:val="none"/>
                <w:lang w:val="en-US" w:eastAsia="zh-CN" w:bidi="ar"/>
              </w:rPr>
              <w:t>220kV柔直至碧山最终方案单回电缆线路</w:t>
            </w:r>
          </w:p>
        </w:tc>
        <w:tc>
          <w:tcPr>
            <w:tcW w:w="1470"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000000"/>
                <w:kern w:val="0"/>
                <w:sz w:val="22"/>
                <w:szCs w:val="22"/>
                <w:u w:val="none"/>
                <w:lang w:val="en-US" w:eastAsia="zh-CN" w:bidi="ar"/>
              </w:rPr>
              <w:t xml:space="preserve">212977.36 </w:t>
            </w:r>
          </w:p>
        </w:tc>
        <w:tc>
          <w:tcPr>
            <w:tcW w:w="100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120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784"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r>
      <w:tr>
        <w:tblPrEx>
          <w:shd w:val="clear" w:color="auto" w:fill="FFFFFF" w:themeFill="background1"/>
          <w:tblCellMar>
            <w:top w:w="0" w:type="dxa"/>
            <w:left w:w="0" w:type="dxa"/>
            <w:bottom w:w="0" w:type="dxa"/>
            <w:right w:w="0" w:type="dxa"/>
          </w:tblCellMar>
        </w:tblPrEx>
        <w:trPr>
          <w:trHeight w:val="136" w:hRule="atLeast"/>
          <w:jc w:val="center"/>
        </w:trPr>
        <w:tc>
          <w:tcPr>
            <w:tcW w:w="791"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color w:val="auto"/>
                <w:sz w:val="21"/>
                <w:szCs w:val="21"/>
                <w:highlight w:val="none"/>
                <w:u w:val="none"/>
                <w:lang w:val="en-US" w:eastAsia="zh-CN"/>
              </w:rPr>
            </w:pPr>
            <w:r>
              <w:rPr>
                <w:rFonts w:hint="eastAsia" w:ascii="宋体" w:hAnsi="宋体" w:eastAsia="宋体" w:cs="宋体"/>
                <w:b/>
                <w:bCs/>
                <w:i w:val="0"/>
                <w:iCs w:val="0"/>
                <w:color w:val="auto"/>
                <w:kern w:val="0"/>
                <w:sz w:val="20"/>
                <w:szCs w:val="20"/>
                <w:u w:val="none"/>
                <w:lang w:val="en-US" w:eastAsia="zh-CN" w:bidi="ar"/>
              </w:rPr>
              <w:t>三</w:t>
            </w:r>
          </w:p>
        </w:tc>
        <w:tc>
          <w:tcPr>
            <w:tcW w:w="470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center"/>
              <w:rPr>
                <w:rFonts w:hint="eastAsia" w:ascii="宋体" w:hAnsi="宋体" w:eastAsia="宋体" w:cs="宋体"/>
                <w:color w:val="auto"/>
                <w:sz w:val="21"/>
                <w:szCs w:val="21"/>
                <w:highlight w:val="none"/>
                <w:u w:val="none"/>
              </w:rPr>
            </w:pPr>
            <w:r>
              <w:rPr>
                <w:rFonts w:hint="eastAsia" w:ascii="宋体" w:hAnsi="宋体" w:eastAsia="宋体" w:cs="宋体"/>
                <w:b/>
                <w:bCs/>
                <w:i w:val="0"/>
                <w:iCs w:val="0"/>
                <w:color w:val="auto"/>
                <w:kern w:val="0"/>
                <w:sz w:val="20"/>
                <w:szCs w:val="20"/>
                <w:u w:val="none"/>
                <w:lang w:val="en-US" w:eastAsia="zh-CN" w:bidi="ar"/>
              </w:rPr>
              <w:t>隧道工程</w:t>
            </w:r>
          </w:p>
        </w:tc>
        <w:tc>
          <w:tcPr>
            <w:tcW w:w="1470"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000000"/>
                <w:kern w:val="0"/>
                <w:sz w:val="22"/>
                <w:szCs w:val="22"/>
                <w:u w:val="none"/>
                <w:lang w:val="en-US" w:eastAsia="zh-CN" w:bidi="ar"/>
              </w:rPr>
              <w:t xml:space="preserve">1624759.70 </w:t>
            </w:r>
          </w:p>
        </w:tc>
        <w:tc>
          <w:tcPr>
            <w:tcW w:w="100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120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784"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r>
      <w:tr>
        <w:tblPrEx>
          <w:shd w:val="clear" w:color="auto" w:fill="FFFFFF" w:themeFill="background1"/>
          <w:tblCellMar>
            <w:top w:w="0" w:type="dxa"/>
            <w:left w:w="0" w:type="dxa"/>
            <w:bottom w:w="0" w:type="dxa"/>
            <w:right w:w="0" w:type="dxa"/>
          </w:tblCellMar>
        </w:tblPrEx>
        <w:trPr>
          <w:trHeight w:val="136" w:hRule="atLeast"/>
          <w:jc w:val="center"/>
        </w:trPr>
        <w:tc>
          <w:tcPr>
            <w:tcW w:w="791"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color w:val="auto"/>
                <w:sz w:val="21"/>
                <w:szCs w:val="21"/>
                <w:highlight w:val="none"/>
                <w:u w:val="none"/>
                <w:lang w:val="en-US" w:eastAsia="zh-CN"/>
              </w:rPr>
            </w:pPr>
            <w:r>
              <w:rPr>
                <w:rFonts w:hint="eastAsia" w:ascii="宋体" w:hAnsi="宋体" w:eastAsia="宋体" w:cs="宋体"/>
                <w:i w:val="0"/>
                <w:iCs w:val="0"/>
                <w:color w:val="auto"/>
                <w:kern w:val="0"/>
                <w:sz w:val="20"/>
                <w:szCs w:val="20"/>
                <w:u w:val="none"/>
                <w:lang w:val="en-US" w:eastAsia="zh-CN" w:bidi="ar"/>
              </w:rPr>
              <w:t>1</w:t>
            </w:r>
          </w:p>
        </w:tc>
        <w:tc>
          <w:tcPr>
            <w:tcW w:w="470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center"/>
              <w:rPr>
                <w:rFonts w:hint="eastAsia" w:ascii="宋体" w:hAnsi="宋体" w:eastAsia="宋体" w:cs="宋体"/>
                <w:color w:val="auto"/>
                <w:sz w:val="21"/>
                <w:szCs w:val="21"/>
                <w:highlight w:val="none"/>
                <w:u w:val="none"/>
              </w:rPr>
            </w:pPr>
            <w:r>
              <w:rPr>
                <w:rFonts w:hint="eastAsia" w:ascii="宋体" w:hAnsi="宋体" w:eastAsia="宋体" w:cs="宋体"/>
                <w:i w:val="0"/>
                <w:iCs w:val="0"/>
                <w:color w:val="auto"/>
                <w:kern w:val="0"/>
                <w:sz w:val="20"/>
                <w:szCs w:val="20"/>
                <w:u w:val="none"/>
                <w:lang w:val="en-US" w:eastAsia="zh-CN" w:bidi="ar"/>
              </w:rPr>
              <w:t>220kV奥林线路工程一期（新建电缆隧道）</w:t>
            </w:r>
          </w:p>
        </w:tc>
        <w:tc>
          <w:tcPr>
            <w:tcW w:w="1470"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000000"/>
                <w:kern w:val="0"/>
                <w:sz w:val="22"/>
                <w:szCs w:val="22"/>
                <w:u w:val="none"/>
                <w:lang w:val="en-US" w:eastAsia="zh-CN" w:bidi="ar"/>
              </w:rPr>
              <w:t xml:space="preserve">38812.43 </w:t>
            </w:r>
          </w:p>
        </w:tc>
        <w:tc>
          <w:tcPr>
            <w:tcW w:w="100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120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784"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r>
      <w:tr>
        <w:tblPrEx>
          <w:shd w:val="clear" w:color="auto" w:fill="FFFFFF" w:themeFill="background1"/>
          <w:tblCellMar>
            <w:top w:w="0" w:type="dxa"/>
            <w:left w:w="0" w:type="dxa"/>
            <w:bottom w:w="0" w:type="dxa"/>
            <w:right w:w="0" w:type="dxa"/>
          </w:tblCellMar>
        </w:tblPrEx>
        <w:trPr>
          <w:trHeight w:val="136" w:hRule="atLeast"/>
          <w:jc w:val="center"/>
        </w:trPr>
        <w:tc>
          <w:tcPr>
            <w:tcW w:w="791"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470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0"/>
                <w:szCs w:val="20"/>
                <w:u w:val="none"/>
                <w:lang w:val="en-US" w:eastAsia="zh-CN" w:bidi="ar"/>
              </w:rPr>
              <w:t>220kV奥林线路工程二期（隧道工程）风水电部分</w:t>
            </w:r>
          </w:p>
        </w:tc>
        <w:tc>
          <w:tcPr>
            <w:tcW w:w="1470"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1585947.27 </w:t>
            </w:r>
          </w:p>
        </w:tc>
        <w:tc>
          <w:tcPr>
            <w:tcW w:w="100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120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784"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r>
      <w:tr>
        <w:tblPrEx>
          <w:shd w:val="clear" w:color="auto" w:fill="FFFFFF" w:themeFill="background1"/>
          <w:tblCellMar>
            <w:top w:w="0" w:type="dxa"/>
            <w:left w:w="0" w:type="dxa"/>
            <w:bottom w:w="0" w:type="dxa"/>
            <w:right w:w="0" w:type="dxa"/>
          </w:tblCellMar>
        </w:tblPrEx>
        <w:trPr>
          <w:trHeight w:val="136" w:hRule="atLeast"/>
          <w:jc w:val="center"/>
        </w:trPr>
        <w:tc>
          <w:tcPr>
            <w:tcW w:w="791"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color w:val="auto"/>
                <w:sz w:val="21"/>
                <w:szCs w:val="21"/>
                <w:highlight w:val="none"/>
                <w:u w:val="none"/>
                <w:lang w:val="en-US" w:eastAsia="zh-CN"/>
              </w:rPr>
            </w:pPr>
            <w:r>
              <w:rPr>
                <w:rFonts w:hint="eastAsia" w:ascii="宋体" w:hAnsi="宋体" w:eastAsia="宋体" w:cs="宋体"/>
                <w:b/>
                <w:bCs/>
                <w:i w:val="0"/>
                <w:iCs w:val="0"/>
                <w:color w:val="auto"/>
                <w:kern w:val="0"/>
                <w:sz w:val="20"/>
                <w:szCs w:val="20"/>
                <w:u w:val="none"/>
                <w:lang w:val="en-US" w:eastAsia="zh-CN" w:bidi="ar"/>
              </w:rPr>
              <w:t>四</w:t>
            </w:r>
          </w:p>
        </w:tc>
        <w:tc>
          <w:tcPr>
            <w:tcW w:w="470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eastAsia" w:ascii="宋体" w:hAnsi="宋体" w:eastAsia="宋体" w:cs="宋体"/>
                <w:color w:val="auto"/>
                <w:sz w:val="21"/>
                <w:szCs w:val="21"/>
                <w:highlight w:val="none"/>
                <w:u w:val="none"/>
              </w:rPr>
            </w:pPr>
            <w:r>
              <w:rPr>
                <w:rFonts w:hint="eastAsia" w:ascii="宋体" w:hAnsi="宋体" w:eastAsia="宋体" w:cs="宋体"/>
                <w:b/>
                <w:bCs/>
                <w:i w:val="0"/>
                <w:iCs w:val="0"/>
                <w:color w:val="auto"/>
                <w:kern w:val="0"/>
                <w:sz w:val="21"/>
                <w:szCs w:val="21"/>
                <w:u w:val="none"/>
                <w:lang w:val="en-US" w:eastAsia="zh-CN" w:bidi="ar"/>
              </w:rPr>
              <w:t>通信工程</w:t>
            </w:r>
          </w:p>
        </w:tc>
        <w:tc>
          <w:tcPr>
            <w:tcW w:w="1470"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000000"/>
                <w:kern w:val="0"/>
                <w:sz w:val="22"/>
                <w:szCs w:val="22"/>
                <w:u w:val="none"/>
                <w:lang w:val="en-US" w:eastAsia="zh-CN" w:bidi="ar"/>
              </w:rPr>
              <w:t>59587.34</w:t>
            </w:r>
          </w:p>
        </w:tc>
        <w:tc>
          <w:tcPr>
            <w:tcW w:w="100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120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784"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r>
      <w:tr>
        <w:tblPrEx>
          <w:shd w:val="clear" w:color="auto" w:fill="FFFFFF" w:themeFill="background1"/>
          <w:tblCellMar>
            <w:top w:w="0" w:type="dxa"/>
            <w:left w:w="0" w:type="dxa"/>
            <w:bottom w:w="0" w:type="dxa"/>
            <w:right w:w="0" w:type="dxa"/>
          </w:tblCellMar>
        </w:tblPrEx>
        <w:trPr>
          <w:trHeight w:val="136" w:hRule="atLeast"/>
          <w:jc w:val="center"/>
        </w:trPr>
        <w:tc>
          <w:tcPr>
            <w:tcW w:w="791"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color w:val="auto"/>
                <w:sz w:val="21"/>
                <w:szCs w:val="21"/>
                <w:highlight w:val="none"/>
                <w:u w:val="none"/>
                <w:lang w:val="en-US" w:eastAsia="zh-CN"/>
              </w:rPr>
            </w:pPr>
            <w:r>
              <w:rPr>
                <w:rFonts w:hint="eastAsia" w:ascii="宋体" w:hAnsi="宋体" w:eastAsia="宋体" w:cs="宋体"/>
                <w:i w:val="0"/>
                <w:iCs w:val="0"/>
                <w:color w:val="auto"/>
                <w:kern w:val="0"/>
                <w:sz w:val="20"/>
                <w:szCs w:val="20"/>
                <w:u w:val="none"/>
                <w:lang w:val="en-US" w:eastAsia="zh-CN" w:bidi="ar"/>
              </w:rPr>
              <w:t>1</w:t>
            </w:r>
          </w:p>
        </w:tc>
        <w:tc>
          <w:tcPr>
            <w:tcW w:w="470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eastAsia" w:ascii="宋体" w:hAnsi="宋体" w:eastAsia="宋体" w:cs="宋体"/>
                <w:color w:val="auto"/>
                <w:sz w:val="21"/>
                <w:szCs w:val="21"/>
                <w:highlight w:val="none"/>
                <w:u w:val="none"/>
              </w:rPr>
            </w:pPr>
            <w:r>
              <w:rPr>
                <w:rFonts w:hint="eastAsia" w:ascii="宋体" w:hAnsi="宋体" w:eastAsia="宋体" w:cs="宋体"/>
                <w:i w:val="0"/>
                <w:iCs w:val="0"/>
                <w:color w:val="auto"/>
                <w:kern w:val="0"/>
                <w:sz w:val="20"/>
                <w:szCs w:val="20"/>
                <w:u w:val="none"/>
                <w:lang w:val="en-US" w:eastAsia="zh-CN" w:bidi="ar"/>
              </w:rPr>
              <w:t>220kV奥林线路工程一期（</w:t>
            </w:r>
            <w:r>
              <w:rPr>
                <w:rFonts w:hint="eastAsia" w:ascii="宋体" w:hAnsi="宋体" w:eastAsia="宋体" w:cs="宋体"/>
                <w:i w:val="0"/>
                <w:iCs w:val="0"/>
                <w:color w:val="auto"/>
                <w:kern w:val="0"/>
                <w:sz w:val="21"/>
                <w:szCs w:val="21"/>
                <w:u w:val="none"/>
                <w:lang w:val="en-US" w:eastAsia="zh-CN" w:bidi="ar"/>
              </w:rPr>
              <w:t>站内通信）</w:t>
            </w:r>
          </w:p>
        </w:tc>
        <w:tc>
          <w:tcPr>
            <w:tcW w:w="1470"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000000"/>
                <w:kern w:val="0"/>
                <w:sz w:val="22"/>
                <w:szCs w:val="22"/>
                <w:u w:val="none"/>
                <w:lang w:val="en-US" w:eastAsia="zh-CN" w:bidi="ar"/>
              </w:rPr>
              <w:t xml:space="preserve">421.64 </w:t>
            </w:r>
          </w:p>
        </w:tc>
        <w:tc>
          <w:tcPr>
            <w:tcW w:w="100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120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784"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r>
      <w:tr>
        <w:tblPrEx>
          <w:shd w:val="clear" w:color="auto" w:fill="FFFFFF" w:themeFill="background1"/>
          <w:tblCellMar>
            <w:top w:w="0" w:type="dxa"/>
            <w:left w:w="0" w:type="dxa"/>
            <w:bottom w:w="0" w:type="dxa"/>
            <w:right w:w="0" w:type="dxa"/>
          </w:tblCellMar>
        </w:tblPrEx>
        <w:trPr>
          <w:trHeight w:val="136" w:hRule="atLeast"/>
          <w:jc w:val="center"/>
        </w:trPr>
        <w:tc>
          <w:tcPr>
            <w:tcW w:w="791"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color w:val="auto"/>
                <w:sz w:val="21"/>
                <w:szCs w:val="21"/>
                <w:highlight w:val="none"/>
                <w:u w:val="none"/>
                <w:lang w:val="en-US" w:eastAsia="zh-CN"/>
              </w:rPr>
            </w:pPr>
            <w:r>
              <w:rPr>
                <w:rFonts w:hint="eastAsia" w:ascii="宋体" w:hAnsi="宋体" w:eastAsia="宋体" w:cs="宋体"/>
                <w:i w:val="0"/>
                <w:iCs w:val="0"/>
                <w:color w:val="auto"/>
                <w:kern w:val="0"/>
                <w:sz w:val="20"/>
                <w:szCs w:val="20"/>
                <w:u w:val="none"/>
                <w:lang w:val="en-US" w:eastAsia="zh-CN" w:bidi="ar"/>
              </w:rPr>
              <w:t xml:space="preserve">2 </w:t>
            </w:r>
          </w:p>
        </w:tc>
        <w:tc>
          <w:tcPr>
            <w:tcW w:w="470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center"/>
              <w:rPr>
                <w:rFonts w:hint="eastAsia" w:ascii="宋体" w:hAnsi="宋体" w:eastAsia="宋体" w:cs="宋体"/>
                <w:color w:val="auto"/>
                <w:sz w:val="21"/>
                <w:szCs w:val="21"/>
                <w:highlight w:val="none"/>
                <w:u w:val="none"/>
              </w:rPr>
            </w:pPr>
            <w:r>
              <w:rPr>
                <w:rFonts w:hint="eastAsia" w:ascii="宋体" w:hAnsi="宋体" w:eastAsia="宋体" w:cs="宋体"/>
                <w:i w:val="0"/>
                <w:iCs w:val="0"/>
                <w:color w:val="auto"/>
                <w:kern w:val="0"/>
                <w:sz w:val="20"/>
                <w:szCs w:val="20"/>
                <w:u w:val="none"/>
                <w:lang w:val="en-US" w:eastAsia="zh-CN" w:bidi="ar"/>
              </w:rPr>
              <w:t>科城终端场至碧山段单回电缆线路-管道光缆</w:t>
            </w:r>
          </w:p>
        </w:tc>
        <w:tc>
          <w:tcPr>
            <w:tcW w:w="1470"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000000"/>
                <w:kern w:val="0"/>
                <w:sz w:val="22"/>
                <w:szCs w:val="22"/>
                <w:u w:val="none"/>
                <w:lang w:val="en-US" w:eastAsia="zh-CN" w:bidi="ar"/>
              </w:rPr>
              <w:t xml:space="preserve">16969.94 </w:t>
            </w:r>
          </w:p>
        </w:tc>
        <w:tc>
          <w:tcPr>
            <w:tcW w:w="100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120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784"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r>
      <w:tr>
        <w:tblPrEx>
          <w:shd w:val="clear" w:color="auto" w:fill="FFFFFF" w:themeFill="background1"/>
          <w:tblCellMar>
            <w:top w:w="0" w:type="dxa"/>
            <w:left w:w="0" w:type="dxa"/>
            <w:bottom w:w="0" w:type="dxa"/>
            <w:right w:w="0" w:type="dxa"/>
          </w:tblCellMar>
        </w:tblPrEx>
        <w:trPr>
          <w:trHeight w:val="136" w:hRule="atLeast"/>
          <w:jc w:val="center"/>
        </w:trPr>
        <w:tc>
          <w:tcPr>
            <w:tcW w:w="791"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color w:val="auto"/>
                <w:sz w:val="21"/>
                <w:szCs w:val="21"/>
                <w:highlight w:val="none"/>
                <w:u w:val="none"/>
                <w:lang w:val="en-US" w:eastAsia="zh-CN"/>
              </w:rPr>
            </w:pPr>
            <w:r>
              <w:rPr>
                <w:rFonts w:hint="eastAsia" w:ascii="宋体" w:hAnsi="宋体" w:eastAsia="宋体" w:cs="宋体"/>
                <w:i w:val="0"/>
                <w:iCs w:val="0"/>
                <w:color w:val="auto"/>
                <w:kern w:val="0"/>
                <w:sz w:val="20"/>
                <w:szCs w:val="20"/>
                <w:u w:val="none"/>
                <w:lang w:val="en-US" w:eastAsia="zh-CN" w:bidi="ar"/>
              </w:rPr>
              <w:t xml:space="preserve">3 </w:t>
            </w:r>
          </w:p>
        </w:tc>
        <w:tc>
          <w:tcPr>
            <w:tcW w:w="470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center"/>
              <w:rPr>
                <w:rFonts w:hint="eastAsia" w:ascii="宋体" w:hAnsi="宋体" w:eastAsia="宋体" w:cs="宋体"/>
                <w:color w:val="auto"/>
                <w:sz w:val="21"/>
                <w:szCs w:val="21"/>
                <w:highlight w:val="none"/>
                <w:u w:val="none"/>
              </w:rPr>
            </w:pPr>
            <w:r>
              <w:rPr>
                <w:rFonts w:hint="eastAsia" w:ascii="宋体" w:hAnsi="宋体" w:eastAsia="宋体" w:cs="宋体"/>
                <w:i w:val="0"/>
                <w:iCs w:val="0"/>
                <w:color w:val="auto"/>
                <w:kern w:val="0"/>
                <w:sz w:val="20"/>
                <w:szCs w:val="20"/>
                <w:u w:val="none"/>
                <w:lang w:val="en-US" w:eastAsia="zh-CN" w:bidi="ar"/>
              </w:rPr>
              <w:t>柔直站至棠下跳接段单回电缆线路-管道光缆</w:t>
            </w:r>
          </w:p>
        </w:tc>
        <w:tc>
          <w:tcPr>
            <w:tcW w:w="1470"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000000"/>
                <w:kern w:val="0"/>
                <w:sz w:val="22"/>
                <w:szCs w:val="22"/>
                <w:u w:val="none"/>
                <w:lang w:val="en-US" w:eastAsia="zh-CN" w:bidi="ar"/>
              </w:rPr>
              <w:t xml:space="preserve">1013.60 </w:t>
            </w:r>
          </w:p>
        </w:tc>
        <w:tc>
          <w:tcPr>
            <w:tcW w:w="100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120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784"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r>
      <w:tr>
        <w:tblPrEx>
          <w:shd w:val="clear" w:color="auto" w:fill="FFFFFF" w:themeFill="background1"/>
          <w:tblCellMar>
            <w:top w:w="0" w:type="dxa"/>
            <w:left w:w="0" w:type="dxa"/>
            <w:bottom w:w="0" w:type="dxa"/>
            <w:right w:w="0" w:type="dxa"/>
          </w:tblCellMar>
        </w:tblPrEx>
        <w:trPr>
          <w:trHeight w:val="136" w:hRule="atLeast"/>
          <w:jc w:val="center"/>
        </w:trPr>
        <w:tc>
          <w:tcPr>
            <w:tcW w:w="791"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0"/>
                <w:szCs w:val="20"/>
                <w:u w:val="none"/>
                <w:lang w:val="en-US" w:eastAsia="zh-CN" w:bidi="ar"/>
              </w:rPr>
              <w:t>4</w:t>
            </w:r>
          </w:p>
        </w:tc>
        <w:tc>
          <w:tcPr>
            <w:tcW w:w="470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0"/>
                <w:szCs w:val="20"/>
                <w:u w:val="none"/>
                <w:lang w:val="en-US" w:eastAsia="zh-CN" w:bidi="ar"/>
              </w:rPr>
              <w:t>220kV奥林线路工程二期（站内通信）</w:t>
            </w:r>
          </w:p>
        </w:tc>
        <w:tc>
          <w:tcPr>
            <w:tcW w:w="1470"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4525.03 </w:t>
            </w:r>
          </w:p>
        </w:tc>
        <w:tc>
          <w:tcPr>
            <w:tcW w:w="100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120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784"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r>
      <w:tr>
        <w:tblPrEx>
          <w:shd w:val="clear" w:color="auto" w:fill="FFFFFF" w:themeFill="background1"/>
          <w:tblCellMar>
            <w:top w:w="0" w:type="dxa"/>
            <w:left w:w="0" w:type="dxa"/>
            <w:bottom w:w="0" w:type="dxa"/>
            <w:right w:w="0" w:type="dxa"/>
          </w:tblCellMar>
        </w:tblPrEx>
        <w:trPr>
          <w:trHeight w:val="136" w:hRule="atLeast"/>
          <w:jc w:val="center"/>
        </w:trPr>
        <w:tc>
          <w:tcPr>
            <w:tcW w:w="791"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0"/>
                <w:szCs w:val="20"/>
                <w:u w:val="none"/>
                <w:lang w:val="en-US" w:eastAsia="zh-CN" w:bidi="ar"/>
              </w:rPr>
              <w:t xml:space="preserve">5 </w:t>
            </w:r>
          </w:p>
        </w:tc>
        <w:tc>
          <w:tcPr>
            <w:tcW w:w="470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0"/>
                <w:szCs w:val="20"/>
                <w:u w:val="none"/>
                <w:lang w:val="en-US" w:eastAsia="zh-CN" w:bidi="ar"/>
              </w:rPr>
              <w:t>220kV奥林～碧山双回电缆线路（管道光缆）</w:t>
            </w:r>
          </w:p>
        </w:tc>
        <w:tc>
          <w:tcPr>
            <w:tcW w:w="1470"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20923.75 </w:t>
            </w:r>
          </w:p>
        </w:tc>
        <w:tc>
          <w:tcPr>
            <w:tcW w:w="100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120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784"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r>
      <w:tr>
        <w:tblPrEx>
          <w:shd w:val="clear" w:color="auto" w:fill="FFFFFF" w:themeFill="background1"/>
          <w:tblCellMar>
            <w:top w:w="0" w:type="dxa"/>
            <w:left w:w="0" w:type="dxa"/>
            <w:bottom w:w="0" w:type="dxa"/>
            <w:right w:w="0" w:type="dxa"/>
          </w:tblCellMar>
        </w:tblPrEx>
        <w:trPr>
          <w:trHeight w:val="136" w:hRule="atLeast"/>
          <w:jc w:val="center"/>
        </w:trPr>
        <w:tc>
          <w:tcPr>
            <w:tcW w:w="791"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0"/>
                <w:szCs w:val="20"/>
                <w:u w:val="none"/>
                <w:lang w:val="en-US" w:eastAsia="zh-CN" w:bidi="ar"/>
              </w:rPr>
              <w:t>6</w:t>
            </w:r>
          </w:p>
        </w:tc>
        <w:tc>
          <w:tcPr>
            <w:tcW w:w="470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0"/>
                <w:szCs w:val="20"/>
                <w:u w:val="none"/>
                <w:lang w:val="en-US" w:eastAsia="zh-CN" w:bidi="ar"/>
              </w:rPr>
              <w:t>220kV员热至科北双回电缆线路（管道光缆）</w:t>
            </w:r>
          </w:p>
        </w:tc>
        <w:tc>
          <w:tcPr>
            <w:tcW w:w="1470"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2419.63 </w:t>
            </w:r>
          </w:p>
        </w:tc>
        <w:tc>
          <w:tcPr>
            <w:tcW w:w="100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120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784"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r>
      <w:tr>
        <w:tblPrEx>
          <w:shd w:val="clear" w:color="auto" w:fill="FFFFFF" w:themeFill="background1"/>
          <w:tblCellMar>
            <w:top w:w="0" w:type="dxa"/>
            <w:left w:w="0" w:type="dxa"/>
            <w:bottom w:w="0" w:type="dxa"/>
            <w:right w:w="0" w:type="dxa"/>
          </w:tblCellMar>
        </w:tblPrEx>
        <w:trPr>
          <w:trHeight w:val="136" w:hRule="atLeast"/>
          <w:jc w:val="center"/>
        </w:trPr>
        <w:tc>
          <w:tcPr>
            <w:tcW w:w="791"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0"/>
                <w:szCs w:val="20"/>
                <w:u w:val="none"/>
                <w:lang w:val="en-US" w:eastAsia="zh-CN" w:bidi="ar"/>
              </w:rPr>
              <w:t>7</w:t>
            </w:r>
          </w:p>
        </w:tc>
        <w:tc>
          <w:tcPr>
            <w:tcW w:w="470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0"/>
                <w:szCs w:val="20"/>
                <w:u w:val="none"/>
                <w:lang w:val="en-US" w:eastAsia="zh-CN" w:bidi="ar"/>
              </w:rPr>
              <w:t>220kV柔直至碧山单回电缆线路（管道光缆）</w:t>
            </w:r>
          </w:p>
        </w:tc>
        <w:tc>
          <w:tcPr>
            <w:tcW w:w="1470"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13313.75 </w:t>
            </w:r>
          </w:p>
        </w:tc>
        <w:tc>
          <w:tcPr>
            <w:tcW w:w="100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120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784"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r>
      <w:tr>
        <w:tblPrEx>
          <w:shd w:val="clear" w:color="auto" w:fill="FFFFFF" w:themeFill="background1"/>
          <w:tblCellMar>
            <w:top w:w="0" w:type="dxa"/>
            <w:left w:w="0" w:type="dxa"/>
            <w:bottom w:w="0" w:type="dxa"/>
            <w:right w:w="0" w:type="dxa"/>
          </w:tblCellMar>
        </w:tblPrEx>
        <w:trPr>
          <w:trHeight w:val="136" w:hRule="atLeast"/>
          <w:jc w:val="center"/>
        </w:trPr>
        <w:tc>
          <w:tcPr>
            <w:tcW w:w="791"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500" w:lineRule="exact"/>
              <w:jc w:val="left"/>
              <w:rPr>
                <w:rFonts w:hint="eastAsia" w:ascii="宋体" w:hAnsi="宋体" w:eastAsia="宋体" w:cs="宋体"/>
                <w:i w:val="0"/>
                <w:iCs w:val="0"/>
                <w:color w:val="auto"/>
                <w:kern w:val="0"/>
                <w:sz w:val="21"/>
                <w:szCs w:val="21"/>
                <w:u w:val="none"/>
                <w:lang w:val="en-US" w:eastAsia="zh-CN" w:bidi="ar"/>
              </w:rPr>
            </w:pPr>
          </w:p>
        </w:tc>
        <w:tc>
          <w:tcPr>
            <w:tcW w:w="470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b/>
                <w:bCs/>
                <w:color w:val="auto"/>
                <w:lang w:val="en-US" w:eastAsia="zh-CN"/>
              </w:rPr>
              <w:t>合  计</w:t>
            </w:r>
            <w:r>
              <w:rPr>
                <w:rFonts w:hint="eastAsia" w:ascii="宋体" w:hAnsi="宋体" w:cs="宋体"/>
                <w:b/>
                <w:bCs/>
                <w:color w:val="auto"/>
                <w:lang w:val="en-US" w:eastAsia="zh-CN"/>
              </w:rPr>
              <w:t>（小写</w:t>
            </w:r>
            <w:bookmarkStart w:id="3" w:name="_GoBack"/>
            <w:bookmarkEnd w:id="3"/>
            <w:r>
              <w:rPr>
                <w:rFonts w:hint="eastAsia" w:ascii="宋体" w:hAnsi="宋体" w:cs="宋体"/>
                <w:b/>
                <w:bCs/>
                <w:color w:val="auto"/>
                <w:lang w:val="en-US" w:eastAsia="zh-CN"/>
              </w:rPr>
              <w:t>）</w:t>
            </w:r>
          </w:p>
        </w:tc>
        <w:tc>
          <w:tcPr>
            <w:tcW w:w="1470"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2690710.51</w:t>
            </w:r>
          </w:p>
        </w:tc>
        <w:tc>
          <w:tcPr>
            <w:tcW w:w="100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120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c>
          <w:tcPr>
            <w:tcW w:w="784"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auto"/>
                <w:sz w:val="21"/>
                <w:szCs w:val="21"/>
                <w:highlight w:val="none"/>
                <w:u w:val="none"/>
              </w:rPr>
            </w:pPr>
          </w:p>
        </w:tc>
      </w:tr>
    </w:tbl>
    <w:p>
      <w:pPr>
        <w:pStyle w:val="3"/>
        <w:ind w:firstLine="240" w:firstLineChars="100"/>
        <w:rPr>
          <w:rFonts w:hint="eastAsia" w:ascii="宋体" w:hAnsi="宋体" w:eastAsia="宋体" w:cs="宋体"/>
          <w:color w:val="auto"/>
          <w:kern w:val="2"/>
          <w:sz w:val="24"/>
          <w:szCs w:val="24"/>
          <w:highlight w:val="none"/>
          <w:u w:val="none"/>
          <w:lang w:val="en-US" w:eastAsia="zh-CN" w:bidi="ar-SA"/>
        </w:rPr>
      </w:pPr>
    </w:p>
    <w:p>
      <w:pPr>
        <w:rPr>
          <w:rFonts w:hint="eastAsia"/>
          <w:color w:val="auto"/>
          <w:highlight w:val="none"/>
          <w:lang w:val="en-US" w:eastAsia="zh-CN"/>
        </w:rPr>
      </w:pPr>
    </w:p>
    <w:p>
      <w:pPr>
        <w:pStyle w:val="3"/>
        <w:ind w:firstLine="240" w:firstLineChars="100"/>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报价要求：</w:t>
      </w:r>
    </w:p>
    <w:p>
      <w:pPr>
        <w:pStyle w:val="9"/>
        <w:numPr>
          <w:ilvl w:val="0"/>
          <w:numId w:val="0"/>
        </w:numPr>
        <w:shd w:val="clear" w:color="auto" w:fill="auto"/>
        <w:spacing w:line="360" w:lineRule="auto"/>
        <w:ind w:firstLine="420" w:firstLineChars="200"/>
        <w:rPr>
          <w:rFonts w:hint="eastAsia" w:hAnsi="宋体"/>
          <w:color w:val="auto"/>
          <w:szCs w:val="21"/>
          <w:highlight w:val="none"/>
          <w:u w:val="single"/>
          <w:lang w:val="en-US" w:eastAsia="zh-CN"/>
        </w:rPr>
      </w:pPr>
      <w:r>
        <w:rPr>
          <w:rFonts w:hint="eastAsia" w:hAnsi="宋体"/>
          <w:color w:val="auto"/>
          <w:szCs w:val="21"/>
          <w:highlight w:val="none"/>
          <w:u w:val="single"/>
          <w:lang w:val="en-US" w:eastAsia="zh-CN"/>
        </w:rPr>
        <w:t>（1）按下浮率报价（保留两位小数，如8.88%），同时填报投标报价（投标报价=最高投标限价*（1-投标下浮率），四舍五入保留两位小数）。当投标报价与投标下浮率计算结果不一致时，以投标下浮率为准，按上述公式修订投标报价，如单项报价与投标下浮率不对应的也需按投标下浮率修正单项报价。</w:t>
      </w:r>
    </w:p>
    <w:p>
      <w:pPr>
        <w:pStyle w:val="9"/>
        <w:numPr>
          <w:ilvl w:val="0"/>
          <w:numId w:val="0"/>
        </w:numPr>
        <w:shd w:val="clear" w:color="auto" w:fill="auto"/>
        <w:spacing w:line="360" w:lineRule="auto"/>
        <w:ind w:firstLine="420" w:firstLineChars="200"/>
        <w:rPr>
          <w:rFonts w:hint="eastAsia" w:hAnsi="宋体"/>
          <w:color w:val="auto"/>
          <w:szCs w:val="21"/>
          <w:highlight w:val="none"/>
          <w:u w:val="single"/>
          <w:lang w:val="en-US" w:eastAsia="zh-CN"/>
        </w:rPr>
      </w:pPr>
      <w:r>
        <w:rPr>
          <w:rFonts w:hint="eastAsia" w:hAnsi="宋体"/>
          <w:color w:val="auto"/>
          <w:szCs w:val="21"/>
          <w:highlight w:val="none"/>
          <w:u w:val="single"/>
          <w:lang w:val="en-US" w:eastAsia="zh-CN"/>
        </w:rPr>
        <w:t>（2）投标下浮率不低于0%为有效报价；当投标下浮率＞10%时应附成本分析报告，充分说明单价和费用的组成、降低成本的合理措施及在其他工程中应用过的经验等，经评审通过后方可视为有效报价。</w:t>
      </w:r>
    </w:p>
    <w:p>
      <w:pPr>
        <w:pStyle w:val="9"/>
        <w:numPr>
          <w:ilvl w:val="0"/>
          <w:numId w:val="0"/>
        </w:numPr>
        <w:shd w:val="clear" w:color="auto" w:fill="auto"/>
        <w:spacing w:line="360" w:lineRule="auto"/>
        <w:ind w:firstLine="420" w:firstLineChars="200"/>
        <w:rPr>
          <w:rFonts w:hint="eastAsia" w:hAnsi="宋体"/>
          <w:color w:val="auto"/>
          <w:szCs w:val="21"/>
          <w:highlight w:val="none"/>
          <w:u w:val="single"/>
          <w:lang w:val="en-US" w:eastAsia="zh-CN"/>
        </w:rPr>
      </w:pPr>
      <w:r>
        <w:rPr>
          <w:rFonts w:hint="eastAsia" w:hAnsi="宋体"/>
          <w:color w:val="auto"/>
          <w:szCs w:val="21"/>
          <w:highlight w:val="none"/>
          <w:u w:val="single"/>
          <w:lang w:val="en-US" w:eastAsia="zh-CN"/>
        </w:rPr>
        <w:t>（3）价格分计算时，投标人评标价按（100-投标人填写的下浮数值）参与计算。如：下浮率为1.88％时，评标价按（100-1.88）参与计算。</w:t>
      </w:r>
    </w:p>
    <w:p>
      <w:pPr>
        <w:pStyle w:val="6"/>
        <w:keepNext w:val="0"/>
        <w:keepLines w:val="0"/>
        <w:pageBreakBefore w:val="0"/>
        <w:numPr>
          <w:ilvl w:val="0"/>
          <w:numId w:val="0"/>
        </w:numPr>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四、结算方式</w:t>
      </w:r>
    </w:p>
    <w:p>
      <w:pPr>
        <w:pStyle w:val="9"/>
        <w:spacing w:line="360" w:lineRule="auto"/>
        <w:ind w:left="0" w:leftChars="0" w:firstLine="420" w:firstLineChars="200"/>
        <w:rPr>
          <w:rFonts w:hint="eastAsia" w:hAnsi="宋体"/>
          <w:color w:val="auto"/>
          <w:szCs w:val="21"/>
          <w:highlight w:val="none"/>
          <w:u w:val="single"/>
        </w:rPr>
      </w:pPr>
      <w:r>
        <w:rPr>
          <w:rFonts w:hint="eastAsia" w:ascii="宋体" w:hAnsi="宋体" w:eastAsia="宋体" w:cs="宋体"/>
          <w:b w:val="0"/>
          <w:bCs w:val="0"/>
          <w:color w:val="auto"/>
          <w:kern w:val="2"/>
          <w:sz w:val="21"/>
          <w:szCs w:val="21"/>
          <w:u w:val="single"/>
          <w:lang w:val="en-US" w:eastAsia="zh-CN" w:bidi="ar-SA"/>
        </w:rPr>
        <w:t>本合同为暂定价合同，最终合同结算价为：（审定初步设计概算监理费+ 初设概算监理计费范围以外的监理工作费用）×（1-投标下浮率）±合同内约定且实际发生的相关奖罚费用 + 招标代理服务费</w:t>
      </w:r>
      <w:r>
        <w:rPr>
          <w:rFonts w:hint="eastAsia" w:hAnsi="宋体"/>
          <w:color w:val="auto"/>
          <w:szCs w:val="21"/>
          <w:highlight w:val="none"/>
          <w:u w:val="single"/>
        </w:rPr>
        <w:t>。</w:t>
      </w:r>
    </w:p>
    <w:p>
      <w:pPr>
        <w:pStyle w:val="9"/>
        <w:spacing w:line="360" w:lineRule="auto"/>
        <w:ind w:left="0" w:leftChars="0" w:firstLine="420" w:firstLineChars="200"/>
        <w:rPr>
          <w:rFonts w:hint="eastAsia" w:hAnsi="宋体"/>
          <w:color w:val="auto"/>
          <w:szCs w:val="21"/>
          <w:highlight w:val="none"/>
          <w:u w:val="single"/>
          <w:lang w:val="en-US" w:eastAsia="zh-CN"/>
        </w:rPr>
      </w:pPr>
      <w:r>
        <w:rPr>
          <w:rFonts w:hint="eastAsia" w:hAnsi="宋体"/>
          <w:color w:val="auto"/>
          <w:szCs w:val="21"/>
          <w:highlight w:val="none"/>
          <w:u w:val="single"/>
          <w:lang w:val="en-US" w:eastAsia="zh-CN"/>
        </w:rPr>
        <w:t>其中：</w:t>
      </w:r>
    </w:p>
    <w:p>
      <w:pPr>
        <w:pStyle w:val="9"/>
        <w:numPr>
          <w:ilvl w:val="0"/>
          <w:numId w:val="3"/>
        </w:numPr>
        <w:spacing w:line="360" w:lineRule="auto"/>
        <w:ind w:left="0" w:leftChars="0" w:firstLine="420" w:firstLineChars="200"/>
        <w:rPr>
          <w:rFonts w:hint="eastAsia" w:hAnsi="宋体"/>
          <w:color w:val="auto"/>
          <w:szCs w:val="21"/>
          <w:highlight w:val="none"/>
          <w:u w:val="single"/>
          <w:lang w:val="en-US" w:eastAsia="zh-CN"/>
        </w:rPr>
      </w:pPr>
      <w:r>
        <w:rPr>
          <w:rFonts w:hint="eastAsia" w:hAnsi="宋体"/>
          <w:color w:val="auto"/>
          <w:szCs w:val="21"/>
          <w:highlight w:val="none"/>
          <w:u w:val="single"/>
          <w:lang w:val="en-US" w:eastAsia="zh-CN"/>
        </w:rPr>
        <w:t>审定初步设计概算监理费：</w:t>
      </w:r>
    </w:p>
    <w:p>
      <w:pPr>
        <w:pStyle w:val="9"/>
        <w:numPr>
          <w:ilvl w:val="0"/>
          <w:numId w:val="4"/>
        </w:numPr>
        <w:spacing w:line="360" w:lineRule="auto"/>
        <w:ind w:left="210" w:leftChars="100" w:firstLine="420" w:firstLineChars="200"/>
        <w:rPr>
          <w:rFonts w:hint="eastAsia" w:hAnsi="宋体"/>
          <w:color w:val="auto"/>
          <w:szCs w:val="21"/>
          <w:highlight w:val="none"/>
          <w:u w:val="single"/>
          <w:lang w:val="en-US" w:eastAsia="zh-CN"/>
        </w:rPr>
      </w:pPr>
      <w:r>
        <w:rPr>
          <w:rFonts w:hint="eastAsia" w:hAnsi="宋体"/>
          <w:color w:val="auto"/>
          <w:szCs w:val="21"/>
          <w:highlight w:val="none"/>
          <w:u w:val="single"/>
          <w:lang w:val="en-US" w:eastAsia="zh-CN"/>
        </w:rPr>
        <w:t>二期隧道工程风水电部分的审定初步设计概算监理费=单项工程的批复初设概算监理费</w:t>
      </w:r>
      <w:r>
        <w:rPr>
          <w:rFonts w:hint="eastAsia" w:ascii="宋体" w:hAnsi="宋体" w:eastAsia="宋体" w:cs="宋体"/>
          <w:b w:val="0"/>
          <w:bCs w:val="0"/>
          <w:color w:val="auto"/>
          <w:kern w:val="0"/>
          <w:sz w:val="21"/>
          <w:szCs w:val="21"/>
          <w:u w:val="single"/>
          <w:lang w:val="en-US" w:eastAsia="zh-CN" w:bidi="ar-SA"/>
        </w:rPr>
        <w:t>×</w:t>
      </w:r>
      <w:r>
        <w:rPr>
          <w:rFonts w:hint="eastAsia" w:hAnsi="宋体"/>
          <w:color w:val="auto"/>
          <w:szCs w:val="21"/>
          <w:highlight w:val="none"/>
          <w:u w:val="single"/>
          <w:lang w:val="en-US" w:eastAsia="zh-CN"/>
        </w:rPr>
        <w:t>（监理计费范围内的初设批复概算工程费用/二期隧道工程单项工程的初设批复概算工程费用），其中，工程费用=建筑工程费+设备购置费+安装工程费；</w:t>
      </w:r>
    </w:p>
    <w:p>
      <w:pPr>
        <w:pStyle w:val="9"/>
        <w:numPr>
          <w:ilvl w:val="0"/>
          <w:numId w:val="4"/>
        </w:numPr>
        <w:spacing w:line="360" w:lineRule="auto"/>
        <w:ind w:left="210" w:leftChars="100" w:firstLine="420" w:firstLineChars="200"/>
        <w:rPr>
          <w:rFonts w:hint="eastAsia" w:hAnsi="宋体"/>
          <w:color w:val="auto"/>
          <w:szCs w:val="21"/>
          <w:highlight w:val="none"/>
          <w:u w:val="single"/>
          <w:lang w:val="en-US" w:eastAsia="zh-CN"/>
        </w:rPr>
      </w:pPr>
      <w:r>
        <w:rPr>
          <w:rFonts w:hint="eastAsia" w:hAnsi="宋体"/>
          <w:color w:val="auto"/>
          <w:szCs w:val="21"/>
          <w:highlight w:val="none"/>
          <w:u w:val="single"/>
          <w:lang w:val="en-US" w:eastAsia="zh-CN"/>
        </w:rPr>
        <w:t>其他单项的监理费结算：</w:t>
      </w:r>
      <w:r>
        <w:rPr>
          <w:rFonts w:hint="default" w:ascii="Calibri" w:hAnsi="Calibri" w:cs="Calibri"/>
          <w:color w:val="auto"/>
          <w:szCs w:val="21"/>
          <w:highlight w:val="none"/>
          <w:u w:val="single"/>
          <w:lang w:val="en-US" w:eastAsia="zh-CN"/>
        </w:rPr>
        <w:t>①</w:t>
      </w:r>
      <w:r>
        <w:rPr>
          <w:rFonts w:hint="eastAsia" w:hAnsi="宋体"/>
          <w:color w:val="auto"/>
          <w:szCs w:val="21"/>
          <w:highlight w:val="none"/>
          <w:u w:val="single"/>
          <w:lang w:val="en-US" w:eastAsia="zh-CN"/>
        </w:rPr>
        <w:t>须与中标单位在本项目中参与的项目实施阶段对应，结算时由业主项目部进行复核确认。如中标单位未参与勘察设计阶段的监理工作，需扣除13%的监理费；如中标单位参与勘察设计阶段的监理工作，则按其所参与的阶段分别计取：勘察阶段按3%，初步设计阶段按4%、施工图设计阶段按6%；</w:t>
      </w:r>
      <w:r>
        <w:rPr>
          <w:rFonts w:hint="default" w:ascii="Calibri" w:hAnsi="Calibri" w:cs="Calibri"/>
          <w:color w:val="auto"/>
          <w:szCs w:val="21"/>
          <w:highlight w:val="none"/>
          <w:u w:val="single"/>
          <w:lang w:val="en-US" w:eastAsia="zh-CN"/>
        </w:rPr>
        <w:t>②</w:t>
      </w:r>
      <w:r>
        <w:rPr>
          <w:rFonts w:hint="eastAsia" w:cs="Calibri"/>
          <w:color w:val="auto"/>
          <w:szCs w:val="21"/>
          <w:highlight w:val="none"/>
          <w:u w:val="single"/>
          <w:lang w:val="en-US" w:eastAsia="zh-CN"/>
        </w:rPr>
        <w:t>根据《关于印发公司基于安全管理的主网基建项目施工监理费用指导意见（试行）的通知》要求调整监理费结算金额。</w:t>
      </w:r>
    </w:p>
    <w:p>
      <w:pPr>
        <w:pStyle w:val="9"/>
        <w:spacing w:line="360" w:lineRule="auto"/>
        <w:ind w:left="0" w:leftChars="0" w:firstLine="420" w:firstLineChars="200"/>
        <w:rPr>
          <w:rFonts w:hint="eastAsia" w:hAnsi="宋体"/>
          <w:color w:val="auto"/>
          <w:szCs w:val="21"/>
          <w:highlight w:val="none"/>
          <w:u w:val="single"/>
          <w:lang w:val="en-US" w:eastAsia="zh-CN"/>
        </w:rPr>
      </w:pPr>
      <w:r>
        <w:rPr>
          <w:rFonts w:hint="eastAsia" w:hAnsi="宋体"/>
          <w:color w:val="auto"/>
          <w:szCs w:val="21"/>
          <w:highlight w:val="none"/>
          <w:u w:val="single"/>
          <w:lang w:val="en-US" w:eastAsia="zh-CN"/>
        </w:rPr>
        <w:t>（2）“初设概算监理计费范围以外的监理工作”包括但不限于：监理单位对路面修复（含市政路面、公路等）、交通疏解、跨（穿）越铁路/公路、管线迁移、绿化迁移、林木砍伐等各项取费基数不包含在初设概算监理费计费基数中的非本体工程的监理见证工作。其监理费用取费基数为初设概算监理计费范围以外实际发生、且经由监理人见证确认部分的工程费用，该工程费用以业主项目部或第三方审核机构审定的为准；取费费率按照《关于落实《国家发展改革委关于进一步放开建设项目专业服务价格的通知》(发改价格[2015]299号)的指导意见（中电联定额[2015]162号文）》相关规定执行，不足部分参照相关行业费用计算规定执行。项目实施过程中如有最新规定，按新的政策性文件执行。</w:t>
      </w:r>
    </w:p>
    <w:p>
      <w:pPr>
        <w:pStyle w:val="9"/>
        <w:spacing w:line="360" w:lineRule="auto"/>
        <w:ind w:left="0" w:leftChars="0" w:firstLine="420" w:firstLineChars="200"/>
        <w:rPr>
          <w:rFonts w:hint="eastAsia" w:hAnsi="宋体"/>
          <w:color w:val="auto"/>
          <w:szCs w:val="21"/>
          <w:highlight w:val="none"/>
          <w:u w:val="single"/>
          <w:lang w:val="en-US" w:eastAsia="zh-CN"/>
        </w:rPr>
      </w:pPr>
      <w:r>
        <w:rPr>
          <w:rFonts w:hint="eastAsia" w:hAnsi="宋体"/>
          <w:color w:val="auto"/>
          <w:szCs w:val="21"/>
          <w:highlight w:val="none"/>
          <w:u w:val="single"/>
          <w:lang w:val="en-US" w:eastAsia="zh-CN"/>
        </w:rPr>
        <w:t>（3）招标代理服务费按实际支付给招标代理的费用为准，监理人可在预付款申请或进度款申请时同时申请支付。</w:t>
      </w:r>
    </w:p>
    <w:p>
      <w:pPr>
        <w:pStyle w:val="9"/>
        <w:spacing w:line="360" w:lineRule="auto"/>
        <w:ind w:left="0" w:leftChars="0" w:firstLine="420" w:firstLineChars="200"/>
        <w:rPr>
          <w:rFonts w:hint="eastAsia" w:hAnsi="宋体"/>
          <w:color w:val="auto"/>
          <w:szCs w:val="21"/>
          <w:highlight w:val="none"/>
          <w:u w:val="single"/>
          <w:lang w:val="en-US" w:eastAsia="zh-CN"/>
        </w:rPr>
      </w:pPr>
      <w:r>
        <w:rPr>
          <w:rFonts w:hint="eastAsia" w:hAnsi="宋体"/>
          <w:color w:val="auto"/>
          <w:szCs w:val="21"/>
          <w:highlight w:val="none"/>
          <w:u w:val="single"/>
          <w:lang w:val="en-US" w:eastAsia="zh-CN"/>
        </w:rPr>
        <w:t>（4）投标下浮率（%）＝（1-投标报价/最高投标限价）×100%</w:t>
      </w:r>
    </w:p>
    <w:p>
      <w:pPr>
        <w:keepNext w:val="0"/>
        <w:keepLines w:val="0"/>
        <w:pageBreakBefore w:val="0"/>
        <w:widowControl w:val="0"/>
        <w:kinsoku/>
        <w:wordWrap/>
        <w:overflowPunct/>
        <w:topLinePunct w:val="0"/>
        <w:autoSpaceDE/>
        <w:autoSpaceDN/>
        <w:bidi w:val="0"/>
        <w:adjustRightInd/>
        <w:snapToGrid/>
        <w:spacing w:before="157" w:beforeLines="50" w:after="157" w:afterLines="50" w:line="480" w:lineRule="auto"/>
        <w:textAlignment w:val="auto"/>
        <w:rPr>
          <w:rFonts w:hint="default"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五、分包要求</w:t>
      </w:r>
    </w:p>
    <w:p>
      <w:pPr>
        <w:pStyle w:val="2"/>
        <w:numPr>
          <w:ilvl w:val="0"/>
          <w:numId w:val="0"/>
        </w:numPr>
        <w:rPr>
          <w:rFonts w:hint="eastAsia"/>
          <w:sz w:val="24"/>
          <w:szCs w:val="24"/>
          <w:highlight w:val="none"/>
          <w:lang w:eastAsia="zh-CN"/>
        </w:rPr>
      </w:pPr>
      <w:r>
        <w:rPr>
          <w:rFonts w:hint="default" w:ascii="Wingdings" w:hAnsi="Wingdings" w:cs="Wingdings"/>
          <w:sz w:val="24"/>
          <w:szCs w:val="24"/>
          <w:highlight w:val="none"/>
        </w:rPr>
        <w:sym w:font="Wingdings" w:char="00FE"/>
      </w:r>
      <w:r>
        <w:rPr>
          <w:rFonts w:hint="eastAsia"/>
          <w:sz w:val="24"/>
          <w:szCs w:val="24"/>
          <w:highlight w:val="none"/>
          <w:lang w:eastAsia="zh-CN"/>
        </w:rPr>
        <w:t>不允许分包</w:t>
      </w:r>
    </w:p>
    <w:p>
      <w:pPr>
        <w:pStyle w:val="2"/>
        <w:numPr>
          <w:ilvl w:val="0"/>
          <w:numId w:val="0"/>
        </w:numPr>
        <w:rPr>
          <w:rFonts w:hint="eastAsia"/>
          <w:sz w:val="24"/>
          <w:szCs w:val="24"/>
          <w:highlight w:val="none"/>
          <w:lang w:eastAsia="zh-CN"/>
        </w:rPr>
      </w:pPr>
      <w:r>
        <w:rPr>
          <w:rFonts w:hint="default" w:ascii="Wingdings" w:hAnsi="Wingdings" w:cs="Wingdings"/>
          <w:sz w:val="24"/>
          <w:szCs w:val="24"/>
          <w:highlight w:val="none"/>
          <w:lang w:eastAsia="zh-CN"/>
        </w:rPr>
        <w:sym w:font="Wingdings" w:char="00A8"/>
      </w:r>
      <w:r>
        <w:rPr>
          <w:rFonts w:hint="eastAsia"/>
          <w:sz w:val="24"/>
          <w:szCs w:val="24"/>
          <w:highlight w:val="none"/>
          <w:lang w:eastAsia="zh-CN"/>
        </w:rPr>
        <w:t>允许分包，但必须符合以下要求：</w:t>
      </w:r>
    </w:p>
    <w:p>
      <w:pPr>
        <w:pStyle w:val="4"/>
        <w:jc w:val="left"/>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u w:val="single"/>
          <w:lang w:val="en-US" w:eastAsia="zh-CN" w:bidi="ar-SA"/>
        </w:rPr>
        <w:t xml:space="preserve">                                      /                                     </w:t>
      </w:r>
    </w:p>
    <w:p>
      <w:pPr>
        <w:rPr>
          <w:rFonts w:hint="eastAsia" w:ascii="宋体" w:hAnsi="宋体" w:eastAsia="宋体" w:cs="宋体"/>
          <w:color w:val="auto"/>
          <w:kern w:val="2"/>
          <w:sz w:val="24"/>
          <w:szCs w:val="24"/>
          <w:highlight w:val="none"/>
          <w:u w:val="single"/>
          <w:lang w:val="en-US" w:eastAsia="zh-CN" w:bidi="ar-SA"/>
        </w:rPr>
      </w:pPr>
    </w:p>
    <w:p>
      <w:pPr>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br w:type="page"/>
      </w:r>
    </w:p>
    <w:p>
      <w:pPr>
        <w:pStyle w:val="10"/>
        <w:keepNext w:val="0"/>
        <w:keepLines w:val="0"/>
        <w:pageBreakBefore w:val="0"/>
        <w:widowControl w:val="0"/>
        <w:numPr>
          <w:ilvl w:val="0"/>
          <w:numId w:val="5"/>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技术标准、要求及图纸（对应招标文件 第五章）</w:t>
      </w:r>
    </w:p>
    <w:p>
      <w:pPr>
        <w:pStyle w:val="6"/>
        <w:spacing w:before="0" w:after="0" w:line="240" w:lineRule="auto"/>
        <w:rPr>
          <w:rFonts w:hint="eastAsia" w:asciiTheme="minorEastAsia" w:hAnsiTheme="minorEastAsia" w:eastAsiaTheme="minorEastAsia" w:cstheme="minorEastAsia"/>
          <w:i w:val="0"/>
          <w:iCs/>
          <w:color w:val="auto"/>
          <w:sz w:val="24"/>
          <w:szCs w:val="24"/>
          <w:highlight w:val="none"/>
        </w:rPr>
      </w:pPr>
      <w:bookmarkStart w:id="1" w:name="_Toc508286565"/>
      <w:r>
        <w:rPr>
          <w:rFonts w:hint="eastAsia" w:asciiTheme="minorEastAsia" w:hAnsiTheme="minorEastAsia" w:eastAsiaTheme="minorEastAsia" w:cstheme="minorEastAsia"/>
          <w:i w:val="0"/>
          <w:iCs/>
          <w:color w:val="auto"/>
          <w:sz w:val="24"/>
          <w:szCs w:val="24"/>
          <w:highlight w:val="none"/>
          <w:lang w:eastAsia="zh-CN"/>
        </w:rPr>
        <w:t>一、</w:t>
      </w:r>
      <w:r>
        <w:rPr>
          <w:rFonts w:hint="eastAsia" w:asciiTheme="minorEastAsia" w:hAnsiTheme="minorEastAsia" w:eastAsiaTheme="minorEastAsia" w:cstheme="minorEastAsia"/>
          <w:i w:val="0"/>
          <w:iCs/>
          <w:color w:val="auto"/>
          <w:sz w:val="24"/>
          <w:szCs w:val="24"/>
          <w:highlight w:val="none"/>
        </w:rPr>
        <w:t xml:space="preserve"> 管理规范和技术（规范）标准（</w:t>
      </w:r>
      <w:r>
        <w:rPr>
          <w:rFonts w:hint="eastAsia" w:asciiTheme="minorEastAsia" w:hAnsiTheme="minorEastAsia" w:eastAsiaTheme="minorEastAsia" w:cstheme="minorEastAsia"/>
          <w:i w:val="0"/>
          <w:iCs/>
          <w:color w:val="auto"/>
          <w:sz w:val="24"/>
          <w:szCs w:val="24"/>
          <w:highlight w:val="none"/>
          <w:lang w:eastAsia="zh-CN"/>
        </w:rPr>
        <w:t>详见</w:t>
      </w:r>
      <w:r>
        <w:rPr>
          <w:rFonts w:hint="eastAsia" w:asciiTheme="minorEastAsia" w:hAnsiTheme="minorEastAsia" w:eastAsiaTheme="minorEastAsia" w:cstheme="minorEastAsia"/>
          <w:i w:val="0"/>
          <w:iCs/>
          <w:color w:val="auto"/>
          <w:sz w:val="24"/>
          <w:szCs w:val="24"/>
          <w:highlight w:val="none"/>
        </w:rPr>
        <w:t>合同附件）</w:t>
      </w:r>
      <w:bookmarkEnd w:id="1"/>
    </w:p>
    <w:p>
      <w:pPr>
        <w:pStyle w:val="10"/>
        <w:rPr>
          <w:rFonts w:hint="eastAsia" w:asciiTheme="minorEastAsia" w:hAnsiTheme="minorEastAsia" w:eastAsiaTheme="minorEastAsia" w:cstheme="minorEastAsia"/>
          <w:i w:val="0"/>
          <w:iCs/>
          <w:color w:val="auto"/>
          <w:sz w:val="24"/>
          <w:szCs w:val="24"/>
          <w:highlight w:val="none"/>
        </w:rPr>
      </w:pPr>
    </w:p>
    <w:p>
      <w:pPr>
        <w:pStyle w:val="6"/>
        <w:spacing w:before="0" w:after="0" w:line="240" w:lineRule="auto"/>
        <w:rPr>
          <w:rFonts w:hint="eastAsia" w:asciiTheme="minorEastAsia" w:hAnsiTheme="minorEastAsia" w:eastAsiaTheme="minorEastAsia" w:cstheme="minorEastAsia"/>
          <w:i w:val="0"/>
          <w:iCs/>
          <w:color w:val="auto"/>
          <w:sz w:val="24"/>
          <w:szCs w:val="24"/>
          <w:highlight w:val="none"/>
        </w:rPr>
      </w:pPr>
      <w:bookmarkStart w:id="2" w:name="_Toc508286566"/>
      <w:r>
        <w:rPr>
          <w:rFonts w:hint="eastAsia" w:asciiTheme="minorEastAsia" w:hAnsiTheme="minorEastAsia" w:eastAsiaTheme="minorEastAsia" w:cstheme="minorEastAsia"/>
          <w:i w:val="0"/>
          <w:iCs/>
          <w:color w:val="auto"/>
          <w:sz w:val="24"/>
          <w:szCs w:val="24"/>
          <w:highlight w:val="none"/>
          <w:lang w:eastAsia="zh-CN"/>
        </w:rPr>
        <w:t>二、</w:t>
      </w:r>
      <w:r>
        <w:rPr>
          <w:rFonts w:hint="eastAsia" w:asciiTheme="minorEastAsia" w:hAnsiTheme="minorEastAsia" w:eastAsiaTheme="minorEastAsia" w:cstheme="minorEastAsia"/>
          <w:i w:val="0"/>
          <w:iCs/>
          <w:color w:val="auto"/>
          <w:sz w:val="24"/>
          <w:szCs w:val="24"/>
          <w:highlight w:val="none"/>
        </w:rPr>
        <w:t>技术</w:t>
      </w:r>
      <w:r>
        <w:rPr>
          <w:rFonts w:hint="eastAsia" w:asciiTheme="minorEastAsia" w:hAnsiTheme="minorEastAsia" w:eastAsiaTheme="minorEastAsia" w:cstheme="minorEastAsia"/>
          <w:i w:val="0"/>
          <w:iCs/>
          <w:color w:val="auto"/>
          <w:sz w:val="24"/>
          <w:szCs w:val="24"/>
          <w:highlight w:val="none"/>
          <w:lang w:val="en-US" w:eastAsia="zh-CN"/>
        </w:rPr>
        <w:t>及管理</w:t>
      </w:r>
      <w:r>
        <w:rPr>
          <w:rFonts w:hint="eastAsia" w:asciiTheme="minorEastAsia" w:hAnsiTheme="minorEastAsia" w:eastAsiaTheme="minorEastAsia" w:cstheme="minorEastAsia"/>
          <w:i w:val="0"/>
          <w:iCs/>
          <w:color w:val="auto"/>
          <w:sz w:val="24"/>
          <w:szCs w:val="24"/>
          <w:highlight w:val="none"/>
        </w:rPr>
        <w:t>要求</w:t>
      </w:r>
      <w:bookmarkEnd w:id="2"/>
    </w:p>
    <w:p>
      <w:pPr>
        <w:autoSpaceDE w:val="0"/>
        <w:autoSpaceDN w:val="0"/>
        <w:adjustRightInd w:val="0"/>
        <w:rPr>
          <w:rFonts w:hint="eastAsia" w:asciiTheme="minorEastAsia" w:hAnsiTheme="minorEastAsia" w:eastAsiaTheme="minorEastAsia" w:cstheme="minorEastAsia"/>
          <w:i w:val="0"/>
          <w:iCs/>
          <w:color w:val="auto"/>
          <w:kern w:val="0"/>
          <w:sz w:val="24"/>
          <w:szCs w:val="24"/>
          <w:highlight w:val="none"/>
          <w:lang w:val="zh-CN"/>
        </w:rPr>
      </w:pPr>
      <w:r>
        <w:rPr>
          <w:rFonts w:hint="eastAsia" w:asciiTheme="minorEastAsia" w:hAnsiTheme="minorEastAsia" w:eastAsiaTheme="minorEastAsia" w:cstheme="minorEastAsia"/>
          <w:i w:val="0"/>
          <w:iCs/>
          <w:color w:val="auto"/>
          <w:kern w:val="0"/>
          <w:sz w:val="24"/>
          <w:szCs w:val="24"/>
          <w:highlight w:val="none"/>
          <w:lang w:val="zh-CN"/>
        </w:rPr>
        <w:t>（一）满足中国南方电网有限责任公司《监理项目部工作手册》、中国南方电网有限责任公司基建管理制度、建设单位的质量、环境和职业健康安全管理体系文件、其他有关制度和规定。</w:t>
      </w:r>
    </w:p>
    <w:p>
      <w:pPr>
        <w:pStyle w:val="6"/>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spacing w:before="157" w:beforeLines="50" w:line="360" w:lineRule="auto"/>
        <w:ind w:leftChars="0"/>
        <w:textAlignment w:val="auto"/>
        <w:outlineLvl w:val="1"/>
        <w:rPr>
          <w:rFonts w:hint="eastAsia" w:asciiTheme="minorEastAsia" w:hAnsiTheme="minorEastAsia" w:eastAsiaTheme="minorEastAsia" w:cstheme="minorEastAsia"/>
          <w:b w:val="0"/>
          <w:bCs/>
          <w:i w:val="0"/>
          <w:iCs/>
          <w:color w:val="auto"/>
          <w:kern w:val="0"/>
          <w:sz w:val="24"/>
          <w:szCs w:val="24"/>
          <w:highlight w:val="none"/>
          <w:lang w:val="zh-CN"/>
        </w:rPr>
      </w:pPr>
      <w:r>
        <w:rPr>
          <w:rFonts w:hint="eastAsia" w:asciiTheme="minorEastAsia" w:hAnsiTheme="minorEastAsia" w:eastAsiaTheme="minorEastAsia" w:cstheme="minorEastAsia"/>
          <w:b w:val="0"/>
          <w:bCs/>
          <w:i w:val="0"/>
          <w:iCs/>
          <w:color w:val="auto"/>
          <w:kern w:val="0"/>
          <w:sz w:val="24"/>
          <w:szCs w:val="24"/>
          <w:highlight w:val="none"/>
          <w:lang w:val="zh-CN"/>
        </w:rPr>
        <w:t>（二）符合图纸及技术文件的要求。</w:t>
      </w:r>
    </w:p>
    <w:p>
      <w:pPr>
        <w:pStyle w:val="6"/>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spacing w:before="157" w:beforeLines="50" w:line="360" w:lineRule="auto"/>
        <w:ind w:leftChars="0"/>
        <w:textAlignment w:val="auto"/>
        <w:outlineLvl w:val="1"/>
        <w:rPr>
          <w:rFonts w:hint="eastAsia" w:asciiTheme="minorEastAsia" w:hAnsiTheme="minorEastAsia" w:eastAsiaTheme="minorEastAsia" w:cstheme="minorEastAsia"/>
          <w:b w:val="0"/>
          <w:bCs w:val="0"/>
          <w:i w:val="0"/>
          <w:color w:val="auto"/>
          <w:kern w:val="2"/>
          <w:sz w:val="24"/>
          <w:szCs w:val="24"/>
          <w:highlight w:val="none"/>
          <w:lang w:val="en-US" w:eastAsia="zh-CN" w:bidi="ar-SA"/>
        </w:rPr>
      </w:pPr>
      <w:r>
        <w:rPr>
          <w:rFonts w:hint="eastAsia" w:asciiTheme="minorEastAsia" w:hAnsiTheme="minorEastAsia" w:eastAsiaTheme="minorEastAsia" w:cstheme="minorEastAsia"/>
          <w:b w:val="0"/>
          <w:bCs w:val="0"/>
          <w:i w:val="0"/>
          <w:color w:val="auto"/>
          <w:kern w:val="2"/>
          <w:sz w:val="24"/>
          <w:szCs w:val="24"/>
          <w:highlight w:val="none"/>
          <w:lang w:val="en-US" w:eastAsia="zh-CN" w:bidi="ar-SA"/>
        </w:rPr>
        <w:t>（三）严格执行以下管理要求：</w:t>
      </w:r>
    </w:p>
    <w:p>
      <w:pPr>
        <w:pStyle w:val="10"/>
        <w:numPr>
          <w:ilvl w:val="0"/>
          <w:numId w:val="0"/>
        </w:numPr>
        <w:rPr>
          <w:rFonts w:hint="eastAsia" w:hAnsi="宋体"/>
          <w:b w:val="0"/>
          <w:bCs w:val="0"/>
          <w:color w:val="auto"/>
          <w:sz w:val="24"/>
          <w:szCs w:val="24"/>
          <w:highlight w:val="none"/>
          <w:u w:val="none"/>
        </w:rPr>
      </w:pPr>
      <w:r>
        <w:rPr>
          <w:rFonts w:hint="eastAsia" w:hAnsi="宋体"/>
          <w:b w:val="0"/>
          <w:bCs w:val="0"/>
          <w:color w:val="auto"/>
          <w:sz w:val="24"/>
          <w:szCs w:val="24"/>
          <w:highlight w:val="none"/>
          <w:u w:val="none"/>
          <w:lang w:val="en-US" w:eastAsia="zh-CN"/>
        </w:rPr>
        <w:t>1、</w:t>
      </w:r>
      <w:r>
        <w:rPr>
          <w:rFonts w:hint="eastAsia" w:hAnsi="宋体"/>
          <w:b w:val="0"/>
          <w:bCs w:val="0"/>
          <w:color w:val="auto"/>
          <w:sz w:val="24"/>
          <w:szCs w:val="24"/>
          <w:highlight w:val="none"/>
          <w:u w:val="none"/>
        </w:rPr>
        <w:t>严格执行</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rPr>
        <w:t>保障中小企业款项支付条例</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rPr>
        <w:t>（中华人民共和国国务院令 第728号）</w:t>
      </w:r>
      <w:r>
        <w:rPr>
          <w:rFonts w:hint="eastAsia" w:hAnsi="宋体"/>
          <w:b w:val="0"/>
          <w:bCs w:val="0"/>
          <w:color w:val="auto"/>
          <w:sz w:val="24"/>
          <w:szCs w:val="24"/>
          <w:highlight w:val="none"/>
          <w:u w:val="none"/>
          <w:lang w:eastAsia="zh-CN"/>
        </w:rPr>
        <w:t>相关要求，确保</w:t>
      </w:r>
      <w:r>
        <w:rPr>
          <w:rFonts w:hint="eastAsia" w:ascii="宋体"/>
          <w:color w:val="auto"/>
          <w:sz w:val="24"/>
          <w:szCs w:val="24"/>
          <w:highlight w:val="none"/>
          <w:u w:val="none"/>
          <w:lang w:eastAsia="zh-CN"/>
        </w:rPr>
        <w:t>款项支付依法合规</w:t>
      </w:r>
      <w:r>
        <w:rPr>
          <w:rFonts w:hint="eastAsia"/>
          <w:color w:val="auto"/>
          <w:sz w:val="24"/>
          <w:szCs w:val="24"/>
          <w:highlight w:val="none"/>
          <w:u w:val="none"/>
          <w:lang w:eastAsia="zh-CN"/>
        </w:rPr>
        <w:t>。</w:t>
      </w:r>
    </w:p>
    <w:p>
      <w:pPr>
        <w:pStyle w:val="10"/>
        <w:numPr>
          <w:ilvl w:val="0"/>
          <w:numId w:val="6"/>
        </w:numPr>
        <w:rPr>
          <w:rFonts w:hint="eastAsia" w:hAnsi="宋体"/>
          <w:b w:val="0"/>
          <w:bCs w:val="0"/>
          <w:color w:val="auto"/>
          <w:sz w:val="24"/>
          <w:szCs w:val="24"/>
          <w:highlight w:val="none"/>
          <w:u w:val="none"/>
        </w:rPr>
      </w:pPr>
      <w:r>
        <w:rPr>
          <w:rFonts w:hint="eastAsia" w:hAnsi="宋体"/>
          <w:b w:val="0"/>
          <w:bCs w:val="0"/>
          <w:color w:val="auto"/>
          <w:sz w:val="24"/>
          <w:szCs w:val="24"/>
          <w:highlight w:val="none"/>
          <w:u w:val="none"/>
        </w:rPr>
        <w:t>按照公司要求使用资产管理信息系统及南网基建移动应用，若违反使用要求，按照南网基建承包商处罚条款进行扣分。</w:t>
      </w:r>
    </w:p>
    <w:p>
      <w:pPr>
        <w:pStyle w:val="10"/>
        <w:numPr>
          <w:ilvl w:val="0"/>
          <w:numId w:val="6"/>
        </w:numPr>
        <w:rPr>
          <w:rFonts w:hint="eastAsia" w:hAnsi="宋体"/>
          <w:b w:val="0"/>
          <w:bCs w:val="0"/>
          <w:color w:val="auto"/>
          <w:sz w:val="24"/>
          <w:szCs w:val="24"/>
          <w:highlight w:val="none"/>
          <w:u w:val="none"/>
        </w:rPr>
      </w:pPr>
      <w:r>
        <w:rPr>
          <w:rFonts w:hint="eastAsia" w:hAnsi="宋体"/>
          <w:color w:val="auto"/>
          <w:sz w:val="24"/>
          <w:szCs w:val="24"/>
          <w:highlight w:val="none"/>
          <w:u w:val="none"/>
        </w:rPr>
        <w:t>持续推进基建安风体系认证工作，严格执行“四步法”、“八步骤”、“7S”管理，规范PPE（人工防护用品）管理，形成施工现场安全管理文化。</w:t>
      </w:r>
    </w:p>
    <w:p>
      <w:pPr>
        <w:pStyle w:val="10"/>
        <w:numPr>
          <w:ilvl w:val="0"/>
          <w:numId w:val="6"/>
        </w:numPr>
        <w:rPr>
          <w:rFonts w:hint="eastAsia" w:hAnsi="宋体"/>
          <w:b w:val="0"/>
          <w:bCs w:val="0"/>
          <w:color w:val="auto"/>
          <w:sz w:val="24"/>
          <w:szCs w:val="24"/>
          <w:highlight w:val="none"/>
          <w:u w:val="none"/>
        </w:rPr>
      </w:pPr>
      <w:r>
        <w:rPr>
          <w:rFonts w:hint="eastAsia" w:hAnsi="宋体"/>
          <w:color w:val="auto"/>
          <w:sz w:val="24"/>
          <w:szCs w:val="24"/>
          <w:highlight w:val="none"/>
          <w:u w:val="none"/>
        </w:rPr>
        <w:t>服从《南方电网公司基建承包商违章处罚条款》的日常检查及处罚、服从各建设单位安全违章处罚、服从各建设单位安全整顿及安全学习等各项安全管理指令。</w:t>
      </w:r>
    </w:p>
    <w:p>
      <w:pPr>
        <w:pStyle w:val="10"/>
        <w:numPr>
          <w:ilvl w:val="0"/>
          <w:numId w:val="6"/>
        </w:numPr>
        <w:rPr>
          <w:rFonts w:hint="eastAsia" w:hAnsi="宋体"/>
          <w:b w:val="0"/>
          <w:bCs w:val="0"/>
          <w:color w:val="auto"/>
          <w:sz w:val="24"/>
          <w:szCs w:val="24"/>
          <w:highlight w:val="none"/>
          <w:u w:val="none"/>
        </w:rPr>
      </w:pPr>
      <w:r>
        <w:rPr>
          <w:rFonts w:hint="eastAsia" w:hAnsi="宋体"/>
          <w:color w:val="auto"/>
          <w:sz w:val="24"/>
          <w:szCs w:val="24"/>
          <w:highlight w:val="none"/>
          <w:u w:val="none"/>
        </w:rPr>
        <w:t>遵守国家、电力行业、公司持证上岗相关要求。</w:t>
      </w:r>
    </w:p>
    <w:p>
      <w:pPr>
        <w:pStyle w:val="10"/>
        <w:numPr>
          <w:ilvl w:val="0"/>
          <w:numId w:val="6"/>
        </w:numPr>
        <w:rPr>
          <w:rFonts w:hint="eastAsia" w:hAnsi="宋体"/>
          <w:b w:val="0"/>
          <w:bCs w:val="0"/>
          <w:color w:val="auto"/>
          <w:sz w:val="24"/>
          <w:szCs w:val="24"/>
          <w:highlight w:val="none"/>
          <w:u w:val="none"/>
        </w:rPr>
      </w:pPr>
      <w:r>
        <w:rPr>
          <w:rFonts w:hint="eastAsia" w:hAnsi="宋体"/>
          <w:color w:val="auto"/>
          <w:sz w:val="24"/>
          <w:szCs w:val="24"/>
          <w:highlight w:val="none"/>
          <w:u w:val="none"/>
        </w:rPr>
        <w:t>自愿参加南方电网公司基建承包商登记建档并服从承包商管理相关规定。</w:t>
      </w:r>
    </w:p>
    <w:p>
      <w:pPr>
        <w:pStyle w:val="10"/>
        <w:numPr>
          <w:ilvl w:val="0"/>
          <w:numId w:val="6"/>
        </w:numPr>
        <w:rPr>
          <w:rFonts w:hint="eastAsia" w:hAnsi="宋体"/>
          <w:b w:val="0"/>
          <w:bCs w:val="0"/>
          <w:color w:val="auto"/>
          <w:sz w:val="24"/>
          <w:szCs w:val="24"/>
          <w:highlight w:val="none"/>
          <w:u w:val="none"/>
        </w:rPr>
      </w:pPr>
      <w:r>
        <w:rPr>
          <w:rFonts w:hint="eastAsia" w:hAnsi="宋体"/>
          <w:color w:val="auto"/>
          <w:sz w:val="24"/>
          <w:szCs w:val="24"/>
          <w:highlight w:val="none"/>
          <w:u w:val="none"/>
        </w:rPr>
        <w:t>严格执行南网“八不准”。</w:t>
      </w:r>
    </w:p>
    <w:p>
      <w:pPr>
        <w:pStyle w:val="10"/>
        <w:numPr>
          <w:ilvl w:val="0"/>
          <w:numId w:val="6"/>
        </w:numPr>
        <w:rPr>
          <w:rFonts w:hint="eastAsia" w:hAnsi="宋体"/>
          <w:b w:val="0"/>
          <w:bCs w:val="0"/>
          <w:color w:val="auto"/>
          <w:sz w:val="24"/>
          <w:szCs w:val="24"/>
          <w:highlight w:val="none"/>
          <w:u w:val="none"/>
        </w:rPr>
      </w:pPr>
      <w:r>
        <w:rPr>
          <w:rFonts w:hint="eastAsia" w:hAnsi="宋体"/>
          <w:color w:val="auto"/>
          <w:sz w:val="24"/>
          <w:szCs w:val="24"/>
          <w:highlight w:val="none"/>
          <w:u w:val="none"/>
        </w:rPr>
        <w:t>深化WHS、施工作业指导书和验评标准的现场应用。</w:t>
      </w:r>
    </w:p>
    <w:p>
      <w:pPr>
        <w:pStyle w:val="10"/>
        <w:numPr>
          <w:ilvl w:val="0"/>
          <w:numId w:val="6"/>
        </w:numPr>
        <w:rPr>
          <w:rFonts w:hint="eastAsia" w:hAnsi="宋体"/>
          <w:b w:val="0"/>
          <w:bCs w:val="0"/>
          <w:color w:val="auto"/>
          <w:sz w:val="24"/>
          <w:szCs w:val="24"/>
          <w:highlight w:val="none"/>
          <w:u w:val="none"/>
        </w:rPr>
      </w:pPr>
      <w:r>
        <w:rPr>
          <w:rFonts w:hint="eastAsia" w:hAnsi="宋体"/>
          <w:color w:val="auto"/>
          <w:sz w:val="24"/>
          <w:szCs w:val="24"/>
          <w:highlight w:val="none"/>
          <w:u w:val="none"/>
        </w:rPr>
        <w:t>完善基建项目缺陷管理制度、表单，所有项目均严格实行缺陷填报。</w:t>
      </w:r>
    </w:p>
    <w:p>
      <w:pPr>
        <w:pStyle w:val="10"/>
        <w:numPr>
          <w:ilvl w:val="0"/>
          <w:numId w:val="6"/>
        </w:numPr>
        <w:rPr>
          <w:rFonts w:hint="eastAsia" w:asciiTheme="minorEastAsia" w:hAnsiTheme="minorEastAsia" w:eastAsiaTheme="minorEastAsia" w:cstheme="minorEastAsia"/>
          <w:b w:val="0"/>
          <w:bCs w:val="0"/>
          <w:i w:val="0"/>
          <w:color w:val="auto"/>
          <w:kern w:val="2"/>
          <w:sz w:val="24"/>
          <w:szCs w:val="24"/>
          <w:highlight w:val="none"/>
          <w:u w:val="none"/>
          <w:lang w:val="en-US" w:eastAsia="zh-CN" w:bidi="ar-SA"/>
        </w:rPr>
      </w:pPr>
      <w:r>
        <w:rPr>
          <w:rFonts w:hint="eastAsia" w:hAnsi="宋体"/>
          <w:color w:val="auto"/>
          <w:sz w:val="24"/>
          <w:szCs w:val="24"/>
          <w:highlight w:val="none"/>
          <w:u w:val="none"/>
        </w:rPr>
        <w:t>积极配合执行各建设单位开展的信息化管理项目、新技术、新工艺开发应用。</w:t>
      </w:r>
    </w:p>
    <w:p>
      <w:pPr>
        <w:pStyle w:val="10"/>
        <w:keepNext w:val="0"/>
        <w:keepLines w:val="0"/>
        <w:pageBreakBefore w:val="0"/>
        <w:widowControl w:val="0"/>
        <w:kinsoku/>
        <w:wordWrap/>
        <w:overflowPunct/>
        <w:topLinePunct w:val="0"/>
        <w:autoSpaceDE/>
        <w:autoSpaceDN/>
        <w:bidi w:val="0"/>
        <w:adjustRightInd/>
        <w:snapToGrid/>
        <w:spacing w:line="480" w:lineRule="atLeast"/>
        <w:textAlignment w:val="auto"/>
        <w:rPr>
          <w:rFonts w:hint="eastAsia" w:ascii="宋体" w:hAnsi="宋体" w:eastAsia="宋体" w:cs="宋体"/>
          <w:color w:val="auto"/>
          <w:sz w:val="24"/>
          <w:szCs w:val="24"/>
          <w:highlight w:val="none"/>
          <w:u w:val="single"/>
          <w:lang w:val="en-US" w:eastAsia="zh-CN"/>
        </w:rPr>
      </w:pPr>
    </w:p>
    <w:sectPr>
      <w:pgSz w:w="11906" w:h="16838"/>
      <w:pgMar w:top="1440" w:right="1080" w:bottom="1440" w:left="108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EE20F8"/>
    <w:multiLevelType w:val="singleLevel"/>
    <w:tmpl w:val="EAEE20F8"/>
    <w:lvl w:ilvl="0" w:tentative="0">
      <w:start w:val="2"/>
      <w:numFmt w:val="chineseCounting"/>
      <w:suff w:val="nothing"/>
      <w:lvlText w:val="第%1部分."/>
      <w:lvlJc w:val="left"/>
      <w:rPr>
        <w:rFonts w:hint="eastAsia"/>
      </w:rPr>
    </w:lvl>
  </w:abstractNum>
  <w:abstractNum w:abstractNumId="1">
    <w:nsid w:val="0D7920FF"/>
    <w:multiLevelType w:val="singleLevel"/>
    <w:tmpl w:val="0D7920FF"/>
    <w:lvl w:ilvl="0" w:tentative="0">
      <w:start w:val="1"/>
      <w:numFmt w:val="chineseCounting"/>
      <w:suff w:val="nothing"/>
      <w:lvlText w:val="第%1部分."/>
      <w:lvlJc w:val="left"/>
      <w:rPr>
        <w:rFonts w:hint="eastAsia"/>
      </w:rPr>
    </w:lvl>
  </w:abstractNum>
  <w:abstractNum w:abstractNumId="2">
    <w:nsid w:val="2498DF35"/>
    <w:multiLevelType w:val="singleLevel"/>
    <w:tmpl w:val="2498DF35"/>
    <w:lvl w:ilvl="0" w:tentative="0">
      <w:start w:val="1"/>
      <w:numFmt w:val="decimal"/>
      <w:suff w:val="nothing"/>
      <w:lvlText w:val="%1）"/>
      <w:lvlJc w:val="left"/>
    </w:lvl>
  </w:abstractNum>
  <w:abstractNum w:abstractNumId="3">
    <w:nsid w:val="31B0F12E"/>
    <w:multiLevelType w:val="singleLevel"/>
    <w:tmpl w:val="31B0F12E"/>
    <w:lvl w:ilvl="0" w:tentative="0">
      <w:start w:val="1"/>
      <w:numFmt w:val="decimal"/>
      <w:suff w:val="nothing"/>
      <w:lvlText w:val="（%1）"/>
      <w:lvlJc w:val="left"/>
    </w:lvl>
  </w:abstractNum>
  <w:abstractNum w:abstractNumId="4">
    <w:nsid w:val="4122DDE1"/>
    <w:multiLevelType w:val="singleLevel"/>
    <w:tmpl w:val="4122DDE1"/>
    <w:lvl w:ilvl="0" w:tentative="0">
      <w:start w:val="2"/>
      <w:numFmt w:val="decimal"/>
      <w:suff w:val="nothing"/>
      <w:lvlText w:val="%1、"/>
      <w:lvlJc w:val="left"/>
    </w:lvl>
  </w:abstractNum>
  <w:abstractNum w:abstractNumId="5">
    <w:nsid w:val="6D84A2B7"/>
    <w:multiLevelType w:val="singleLevel"/>
    <w:tmpl w:val="6D84A2B7"/>
    <w:lvl w:ilvl="0" w:tentative="0">
      <w:start w:val="1"/>
      <w:numFmt w:val="decimal"/>
      <w:lvlText w:val="%1."/>
      <w:lvlJc w:val="left"/>
      <w:pPr>
        <w:tabs>
          <w:tab w:val="left" w:pos="312"/>
        </w:tabs>
      </w:pPr>
    </w:lvl>
  </w:abstractNum>
  <w:num w:numId="1">
    <w:abstractNumId w:val="1"/>
  </w:num>
  <w:num w:numId="2">
    <w:abstractNumId w:val="5"/>
  </w:num>
  <w:num w:numId="3">
    <w:abstractNumId w:val="3"/>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F737D8"/>
    <w:rsid w:val="001270A5"/>
    <w:rsid w:val="007A4AD7"/>
    <w:rsid w:val="034C42F7"/>
    <w:rsid w:val="039575D4"/>
    <w:rsid w:val="03F1316B"/>
    <w:rsid w:val="04A24F71"/>
    <w:rsid w:val="05EB394E"/>
    <w:rsid w:val="06F10EB7"/>
    <w:rsid w:val="076F3B3B"/>
    <w:rsid w:val="07CA37DF"/>
    <w:rsid w:val="07CC3833"/>
    <w:rsid w:val="090044B4"/>
    <w:rsid w:val="0BC07002"/>
    <w:rsid w:val="0BD30473"/>
    <w:rsid w:val="0DD645B4"/>
    <w:rsid w:val="0E2F4C02"/>
    <w:rsid w:val="0E3616E0"/>
    <w:rsid w:val="0E937FF7"/>
    <w:rsid w:val="0F81532F"/>
    <w:rsid w:val="107144D2"/>
    <w:rsid w:val="116419AD"/>
    <w:rsid w:val="11794537"/>
    <w:rsid w:val="11DF6CFE"/>
    <w:rsid w:val="13383335"/>
    <w:rsid w:val="13BE0DCC"/>
    <w:rsid w:val="14440D4B"/>
    <w:rsid w:val="14B666F3"/>
    <w:rsid w:val="15056A61"/>
    <w:rsid w:val="15E77962"/>
    <w:rsid w:val="182633AB"/>
    <w:rsid w:val="18E57496"/>
    <w:rsid w:val="1A2D5CFF"/>
    <w:rsid w:val="1A386933"/>
    <w:rsid w:val="1A4F176B"/>
    <w:rsid w:val="1A912F72"/>
    <w:rsid w:val="1B663F82"/>
    <w:rsid w:val="1BCD707C"/>
    <w:rsid w:val="1BFC2F15"/>
    <w:rsid w:val="1C2D4629"/>
    <w:rsid w:val="1C43636C"/>
    <w:rsid w:val="1D904223"/>
    <w:rsid w:val="1F653C49"/>
    <w:rsid w:val="1F6C0D31"/>
    <w:rsid w:val="1FF914D4"/>
    <w:rsid w:val="20735046"/>
    <w:rsid w:val="216F4D5B"/>
    <w:rsid w:val="23B738BA"/>
    <w:rsid w:val="24E67795"/>
    <w:rsid w:val="24F737D8"/>
    <w:rsid w:val="25100685"/>
    <w:rsid w:val="26A73075"/>
    <w:rsid w:val="295727E0"/>
    <w:rsid w:val="2CA17C08"/>
    <w:rsid w:val="2DDF66E3"/>
    <w:rsid w:val="2FF65FF8"/>
    <w:rsid w:val="300D195C"/>
    <w:rsid w:val="30BF37B5"/>
    <w:rsid w:val="31C955A9"/>
    <w:rsid w:val="338350FE"/>
    <w:rsid w:val="33B200AF"/>
    <w:rsid w:val="33BC6731"/>
    <w:rsid w:val="33E61BE2"/>
    <w:rsid w:val="361736AD"/>
    <w:rsid w:val="367C3D7A"/>
    <w:rsid w:val="36D200CF"/>
    <w:rsid w:val="379951F8"/>
    <w:rsid w:val="380F1889"/>
    <w:rsid w:val="38382DC3"/>
    <w:rsid w:val="38DE045C"/>
    <w:rsid w:val="3A546240"/>
    <w:rsid w:val="3BF24D81"/>
    <w:rsid w:val="3BFE7BEA"/>
    <w:rsid w:val="3C4750A3"/>
    <w:rsid w:val="3C4A35F1"/>
    <w:rsid w:val="3DCF5ED3"/>
    <w:rsid w:val="3E664B6D"/>
    <w:rsid w:val="3ED7087B"/>
    <w:rsid w:val="3F141BFC"/>
    <w:rsid w:val="444D481C"/>
    <w:rsid w:val="44982260"/>
    <w:rsid w:val="44D414C9"/>
    <w:rsid w:val="457540AA"/>
    <w:rsid w:val="46472D5E"/>
    <w:rsid w:val="46921BFD"/>
    <w:rsid w:val="496A657E"/>
    <w:rsid w:val="49843C09"/>
    <w:rsid w:val="4B3A1BDA"/>
    <w:rsid w:val="4BF83760"/>
    <w:rsid w:val="4C8349B8"/>
    <w:rsid w:val="520D6E5F"/>
    <w:rsid w:val="53115540"/>
    <w:rsid w:val="55C3156A"/>
    <w:rsid w:val="57506750"/>
    <w:rsid w:val="5782183A"/>
    <w:rsid w:val="57BD355E"/>
    <w:rsid w:val="59A5419F"/>
    <w:rsid w:val="5B0320E2"/>
    <w:rsid w:val="5B8B11A7"/>
    <w:rsid w:val="5B9E2EC4"/>
    <w:rsid w:val="5C6970CA"/>
    <w:rsid w:val="608606DE"/>
    <w:rsid w:val="60EA689A"/>
    <w:rsid w:val="610E324A"/>
    <w:rsid w:val="61F31EFD"/>
    <w:rsid w:val="63066BC7"/>
    <w:rsid w:val="63D0487B"/>
    <w:rsid w:val="64672037"/>
    <w:rsid w:val="64911DA0"/>
    <w:rsid w:val="64DB776F"/>
    <w:rsid w:val="65945D8D"/>
    <w:rsid w:val="66C35559"/>
    <w:rsid w:val="67D57489"/>
    <w:rsid w:val="68570F93"/>
    <w:rsid w:val="6A287B5E"/>
    <w:rsid w:val="6AB96187"/>
    <w:rsid w:val="6B303A1A"/>
    <w:rsid w:val="6DAA2FDF"/>
    <w:rsid w:val="6E121228"/>
    <w:rsid w:val="6FC971BF"/>
    <w:rsid w:val="70D1495F"/>
    <w:rsid w:val="70ED510D"/>
    <w:rsid w:val="741F72F3"/>
    <w:rsid w:val="74695E39"/>
    <w:rsid w:val="74BA59EB"/>
    <w:rsid w:val="754C6F3B"/>
    <w:rsid w:val="75B11AFF"/>
    <w:rsid w:val="75D32619"/>
    <w:rsid w:val="75D7406F"/>
    <w:rsid w:val="765369C1"/>
    <w:rsid w:val="767D6887"/>
    <w:rsid w:val="778203F0"/>
    <w:rsid w:val="780B6A75"/>
    <w:rsid w:val="79F83E18"/>
    <w:rsid w:val="7A262145"/>
    <w:rsid w:val="7A53531F"/>
    <w:rsid w:val="7BEC3F2B"/>
    <w:rsid w:val="7D0F76D8"/>
    <w:rsid w:val="7E3420E0"/>
    <w:rsid w:val="7E535DCD"/>
    <w:rsid w:val="7F7B43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5">
    <w:name w:val="heading 1"/>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color w:val="000000"/>
      <w:sz w:val="32"/>
    </w:rPr>
  </w:style>
  <w:style w:type="paragraph" w:styleId="6">
    <w:name w:val="heading 2"/>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i/>
      <w:color w:val="000000"/>
      <w:sz w:val="28"/>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keepNext w:val="0"/>
      <w:keepLines w:val="0"/>
      <w:widowControl w:val="0"/>
      <w:suppressLineNumbers w:val="0"/>
      <w:pBdr>
        <w:top w:val="none" w:color="auto" w:sz="0" w:space="0"/>
        <w:left w:val="none" w:color="auto" w:sz="0" w:space="0"/>
        <w:bottom w:val="none" w:color="auto" w:sz="0" w:space="0"/>
        <w:right w:val="none" w:color="auto" w:sz="0" w:space="0"/>
      </w:pBdr>
      <w:spacing w:beforeLines="50" w:beforeAutospacing="0" w:afterLines="50" w:afterAutospacing="0" w:line="360" w:lineRule="auto"/>
      <w:ind w:firstLine="200" w:firstLineChars="200"/>
      <w:jc w:val="both"/>
    </w:pPr>
    <w:rPr>
      <w:rFonts w:hint="default" w:ascii="Times New Roman" w:hAnsi="Times New Roman" w:eastAsia="宋体" w:cs="Times New Roman"/>
      <w:kern w:val="2"/>
      <w:sz w:val="24"/>
      <w:szCs w:val="24"/>
      <w:lang w:val="en-US" w:eastAsia="zh-CN" w:bidi="ar"/>
    </w:rPr>
  </w:style>
  <w:style w:type="paragraph" w:styleId="3">
    <w:name w:val="Body Text"/>
    <w:basedOn w:val="1"/>
    <w:next w:val="4"/>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4">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7">
    <w:name w:val="Normal Indent"/>
    <w:basedOn w:val="1"/>
    <w:qFormat/>
    <w:uiPriority w:val="0"/>
    <w:pPr>
      <w:ind w:firstLine="420"/>
    </w:pPr>
    <w:rPr>
      <w:rFonts w:ascii="Times New Roman" w:hAnsi="Times New Roman" w:cs="Times New Roman"/>
      <w:kern w:val="0"/>
      <w:sz w:val="20"/>
      <w:szCs w:val="20"/>
    </w:rPr>
  </w:style>
  <w:style w:type="paragraph" w:styleId="8">
    <w:name w:val="annotation text"/>
    <w:basedOn w:val="1"/>
    <w:qFormat/>
    <w:uiPriority w:val="0"/>
    <w:pPr>
      <w:jc w:val="left"/>
    </w:pPr>
  </w:style>
  <w:style w:type="paragraph" w:styleId="9">
    <w:name w:val="Body Text Indent"/>
    <w:basedOn w:val="1"/>
    <w:qFormat/>
    <w:uiPriority w:val="0"/>
    <w:pPr>
      <w:spacing w:after="120"/>
      <w:ind w:left="420" w:leftChars="200"/>
    </w:pPr>
  </w:style>
  <w:style w:type="paragraph" w:styleId="10">
    <w:name w:val="Plain Text"/>
    <w:basedOn w:val="1"/>
    <w:next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目录 21"/>
    <w:basedOn w:val="1"/>
    <w:next w:val="1"/>
    <w:qFormat/>
    <w:uiPriority w:val="0"/>
    <w:pPr>
      <w:spacing w:before="100" w:beforeAutospacing="1" w:after="100" w:afterAutospacing="1"/>
      <w:ind w:left="420" w:leftChars="200"/>
    </w:pPr>
  </w:style>
  <w:style w:type="paragraph" w:customStyle="1" w:styleId="15">
    <w:name w:val="正文首行缩进1"/>
    <w:basedOn w:val="1"/>
    <w:qFormat/>
    <w:uiPriority w:val="0"/>
    <w:pPr>
      <w:spacing w:line="360" w:lineRule="auto"/>
      <w:ind w:firstLine="200" w:firstLineChars="200"/>
    </w:pPr>
    <w:rPr>
      <w:kern w:val="2"/>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1272</Words>
  <Characters>1433</Characters>
  <Lines>0</Lines>
  <Paragraphs>0</Paragraphs>
  <TotalTime>1</TotalTime>
  <ScaleCrop>false</ScaleCrop>
  <LinksUpToDate>false</LinksUpToDate>
  <CharactersWithSpaces>1438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2021-02-24T07:45:00Z</dcterms:created>
  <dc:creator>maja</dc:creator>
  <cp:lastModifiedBy>Administrator</cp:lastModifiedBy>
  <cp:lastPrinted>2025-04-11T01:18:00Z</cp:lastPrinted>
  <dcterms:modified xsi:type="dcterms:W3CDTF">2025-09-12T08:47:36Z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7BCE9E0A8181470287FB2B710BD828BF</vt:lpwstr>
  </property>
  <property fmtid="{D5CDD505-2E9C-101B-9397-08002B2CF9AE}" pid="4" name="KSOTemplateDocerSaveRecord">
    <vt:lpwstr>eyJoZGlkIjoiNTU0ZmIwYTQ3NzlmZGUxZmU3Zjk0M2IyZTNmM2IxNjAiLCJ1c2VySWQiOiIyNjA4NTcxODEifQ==</vt:lpwstr>
  </property>
</Properties>
</file>