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附件B-招标文件3.2条款及合同文本条款差异说明</w:t>
      </w:r>
    </w:p>
    <w:p>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pPr>
        <w:keepNext w:val="0"/>
        <w:keepLines w:val="0"/>
        <w:pageBreakBefore w:val="0"/>
        <w:numPr>
          <w:ilvl w:val="0"/>
          <w:numId w:val="0"/>
        </w:numPr>
        <w:kinsoku/>
        <w:wordWrap/>
        <w:overflowPunct/>
        <w:topLinePunct w:val="0"/>
        <w:bidi w:val="0"/>
        <w:spacing w:line="360" w:lineRule="auto"/>
        <w:jc w:val="left"/>
        <w:outlineLvl w:val="0"/>
        <w:rPr>
          <w:rFonts w:hint="eastAsia"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 xml:space="preserve">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中国南方电网有限责任公司基建输变电工程施工合同（202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3</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版） </w:t>
      </w:r>
    </w:p>
    <w:p>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（广州局初设招标）</w:t>
      </w:r>
    </w:p>
    <w:p>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21"/>
          <w:szCs w:val="21"/>
          <w:highlight w:val="none"/>
          <w:shd w:val="clear" w:color="auto" w:fill="auto"/>
        </w:rPr>
      </w:pPr>
      <w:r>
        <w:rPr>
          <w:rFonts w:hint="eastAsia" w:hAnsi="宋体" w:eastAsia="宋体"/>
          <w:b/>
          <w:color w:val="auto"/>
          <w:highlight w:val="none"/>
          <w:shd w:val="clear" w:color="auto" w:fill="auto"/>
        </w:rPr>
        <w:t>3.2 投标报价</w:t>
      </w:r>
      <w:r>
        <w:rPr>
          <w:rFonts w:hint="eastAsia" w:ascii="宋体" w:hAnsi="宋体" w:eastAsia="宋体" w:cs="宋体"/>
          <w:b/>
          <w:color w:val="auto"/>
          <w:sz w:val="21"/>
          <w:szCs w:val="21"/>
          <w:highlight w:val="none"/>
          <w:shd w:val="clear" w:color="auto" w:fill="auto"/>
        </w:rPr>
        <w:t>（采用暂定价、投标</w:t>
      </w:r>
      <w:r>
        <w:rPr>
          <w:rFonts w:hint="eastAsia" w:hAnsi="宋体" w:cs="宋体"/>
          <w:b/>
          <w:color w:val="auto"/>
          <w:sz w:val="21"/>
          <w:szCs w:val="21"/>
          <w:highlight w:val="none"/>
          <w:shd w:val="clear" w:color="auto" w:fill="auto"/>
          <w:lang w:val="en-US" w:eastAsia="zh-CN"/>
        </w:rPr>
        <w:t>下浮</w:t>
      </w:r>
      <w:r>
        <w:rPr>
          <w:rFonts w:hint="eastAsia" w:ascii="宋体" w:hAnsi="宋体" w:eastAsia="宋体" w:cs="宋体"/>
          <w:b/>
          <w:color w:val="auto"/>
          <w:sz w:val="21"/>
          <w:szCs w:val="21"/>
          <w:highlight w:val="none"/>
          <w:shd w:val="clear" w:color="auto" w:fill="auto"/>
        </w:rPr>
        <w:t>率的报价形式）</w:t>
      </w:r>
    </w:p>
    <w:p>
      <w:pPr>
        <w:pStyle w:val="6"/>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p>
    <w:p>
      <w:pPr>
        <w:pStyle w:val="6"/>
        <w:ind w:firstLine="420" w:firstLineChars="200"/>
        <w:rPr>
          <w:rFonts w:hint="eastAsia" w:hAnsi="宋体"/>
          <w:color w:val="auto"/>
          <w:highlight w:val="none"/>
        </w:rPr>
      </w:pPr>
      <w:r>
        <w:rPr>
          <w:rFonts w:hint="eastAsia" w:ascii="宋体" w:hAnsi="宋体"/>
          <w:color w:val="auto"/>
          <w:sz w:val="21"/>
          <w:szCs w:val="21"/>
          <w:highlight w:val="none"/>
          <w:shd w:val="clear" w:color="auto" w:fill="auto"/>
        </w:rPr>
        <w:t>3.2.2最高投标限价组成</w:t>
      </w:r>
    </w:p>
    <w:p>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hint="eastAsia" w:ascii="宋体" w:hAnsi="宋体"/>
          <w:color w:val="auto"/>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w:t>
      </w:r>
      <w:r>
        <w:rPr>
          <w:rFonts w:hint="eastAsia" w:ascii="宋体" w:hAnsi="宋体"/>
          <w:color w:val="auto"/>
          <w:sz w:val="21"/>
          <w:szCs w:val="21"/>
          <w:highlight w:val="none"/>
        </w:rPr>
        <w:t>本工程的初步设计审定概算中招标范围内的费用。</w:t>
      </w:r>
    </w:p>
    <w:p>
      <w:pPr>
        <w:keepNext w:val="0"/>
        <w:keepLines w:val="0"/>
        <w:pageBreakBefore w:val="0"/>
        <w:widowControl w:val="0"/>
        <w:kinsoku/>
        <w:wordWrap/>
        <w:overflowPunct/>
        <w:topLinePunct w:val="0"/>
        <w:autoSpaceDE/>
        <w:autoSpaceDN/>
        <w:bidi w:val="0"/>
        <w:adjustRightInd/>
        <w:snapToGrid/>
        <w:spacing w:line="360" w:lineRule="auto"/>
        <w:ind w:firstLine="315" w:firstLineChars="150"/>
        <w:textAlignment w:val="auto"/>
        <w:rPr>
          <w:rFonts w:hint="eastAsia" w:ascii="宋体" w:hAnsi="宋体"/>
          <w:color w:val="auto"/>
          <w:sz w:val="21"/>
          <w:szCs w:val="21"/>
          <w:highlight w:val="none"/>
        </w:rPr>
      </w:pPr>
      <w:r>
        <w:rPr>
          <w:rFonts w:hint="eastAsia" w:ascii="宋体" w:hAnsi="宋体"/>
          <w:color w:val="auto"/>
          <w:sz w:val="21"/>
          <w:szCs w:val="21"/>
          <w:highlight w:val="none"/>
        </w:rPr>
        <w:t>（2</w:t>
      </w:r>
      <w:r>
        <w:rPr>
          <w:rFonts w:ascii="宋体" w:hAnsi="宋体"/>
          <w:color w:val="auto"/>
          <w:sz w:val="21"/>
          <w:szCs w:val="21"/>
          <w:highlight w:val="none"/>
        </w:rPr>
        <w:t>）</w:t>
      </w:r>
      <w:r>
        <w:rPr>
          <w:rFonts w:hint="eastAsia" w:ascii="宋体" w:hAnsi="宋体"/>
          <w:color w:val="auto"/>
          <w:sz w:val="21"/>
          <w:szCs w:val="21"/>
          <w:highlight w:val="none"/>
        </w:rPr>
        <w:t>甲供设备材料卸车保管费用的计算标准：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变电工程：建设单位供应的实物供应到投标人设置的材料站，对项目建设单位提供的设备、材料，中标方负责进行卸车、清点、质量验收和保管，所发生的卸车保管费限价按不超过：</w:t>
      </w:r>
      <w:r>
        <w:rPr>
          <w:rFonts w:hint="eastAsia" w:ascii="宋体" w:hAnsi="宋体"/>
          <w:b/>
          <w:color w:val="auto"/>
          <w:sz w:val="21"/>
          <w:szCs w:val="21"/>
          <w:highlight w:val="none"/>
        </w:rPr>
        <w:t>甲供材料费×1%、甲供设备费（不含主变压器、高抗）×0.5%</w:t>
      </w:r>
      <w:r>
        <w:rPr>
          <w:rFonts w:hint="eastAsia" w:ascii="宋体" w:hAnsi="宋体"/>
          <w:color w:val="auto"/>
          <w:sz w:val="21"/>
          <w:szCs w:val="21"/>
          <w:highlight w:val="none"/>
        </w:rPr>
        <w:t>计列。</w:t>
      </w:r>
    </w:p>
    <w:p>
      <w:pPr>
        <w:pStyle w:val="6"/>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线路（电缆）工程：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限价按不超过：</w:t>
      </w:r>
      <w:r>
        <w:rPr>
          <w:rFonts w:hint="eastAsia" w:ascii="宋体" w:hAnsi="宋体"/>
          <w:b/>
          <w:color w:val="auto"/>
          <w:sz w:val="21"/>
          <w:szCs w:val="21"/>
          <w:highlight w:val="none"/>
        </w:rPr>
        <w:t>甲供材料费×1%、甲供设备费×0.5%</w:t>
      </w:r>
      <w:r>
        <w:rPr>
          <w:rFonts w:hint="eastAsia" w:ascii="宋体" w:hAnsi="宋体"/>
          <w:color w:val="auto"/>
          <w:sz w:val="21"/>
          <w:szCs w:val="21"/>
          <w:highlight w:val="none"/>
        </w:rPr>
        <w:t>计算。</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（3）不单独计算风险包干费用。</w:t>
      </w:r>
    </w:p>
    <w:p>
      <w:pPr>
        <w:pStyle w:val="6"/>
        <w:ind w:firstLine="420" w:firstLineChars="200"/>
        <w:rPr>
          <w:rFonts w:hint="eastAsia" w:hAnsi="宋体"/>
          <w:bCs/>
          <w:color w:val="auto"/>
          <w:sz w:val="21"/>
          <w:szCs w:val="21"/>
          <w:highlight w:val="none"/>
          <w:u w:val="single"/>
        </w:rPr>
      </w:pPr>
      <w:r>
        <w:rPr>
          <w:rFonts w:hint="eastAsia" w:ascii="宋体" w:hAnsi="宋体"/>
          <w:color w:val="auto"/>
          <w:sz w:val="21"/>
          <w:szCs w:val="21"/>
          <w:highlight w:val="none"/>
        </w:rPr>
        <w:t>（4）</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color w:val="auto"/>
          <w:szCs w:val="21"/>
          <w:highlight w:val="none"/>
          <w:u w:val="single"/>
          <w:shd w:val="clear" w:color="auto" w:fill="auto"/>
        </w:rPr>
        <w:t>若中标单位采用简易计税方法计税，则在结算过程中调整相应结算金额</w:t>
      </w:r>
      <w:r>
        <w:rPr>
          <w:rFonts w:hint="eastAsia" w:hAnsi="宋体"/>
          <w:bCs/>
          <w:color w:val="auto"/>
          <w:sz w:val="21"/>
          <w:szCs w:val="21"/>
          <w:highlight w:val="none"/>
          <w:u w:val="single"/>
        </w:rPr>
        <w:t>。</w:t>
      </w:r>
    </w:p>
    <w:p>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Times New Roman"/>
          <w:color w:val="auto"/>
          <w:kern w:val="2"/>
          <w:sz w:val="21"/>
          <w:szCs w:val="21"/>
          <w:highlight w:val="none"/>
          <w:lang w:val="en-US" w:eastAsia="zh-CN" w:bidi="ar-SA"/>
        </w:rPr>
        <w:t>（5）</w:t>
      </w:r>
      <w:r>
        <w:rPr>
          <w:rFonts w:hint="eastAsia" w:hAnsi="宋体"/>
          <w:color w:val="auto"/>
          <w:highlight w:val="none"/>
          <w:shd w:val="clear" w:color="auto" w:fill="auto"/>
        </w:rPr>
        <w:t>架空线路工程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szCs w:val="21"/>
          <w:highlight w:val="none"/>
        </w:rPr>
        <w:t>①</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w:t>
      </w:r>
      <w:r>
        <w:rPr>
          <w:rFonts w:hint="eastAsia" w:hAnsi="宋体"/>
          <w:b/>
          <w:color w:val="auto"/>
          <w:highlight w:val="none"/>
          <w:shd w:val="clear" w:color="auto" w:fill="auto"/>
          <w:lang w:val="en-US" w:eastAsia="zh-CN"/>
        </w:rPr>
        <w:t>正式合同价</w:t>
      </w:r>
      <w:r>
        <w:rPr>
          <w:rFonts w:hint="eastAsia" w:hAnsi="宋体"/>
          <w:b/>
          <w:color w:val="auto"/>
          <w:highlight w:val="none"/>
          <w:shd w:val="clear" w:color="auto" w:fill="auto"/>
        </w:rPr>
        <w:t>，</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s="宋体"/>
          <w:color w:val="auto"/>
          <w:kern w:val="2"/>
          <w:highlight w:val="none"/>
          <w:shd w:val="clear" w:color="auto" w:fill="auto"/>
          <w:lang w:val="en-US" w:eastAsia="zh-CN"/>
        </w:rPr>
        <w:t>合同</w:t>
      </w:r>
      <w:r>
        <w:rPr>
          <w:rFonts w:hint="eastAsia" w:hAnsi="宋体"/>
          <w:color w:val="auto"/>
          <w:highlight w:val="none"/>
          <w:shd w:val="clear" w:color="auto" w:fill="auto"/>
          <w:lang w:val="en-US" w:eastAsia="zh-CN"/>
        </w:rPr>
        <w:t>专用条件14.1的原则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          </w:t>
      </w:r>
    </w:p>
    <w:p>
      <w:pPr>
        <w:pStyle w:val="6"/>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szCs w:val="21"/>
          <w:highlight w:val="none"/>
        </w:rPr>
        <w:t>②</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pPr>
        <w:pStyle w:val="6"/>
        <w:spacing w:line="360" w:lineRule="auto"/>
        <w:ind w:firstLine="420" w:firstLineChars="200"/>
        <w:rPr>
          <w:rFonts w:hint="eastAsia" w:hAnsi="宋体"/>
          <w:color w:val="auto"/>
          <w:highlight w:val="none"/>
          <w:shd w:val="clear" w:color="auto" w:fill="auto"/>
          <w:lang w:eastAsia="zh-CN"/>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w:t>
      </w:r>
      <w:r>
        <w:rPr>
          <w:rFonts w:hint="eastAsia" w:hAnsi="宋体"/>
          <w:b/>
          <w:color w:val="auto"/>
          <w:highlight w:val="none"/>
          <w:shd w:val="clear" w:color="auto" w:fill="auto"/>
          <w:lang w:val="en-US" w:eastAsia="zh-CN"/>
        </w:rPr>
        <w:t>正式合同价</w:t>
      </w:r>
      <w:r>
        <w:rPr>
          <w:rFonts w:hint="eastAsia" w:hAnsi="宋体"/>
          <w:b/>
          <w:color w:val="auto"/>
          <w:highlight w:val="none"/>
          <w:shd w:val="clear" w:color="auto" w:fill="auto"/>
        </w:rPr>
        <w:t>，按实际发生的费用（经发包人确认）结算</w:t>
      </w:r>
      <w:r>
        <w:rPr>
          <w:rFonts w:hint="eastAsia" w:hAnsi="宋体"/>
          <w:color w:val="auto"/>
          <w:highlight w:val="none"/>
          <w:shd w:val="clear" w:color="auto" w:fill="auto"/>
          <w:lang w:eastAsia="zh-CN"/>
        </w:rPr>
        <w:t>。</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施工</w:t>
      </w:r>
      <w:r>
        <w:rPr>
          <w:rFonts w:hint="eastAsia" w:hAnsi="宋体"/>
          <w:color w:val="auto"/>
          <w:highlight w:val="none"/>
          <w:u w:val="single"/>
          <w:shd w:val="clear" w:color="auto" w:fill="auto"/>
        </w:rPr>
        <w:t>均由中标单位负责，其施工申请手续</w:t>
      </w:r>
      <w:r>
        <w:rPr>
          <w:rFonts w:hint="eastAsia" w:hAnsi="宋体"/>
          <w:color w:val="auto"/>
          <w:highlight w:val="none"/>
          <w:u w:val="single"/>
          <w:shd w:val="clear" w:color="auto" w:fill="auto"/>
          <w:lang w:val="en-US" w:eastAsia="zh-CN"/>
        </w:rPr>
        <w:t>费</w:t>
      </w:r>
      <w:r>
        <w:rPr>
          <w:rFonts w:hint="eastAsia" w:hAnsi="宋体"/>
          <w:color w:val="auto"/>
          <w:highlight w:val="none"/>
          <w:u w:val="single"/>
          <w:shd w:val="clear" w:color="auto" w:fill="auto"/>
        </w:rPr>
        <w:t>由中标单位负责办理及支付，</w:t>
      </w:r>
      <w:r>
        <w:rPr>
          <w:rFonts w:hint="eastAsia" w:hAnsi="宋体"/>
          <w:b/>
          <w:bCs/>
          <w:color w:val="auto"/>
          <w:highlight w:val="none"/>
          <w:u w:val="single"/>
          <w:shd w:val="clear" w:color="auto" w:fill="auto"/>
        </w:rPr>
        <w:t>其中</w:t>
      </w:r>
      <w:r>
        <w:rPr>
          <w:rFonts w:hint="eastAsia" w:hAnsi="宋体"/>
          <w:b/>
          <w:color w:val="auto"/>
          <w:highlight w:val="none"/>
          <w:u w:val="single"/>
          <w:shd w:val="clear" w:color="auto" w:fill="auto"/>
        </w:rPr>
        <w:t>通航河流封航、高速公路、铁路跨越</w:t>
      </w:r>
      <w:r>
        <w:rPr>
          <w:rFonts w:hint="eastAsia" w:hAnsi="宋体"/>
          <w:b/>
          <w:color w:val="auto"/>
          <w:highlight w:val="none"/>
          <w:u w:val="single"/>
          <w:shd w:val="clear" w:color="auto" w:fill="auto"/>
          <w:lang w:val="en-US" w:eastAsia="zh-CN"/>
        </w:rPr>
        <w:t>及</w:t>
      </w:r>
      <w:r>
        <w:rPr>
          <w:rFonts w:hint="eastAsia" w:hAnsi="宋体"/>
          <w:b/>
          <w:color w:val="auto"/>
          <w:highlight w:val="none"/>
          <w:u w:val="single"/>
          <w:shd w:val="clear" w:color="auto" w:fill="auto"/>
        </w:rPr>
        <w:t>措施费用</w:t>
      </w:r>
      <w:r>
        <w:rPr>
          <w:rFonts w:hint="eastAsia" w:hAnsi="宋体"/>
          <w:b/>
          <w:color w:val="auto"/>
          <w:highlight w:val="none"/>
          <w:u w:val="single"/>
          <w:shd w:val="clear" w:color="auto" w:fill="auto"/>
          <w:lang w:val="en-US" w:eastAsia="zh-CN"/>
        </w:rPr>
        <w:t>及手续费</w:t>
      </w:r>
      <w:r>
        <w:rPr>
          <w:rFonts w:hint="eastAsia" w:hAnsi="宋体"/>
          <w:b/>
          <w:color w:val="auto"/>
          <w:highlight w:val="none"/>
          <w:u w:val="single"/>
          <w:shd w:val="clear" w:color="auto" w:fill="auto"/>
        </w:rPr>
        <w:t>计入</w:t>
      </w:r>
      <w:r>
        <w:rPr>
          <w:rFonts w:hint="eastAsia" w:hAnsi="宋体"/>
          <w:b/>
          <w:color w:val="auto"/>
          <w:highlight w:val="none"/>
          <w:u w:val="single"/>
          <w:shd w:val="clear" w:color="auto" w:fill="auto"/>
          <w:lang w:val="en-US" w:eastAsia="zh-CN"/>
        </w:rPr>
        <w:t>正式合同价</w:t>
      </w:r>
      <w:r>
        <w:rPr>
          <w:rFonts w:hint="eastAsia" w:hAnsi="宋体"/>
          <w:b/>
          <w:color w:val="auto"/>
          <w:highlight w:val="none"/>
          <w:u w:val="single"/>
          <w:shd w:val="clear" w:color="auto" w:fill="auto"/>
        </w:rPr>
        <w:t>，按实际发生的费用（经发包人确认）结算</w:t>
      </w:r>
      <w:r>
        <w:rPr>
          <w:rFonts w:hint="eastAsia" w:hAnsi="宋体"/>
          <w:color w:val="auto"/>
          <w:highlight w:val="none"/>
          <w:u w:val="single"/>
          <w:shd w:val="clear" w:color="auto" w:fill="auto"/>
          <w:lang w:eastAsia="zh-CN"/>
        </w:rPr>
        <w:t>。</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rPr>
        <w:t>③</w:t>
      </w:r>
      <w:r>
        <w:rPr>
          <w:rFonts w:hint="eastAsia" w:hAnsi="宋体"/>
          <w:bCs/>
          <w:color w:val="auto"/>
          <w:szCs w:val="21"/>
          <w:highlight w:val="none"/>
          <w:shd w:val="clear" w:color="auto" w:fill="auto"/>
        </w:rPr>
        <w:t>重要跨越耐张线夹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pPr>
        <w:pStyle w:val="6"/>
        <w:spacing w:line="360" w:lineRule="auto"/>
        <w:ind w:firstLine="420" w:firstLineChars="200"/>
        <w:rPr>
          <w:rFonts w:hint="eastAsia" w:hAnsi="宋体"/>
          <w:color w:val="auto"/>
          <w:highlight w:val="none"/>
          <w:shd w:val="clear" w:color="auto" w:fill="auto"/>
        </w:rPr>
      </w:pPr>
      <w:r>
        <w:rPr>
          <w:rFonts w:hint="eastAsia" w:hAnsi="宋体"/>
          <w:color w:val="auto"/>
          <w:highlight w:val="none"/>
          <w:shd w:val="clear" w:color="auto" w:fill="auto"/>
          <w:lang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pPr>
        <w:pStyle w:val="6"/>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 w:val="0"/>
          <w:bCs/>
          <w:color w:val="auto"/>
          <w:szCs w:val="21"/>
          <w:highlight w:val="none"/>
          <w:shd w:val="clear" w:color="auto" w:fill="auto"/>
          <w:lang w:val="en-US" w:eastAsia="zh-CN"/>
        </w:rPr>
        <w:t>相关费用</w:t>
      </w:r>
      <w:r>
        <w:rPr>
          <w:rFonts w:hint="eastAsia" w:hAnsi="宋体"/>
          <w:b w:val="0"/>
          <w:bCs/>
          <w:color w:val="auto"/>
          <w:highlight w:val="none"/>
          <w:shd w:val="clear" w:color="auto" w:fill="auto"/>
        </w:rPr>
        <w:t>计入</w:t>
      </w:r>
      <w:r>
        <w:rPr>
          <w:rFonts w:hint="eastAsia" w:hAnsi="宋体"/>
          <w:b w:val="0"/>
          <w:bCs/>
          <w:color w:val="auto"/>
          <w:highlight w:val="none"/>
          <w:shd w:val="clear" w:color="auto" w:fill="auto"/>
          <w:lang w:val="en-US" w:eastAsia="zh-CN"/>
        </w:rPr>
        <w:t>正式合同</w:t>
      </w:r>
      <w:r>
        <w:rPr>
          <w:rFonts w:hint="eastAsia" w:hAnsi="宋体"/>
          <w:b w:val="0"/>
          <w:bCs/>
          <w:color w:val="auto"/>
          <w:highlight w:val="none"/>
          <w:shd w:val="clear" w:color="auto" w:fill="auto"/>
        </w:rPr>
        <w:t>价</w:t>
      </w:r>
      <w:r>
        <w:rPr>
          <w:rFonts w:hint="eastAsia" w:hAnsi="宋体"/>
          <w:bCs/>
          <w:color w:val="auto"/>
          <w:szCs w:val="21"/>
          <w:highlight w:val="none"/>
          <w:shd w:val="clear" w:color="auto" w:fill="auto"/>
        </w:rPr>
        <w:t>。</w:t>
      </w:r>
    </w:p>
    <w:p>
      <w:pPr>
        <w:pStyle w:val="6"/>
        <w:spacing w:line="360" w:lineRule="auto"/>
        <w:ind w:firstLine="480" w:firstLineChars="200"/>
        <w:rPr>
          <w:rFonts w:hAnsi="宋体"/>
          <w:color w:val="auto"/>
          <w:highlight w:val="none"/>
          <w:shd w:val="clear" w:color="auto" w:fill="auto"/>
        </w:rPr>
      </w:pPr>
      <w:r>
        <w:rPr>
          <w:rFonts w:hint="eastAsia" w:ascii="宋体" w:hAnsi="宋体"/>
          <w:color w:val="auto"/>
          <w:sz w:val="24"/>
          <w:szCs w:val="24"/>
          <w:highlight w:val="none"/>
          <w:shd w:val="clear" w:color="auto" w:fill="auto"/>
        </w:rPr>
        <w:t>（6）</w:t>
      </w:r>
      <w:r>
        <w:rPr>
          <w:rFonts w:hint="eastAsia" w:hAnsi="宋体"/>
          <w:color w:val="auto"/>
          <w:highlight w:val="none"/>
          <w:shd w:val="clear" w:color="auto" w:fill="auto"/>
        </w:rPr>
        <w:t>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w:t>
      </w:r>
      <w:r>
        <w:rPr>
          <w:rFonts w:hint="eastAsia" w:hAnsi="宋体"/>
          <w:b/>
          <w:bCs/>
          <w:color w:val="auto"/>
          <w:highlight w:val="none"/>
          <w:shd w:val="clear" w:color="auto" w:fill="auto"/>
        </w:rPr>
        <w:t>其中地下市政下水道水井、通信管道迁移费用不计入</w:t>
      </w:r>
      <w:r>
        <w:rPr>
          <w:rFonts w:hint="eastAsia" w:hAnsi="宋体"/>
          <w:b/>
          <w:bCs/>
          <w:color w:val="auto"/>
          <w:highlight w:val="none"/>
          <w:shd w:val="clear" w:color="auto" w:fill="auto"/>
          <w:lang w:val="en-US" w:eastAsia="zh-CN"/>
        </w:rPr>
        <w:t>正式合同</w:t>
      </w:r>
      <w:r>
        <w:rPr>
          <w:rFonts w:hint="eastAsia" w:hAnsi="宋体"/>
          <w:b/>
          <w:bCs/>
          <w:color w:val="auto"/>
          <w:highlight w:val="none"/>
          <w:shd w:val="clear" w:color="auto" w:fill="auto"/>
        </w:rPr>
        <w:t>价，按项目实际发生的费用（经发包人确认）结算。</w:t>
      </w:r>
    </w:p>
    <w:p>
      <w:pPr>
        <w:pStyle w:val="6"/>
        <w:spacing w:line="360" w:lineRule="auto"/>
        <w:ind w:firstLine="420" w:firstLineChars="200"/>
        <w:rPr>
          <w:rFonts w:hAnsi="宋体"/>
          <w:color w:val="auto"/>
          <w:highlight w:val="none"/>
          <w:shd w:val="clear" w:color="auto" w:fill="auto"/>
        </w:rPr>
      </w:pPr>
      <w:r>
        <w:rPr>
          <w:rFonts w:hint="eastAsia" w:hAnsi="宋体" w:cs="宋体"/>
          <w:color w:val="auto"/>
          <w:highlight w:val="none"/>
          <w:shd w:val="clear" w:color="auto" w:fill="auto"/>
          <w:lang w:val="en-US" w:eastAsia="zh-CN"/>
        </w:rPr>
        <w:t>☑</w:t>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相关费用计入正式合同价</w:t>
      </w:r>
      <w:r>
        <w:rPr>
          <w:rFonts w:hint="eastAsia" w:hAnsi="宋体"/>
          <w:color w:val="auto"/>
          <w:highlight w:val="none"/>
          <w:shd w:val="clear" w:color="auto" w:fill="auto"/>
        </w:rPr>
        <w:t>。</w:t>
      </w:r>
    </w:p>
    <w:p>
      <w:pPr>
        <w:pStyle w:val="6"/>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交通疏解             </w:t>
      </w:r>
    </w:p>
    <w:p>
      <w:pPr>
        <w:pStyle w:val="6"/>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val="en-US" w:eastAsia="zh-CN"/>
        </w:rPr>
        <w:t>（7）其他费用</w:t>
      </w:r>
      <w:r>
        <w:rPr>
          <w:rFonts w:hint="eastAsia" w:hAnsi="宋体"/>
          <w:color w:val="auto"/>
          <w:highlight w:val="none"/>
          <w:shd w:val="clear" w:color="auto" w:fill="auto"/>
          <w:lang w:eastAsia="zh-CN"/>
        </w:rPr>
        <w:t>（有</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pPr>
        <w:pStyle w:val="6"/>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eastAsia="宋体" w:cs="宋体"/>
          <w:color w:val="auto"/>
          <w:highlight w:val="none"/>
          <w:shd w:val="clear" w:color="auto" w:fill="auto"/>
          <w:lang w:val="en-US" w:eastAsia="zh-CN"/>
        </w:rPr>
        <w:t>□</w:t>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w:t>
      </w:r>
      <w:r>
        <w:rPr>
          <w:rFonts w:hint="eastAsia" w:hAnsi="宋体"/>
          <w:color w:val="auto"/>
          <w:highlight w:val="none"/>
          <w:shd w:val="clear" w:color="auto" w:fill="auto"/>
          <w:lang w:val="en-US" w:eastAsia="zh-CN"/>
        </w:rPr>
        <w:t>正式合同价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pPr>
        <w:pStyle w:val="6"/>
        <w:spacing w:line="360" w:lineRule="auto"/>
        <w:ind w:firstLine="420" w:firstLineChars="200"/>
        <w:rPr>
          <w:rFonts w:hint="eastAsia" w:hAnsi="宋体"/>
          <w:bCs/>
          <w:color w:val="auto"/>
          <w:szCs w:val="21"/>
          <w:highlight w:val="none"/>
          <w:shd w:val="clear" w:color="auto" w:fill="auto"/>
        </w:rPr>
      </w:pPr>
      <w:r>
        <w:rPr>
          <w:rFonts w:hint="eastAsia" w:hAnsi="宋体" w:eastAsia="宋体" w:cs="宋体"/>
          <w:color w:val="auto"/>
          <w:highlight w:val="none"/>
          <w:shd w:val="clear" w:color="auto" w:fill="auto"/>
          <w:lang w:val="en-US" w:eastAsia="zh-CN"/>
        </w:rPr>
        <w:t>□</w:t>
      </w:r>
      <w:r>
        <w:rPr>
          <w:rFonts w:hint="eastAsia" w:ascii="宋体" w:hAnsi="宋体" w:eastAsia="宋体" w:cs="宋体"/>
          <w:bCs/>
          <w:color w:val="auto"/>
          <w:szCs w:val="21"/>
          <w:highlight w:val="none"/>
          <w:shd w:val="clear" w:color="auto" w:fill="auto"/>
        </w:rPr>
        <w:t>工程</w:t>
      </w:r>
      <w:r>
        <w:rPr>
          <w:rFonts w:hint="eastAsia" w:hAnsi="宋体"/>
          <w:bCs/>
          <w:color w:val="auto"/>
          <w:szCs w:val="21"/>
          <w:highlight w:val="none"/>
          <w:shd w:val="clear" w:color="auto" w:fill="auto"/>
        </w:rPr>
        <w:t>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相关费用计入</w:t>
      </w:r>
      <w:r>
        <w:rPr>
          <w:rFonts w:hint="eastAsia" w:hAnsi="宋体"/>
          <w:color w:val="auto"/>
          <w:highlight w:val="none"/>
          <w:shd w:val="clear" w:color="auto" w:fill="auto"/>
          <w:lang w:val="en-US" w:eastAsia="zh-CN"/>
        </w:rPr>
        <w:t>正式合同价</w:t>
      </w:r>
      <w:r>
        <w:rPr>
          <w:rFonts w:hint="eastAsia" w:hAnsi="宋体"/>
          <w:bCs/>
          <w:color w:val="auto"/>
          <w:szCs w:val="21"/>
          <w:highlight w:val="none"/>
          <w:shd w:val="clear" w:color="auto" w:fill="auto"/>
        </w:rPr>
        <w:t>。</w:t>
      </w:r>
    </w:p>
    <w:p>
      <w:pPr>
        <w:pStyle w:val="6"/>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pPr>
        <w:pStyle w:val="6"/>
        <w:ind w:firstLine="420" w:firstLineChars="200"/>
        <w:rPr>
          <w:rFonts w:hint="eastAsia" w:hAnsi="宋体"/>
          <w:bCs/>
          <w:color w:val="auto"/>
          <w:sz w:val="21"/>
          <w:szCs w:val="21"/>
          <w:highlight w:val="none"/>
          <w:u w:val="single"/>
        </w:rPr>
      </w:pPr>
      <w:r>
        <w:rPr>
          <w:rFonts w:hint="eastAsia" w:hAnsi="宋体" w:eastAsia="宋体" w:cs="宋体"/>
          <w:color w:val="auto"/>
          <w:highlight w:val="none"/>
          <w:shd w:val="clear" w:color="auto" w:fill="auto"/>
          <w:lang w:val="en-US" w:eastAsia="zh-CN"/>
        </w:rPr>
        <w:t>□</w:t>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6"/>
        <w:ind w:firstLine="420" w:firstLineChars="200"/>
        <w:rPr>
          <w:rFonts w:hint="eastAsia" w:hAnsi="宋体"/>
          <w:color w:val="auto"/>
          <w:highlight w:val="none"/>
        </w:rPr>
      </w:pPr>
    </w:p>
    <w:p>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8</w:t>
      </w:r>
      <w:r>
        <w:rPr>
          <w:rFonts w:hint="eastAsia" w:hAnsi="宋体"/>
          <w:color w:val="auto"/>
          <w:highlight w:val="none"/>
          <w:lang w:eastAsia="zh-CN"/>
        </w:rPr>
        <w:t>）</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9</w:t>
      </w:r>
      <w:r>
        <w:rPr>
          <w:rFonts w:hint="eastAsia" w:hAnsi="宋体"/>
          <w:color w:val="auto"/>
          <w:highlight w:val="none"/>
          <w:lang w:eastAsia="zh-CN"/>
        </w:rPr>
        <w:t>）</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pPr>
        <w:pStyle w:val="6"/>
        <w:spacing w:line="360" w:lineRule="auto"/>
        <w:ind w:firstLine="420" w:firstLineChars="200"/>
        <w:rPr>
          <w:rFonts w:hAnsi="宋体"/>
          <w:color w:val="auto"/>
          <w:highlight w:val="none"/>
        </w:rPr>
      </w:pPr>
      <w:r>
        <w:rPr>
          <w:rFonts w:hint="eastAsia" w:hAnsi="宋体"/>
          <w:color w:val="auto"/>
          <w:highlight w:val="none"/>
          <w:lang w:eastAsia="zh-CN"/>
        </w:rPr>
        <w:t>（</w:t>
      </w:r>
      <w:r>
        <w:rPr>
          <w:rFonts w:hint="eastAsia" w:hAnsi="宋体"/>
          <w:color w:val="auto"/>
          <w:highlight w:val="none"/>
          <w:lang w:val="en-US" w:eastAsia="zh-CN"/>
        </w:rPr>
        <w:t>10</w:t>
      </w:r>
      <w:r>
        <w:rPr>
          <w:rFonts w:hint="eastAsia" w:hAnsi="宋体"/>
          <w:color w:val="auto"/>
          <w:highlight w:val="none"/>
          <w:lang w:eastAsia="zh-CN"/>
        </w:rPr>
        <w:t>）</w:t>
      </w:r>
      <w:r>
        <w:rPr>
          <w:rFonts w:hint="eastAsia" w:hAnsi="宋体"/>
          <w:color w:val="auto"/>
          <w:highlight w:val="none"/>
          <w:lang w:val="en-US" w:eastAsia="zh-CN"/>
        </w:rPr>
        <w:t>按合同专用条款14.1确定的正式合同价，</w:t>
      </w:r>
      <w:r>
        <w:rPr>
          <w:rFonts w:hint="eastAsia" w:hAnsi="宋体"/>
          <w:color w:val="auto"/>
          <w:highlight w:val="none"/>
        </w:rPr>
        <w:t>包括但不限于以下项目</w:t>
      </w:r>
      <w:r>
        <w:rPr>
          <w:rFonts w:hint="eastAsia" w:hAnsi="宋体"/>
          <w:color w:val="auto"/>
          <w:highlight w:val="none"/>
          <w:lang w:eastAsia="zh-CN"/>
        </w:rPr>
        <w:t>，投标人的</w:t>
      </w:r>
      <w:r>
        <w:rPr>
          <w:rFonts w:hint="eastAsia" w:hAnsi="宋体"/>
          <w:color w:val="auto"/>
          <w:highlight w:val="none"/>
        </w:rPr>
        <w:t>报价文件中</w:t>
      </w:r>
      <w:r>
        <w:rPr>
          <w:rFonts w:hint="eastAsia" w:hAnsi="宋体"/>
          <w:color w:val="auto"/>
          <w:highlight w:val="none"/>
          <w:lang w:eastAsia="zh-CN"/>
        </w:rPr>
        <w:t>应予以充分考虑</w:t>
      </w:r>
      <w:r>
        <w:rPr>
          <w:rFonts w:hint="eastAsia" w:hAnsi="宋体"/>
          <w:color w:val="auto"/>
          <w:highlight w:val="none"/>
        </w:rPr>
        <w:t>：</w:t>
      </w:r>
    </w:p>
    <w:p>
      <w:pPr>
        <w:pStyle w:val="6"/>
        <w:spacing w:line="360" w:lineRule="auto"/>
        <w:ind w:firstLine="420" w:firstLineChars="200"/>
        <w:rPr>
          <w:rFonts w:hAnsi="宋体"/>
          <w:color w:val="auto"/>
          <w:highlight w:val="none"/>
        </w:rPr>
      </w:pPr>
      <w:r>
        <w:rPr>
          <w:rFonts w:hint="eastAsia" w:hAnsi="宋体"/>
          <w:color w:val="auto"/>
          <w:highlight w:val="none"/>
        </w:rPr>
        <w:t>①投标人自行调查设备、材料、机具等市场情况，并自行承担相应的市场风险责任；</w:t>
      </w:r>
    </w:p>
    <w:p>
      <w:pPr>
        <w:pStyle w:val="6"/>
        <w:spacing w:line="360" w:lineRule="auto"/>
        <w:ind w:firstLine="420" w:firstLineChars="200"/>
        <w:rPr>
          <w:rFonts w:hAnsi="宋体"/>
          <w:color w:val="auto"/>
          <w:highlight w:val="none"/>
        </w:rPr>
      </w:pPr>
      <w:r>
        <w:rPr>
          <w:rFonts w:hint="eastAsia" w:hAnsi="宋体"/>
          <w:color w:val="auto"/>
          <w:highlight w:val="none"/>
        </w:rPr>
        <w:t>②按南网项目管理和质量实体样板要求所需相应的措施费；</w:t>
      </w:r>
    </w:p>
    <w:p>
      <w:pPr>
        <w:pStyle w:val="6"/>
        <w:spacing w:line="360" w:lineRule="auto"/>
        <w:ind w:firstLine="420" w:firstLineChars="200"/>
        <w:rPr>
          <w:rFonts w:hAnsi="宋体"/>
          <w:color w:val="auto"/>
          <w:highlight w:val="none"/>
        </w:rPr>
      </w:pPr>
      <w:r>
        <w:rPr>
          <w:rFonts w:hint="eastAsia" w:hAnsi="宋体"/>
          <w:color w:val="auto"/>
          <w:highlight w:val="none"/>
        </w:rPr>
        <w:t>③全面开展标准建设工作；</w:t>
      </w:r>
    </w:p>
    <w:p>
      <w:pPr>
        <w:pStyle w:val="6"/>
        <w:spacing w:line="360" w:lineRule="auto"/>
        <w:ind w:firstLine="420" w:firstLineChars="200"/>
        <w:rPr>
          <w:rFonts w:hAnsi="宋体"/>
          <w:color w:val="auto"/>
          <w:highlight w:val="none"/>
        </w:rPr>
      </w:pPr>
      <w:r>
        <w:rPr>
          <w:rFonts w:hint="eastAsia" w:hAnsi="宋体"/>
          <w:color w:val="auto"/>
          <w:highlight w:val="none"/>
        </w:rPr>
        <w:t>④道路通行及维护、场地移交、场地物资堆放及二次倒运等工作；</w:t>
      </w:r>
    </w:p>
    <w:p>
      <w:pPr>
        <w:pStyle w:val="6"/>
        <w:spacing w:line="360" w:lineRule="auto"/>
        <w:ind w:firstLine="420" w:firstLineChars="200"/>
        <w:rPr>
          <w:rFonts w:hAnsi="宋体"/>
          <w:color w:val="auto"/>
          <w:highlight w:val="none"/>
        </w:rPr>
      </w:pPr>
      <w:r>
        <w:rPr>
          <w:rFonts w:hint="eastAsia" w:hAnsi="宋体"/>
          <w:color w:val="auto"/>
          <w:highlight w:val="none"/>
        </w:rPr>
        <w:t>⑤施工期间国家政策调整（含行业计价标准调整）和物价指数变化的影响；</w:t>
      </w:r>
    </w:p>
    <w:p>
      <w:pPr>
        <w:pStyle w:val="6"/>
        <w:spacing w:line="360" w:lineRule="auto"/>
        <w:ind w:firstLine="420" w:firstLineChars="200"/>
        <w:rPr>
          <w:rFonts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pPr>
        <w:pStyle w:val="6"/>
        <w:spacing w:line="360" w:lineRule="auto"/>
        <w:ind w:firstLine="420" w:firstLineChars="200"/>
        <w:rPr>
          <w:rFonts w:hAnsi="宋体"/>
          <w:color w:val="auto"/>
          <w:highlight w:val="none"/>
        </w:rPr>
      </w:pPr>
      <w:r>
        <w:rPr>
          <w:rFonts w:hint="eastAsia" w:hAnsi="宋体"/>
          <w:color w:val="auto"/>
          <w:highlight w:val="none"/>
        </w:rPr>
        <w:t>⑦施工现场照明，采用节能照明灯具的比率大于80％；</w:t>
      </w:r>
    </w:p>
    <w:p>
      <w:pPr>
        <w:pStyle w:val="6"/>
        <w:spacing w:line="360" w:lineRule="auto"/>
        <w:ind w:firstLine="420" w:firstLineChars="200"/>
        <w:rPr>
          <w:rFonts w:hAnsi="宋体"/>
          <w:color w:val="auto"/>
          <w:highlight w:val="none"/>
        </w:rPr>
      </w:pPr>
      <w:r>
        <w:rPr>
          <w:rFonts w:hint="eastAsia" w:hAnsi="宋体"/>
          <w:color w:val="auto"/>
          <w:highlight w:val="none"/>
        </w:rPr>
        <w:t>⑧地方政府向承包人收取的相关费用；</w:t>
      </w:r>
    </w:p>
    <w:p>
      <w:pPr>
        <w:pStyle w:val="6"/>
        <w:spacing w:line="360" w:lineRule="auto"/>
        <w:ind w:firstLine="420" w:firstLineChars="200"/>
        <w:rPr>
          <w:rFonts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pPr>
        <w:pStyle w:val="6"/>
        <w:spacing w:line="360" w:lineRule="auto"/>
        <w:ind w:firstLine="420" w:firstLineChars="200"/>
        <w:rPr>
          <w:rFonts w:hAnsi="宋体"/>
          <w:color w:val="auto"/>
          <w:highlight w:val="none"/>
        </w:rPr>
      </w:pPr>
      <w:r>
        <w:rPr>
          <w:rFonts w:hint="eastAsia" w:hAnsi="宋体"/>
          <w:color w:val="auto"/>
          <w:highlight w:val="none"/>
        </w:rPr>
        <w:t>⑩负责投产或移交前工程实体等相关维护工作；</w:t>
      </w:r>
    </w:p>
    <w:p>
      <w:pPr>
        <w:pStyle w:val="6"/>
        <w:spacing w:line="360" w:lineRule="auto"/>
        <w:ind w:firstLine="420" w:firstLineChars="200"/>
        <w:rPr>
          <w:rFonts w:hAnsi="宋体"/>
          <w:color w:val="auto"/>
          <w:highlight w:val="none"/>
        </w:rPr>
      </w:pPr>
      <w:r>
        <w:rPr>
          <w:rFonts w:hint="eastAsia" w:hAnsi="宋体"/>
          <w:color w:val="auto"/>
          <w:highlight w:val="none"/>
        </w:rPr>
        <w:t xml:space="preserve">⑪配合建设单位各类检查、检测、监测、验收、评审、协调、评优、安风体系建设等工作； </w:t>
      </w:r>
    </w:p>
    <w:p>
      <w:pPr>
        <w:pStyle w:val="6"/>
        <w:spacing w:line="360" w:lineRule="auto"/>
        <w:ind w:firstLine="420" w:firstLineChars="200"/>
        <w:rPr>
          <w:rFonts w:hAnsi="宋体"/>
          <w:color w:val="auto"/>
          <w:highlight w:val="none"/>
        </w:rPr>
      </w:pPr>
      <w:r>
        <w:rPr>
          <w:rFonts w:hint="eastAsia" w:hAnsi="宋体"/>
          <w:color w:val="auto"/>
          <w:highlight w:val="none"/>
        </w:rPr>
        <w:t>⑫竣工验收前办理并提供相关行政主管部门出具的无欠薪证明、无重大安全事故证明等材料；</w:t>
      </w:r>
    </w:p>
    <w:p>
      <w:pPr>
        <w:pStyle w:val="6"/>
        <w:spacing w:line="360" w:lineRule="auto"/>
        <w:ind w:firstLine="420" w:firstLineChars="200"/>
        <w:rPr>
          <w:rFonts w:hAnsi="宋体"/>
          <w:color w:val="auto"/>
          <w:highlight w:val="none"/>
        </w:rPr>
      </w:pPr>
      <w:r>
        <w:rPr>
          <w:rFonts w:hint="eastAsia" w:hAnsi="宋体"/>
          <w:color w:val="auto"/>
          <w:highlight w:val="none"/>
        </w:rPr>
        <w:t>⑬自行考虑冬、雨季施工措施费用和影响；</w:t>
      </w:r>
    </w:p>
    <w:p>
      <w:pPr>
        <w:pStyle w:val="6"/>
        <w:spacing w:line="360" w:lineRule="auto"/>
        <w:ind w:firstLine="420" w:firstLineChars="200"/>
        <w:rPr>
          <w:rFonts w:hAnsi="宋体"/>
          <w:color w:val="auto"/>
          <w:highlight w:val="none"/>
        </w:rPr>
      </w:pPr>
      <w:r>
        <w:rPr>
          <w:rFonts w:hint="eastAsia" w:hAnsi="宋体"/>
          <w:color w:val="auto"/>
          <w:highlight w:val="none"/>
        </w:rPr>
        <w:t>⑭及时应用和填报南网基建一体化信息系统；</w:t>
      </w:r>
    </w:p>
    <w:p>
      <w:pPr>
        <w:ind w:firstLine="420" w:firstLineChars="200"/>
        <w:rPr>
          <w:rFonts w:hint="eastAsia" w:ascii="宋体" w:hAnsi="宋体"/>
          <w:b/>
          <w:iCs/>
          <w:color w:val="auto"/>
          <w:kern w:val="0"/>
          <w:sz w:val="28"/>
          <w:szCs w:val="28"/>
          <w:highlight w:val="none"/>
          <w:shd w:val="clear" w:color="auto" w:fill="auto"/>
        </w:rPr>
      </w:pPr>
      <w:r>
        <w:rPr>
          <w:rFonts w:hint="eastAsia" w:hAnsi="宋体"/>
          <w:color w:val="auto"/>
          <w:highlight w:val="none"/>
        </w:rPr>
        <w:t>⑮其他在图纸中未列项或描述，但根据招标文件和合同要求应由投标人负责的工作</w:t>
      </w:r>
      <w:r>
        <w:rPr>
          <w:rFonts w:hint="eastAsia" w:hAnsi="宋体"/>
          <w:color w:val="auto"/>
          <w:highlight w:val="none"/>
          <w:lang w:eastAsia="zh-CN"/>
        </w:rPr>
        <w:t>。</w:t>
      </w:r>
      <w:r>
        <w:rPr>
          <w:rFonts w:hint="eastAsia" w:ascii="宋体" w:hAnsi="宋体"/>
          <w:b/>
          <w:iCs/>
          <w:color w:val="auto"/>
          <w:kern w:val="0"/>
          <w:sz w:val="28"/>
          <w:szCs w:val="28"/>
          <w:highlight w:val="none"/>
          <w:shd w:val="clear" w:color="auto" w:fill="auto"/>
        </w:rPr>
        <w:br w:type="page"/>
      </w:r>
    </w:p>
    <w:p>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pPr>
        <w:pStyle w:val="11"/>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pPr>
        <w:pStyle w:val="11"/>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w:t>
      </w:r>
      <w:r>
        <w:rPr>
          <w:rFonts w:hint="eastAsia" w:ascii="宋体"/>
          <w:color w:val="auto"/>
          <w:highlight w:val="none"/>
        </w:rPr>
        <w:t>款：</w:t>
      </w:r>
    </w:p>
    <w:p>
      <w:pPr>
        <w:pStyle w:val="11"/>
        <w:spacing w:after="0"/>
        <w:ind w:left="0" w:leftChars="0" w:firstLine="422" w:firstLineChars="200"/>
        <w:rPr>
          <w:rFonts w:ascii="宋体"/>
          <w:color w:val="auto"/>
          <w:highlight w:val="none"/>
        </w:rPr>
      </w:pPr>
      <w:r>
        <w:rPr>
          <w:rFonts w:ascii="宋体"/>
          <w:color w:val="auto"/>
          <w:highlight w:val="none"/>
        </w:rPr>
        <w:t>6</w:t>
      </w:r>
      <w:r>
        <w:rPr>
          <w:rFonts w:hint="eastAsia" w:ascii="宋体"/>
          <w:color w:val="auto"/>
          <w:highlight w:val="none"/>
        </w:rPr>
        <w:t xml:space="preserve"> 合同价格及支付条件</w:t>
      </w:r>
    </w:p>
    <w:p>
      <w:pPr>
        <w:keepNext w:val="0"/>
        <w:keepLines w:val="0"/>
        <w:pageBreakBefore w:val="0"/>
        <w:tabs>
          <w:tab w:val="left" w:pos="0"/>
        </w:tabs>
        <w:kinsoku/>
        <w:wordWrap/>
        <w:overflowPunct/>
        <w:topLinePunct w:val="0"/>
        <w:bidi w:val="0"/>
        <w:spacing w:after="120" w:line="360" w:lineRule="auto"/>
        <w:ind w:firstLine="420" w:firstLineChars="200"/>
        <w:outlineLvl w:val="9"/>
        <w:rPr>
          <w:rFonts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 xml:space="preserve">6.1 暂定合同总价为人民币（大写）【     </w:t>
      </w:r>
      <w:r>
        <w:rPr>
          <w:rFonts w:ascii="宋体" w:hAnsi="宋体" w:cs="宋体"/>
          <w:color w:val="auto"/>
          <w:szCs w:val="21"/>
          <w:highlight w:val="none"/>
          <w:shd w:val="clear" w:color="auto" w:fill="auto"/>
        </w:rPr>
        <w:t xml:space="preserve">          </w:t>
      </w:r>
      <w:r>
        <w:rPr>
          <w:rFonts w:hint="eastAsia" w:ascii="宋体" w:hAnsi="宋体" w:cs="宋体"/>
          <w:color w:val="auto"/>
          <w:szCs w:val="21"/>
          <w:highlight w:val="none"/>
          <w:shd w:val="clear" w:color="auto" w:fill="auto"/>
        </w:rPr>
        <w:t xml:space="preserve">      】（¥ 【           】)。中标</w:t>
      </w:r>
      <w:r>
        <w:rPr>
          <w:rFonts w:hint="eastAsia" w:ascii="宋体" w:hAnsi="宋体" w:cs="宋体"/>
          <w:color w:val="auto"/>
          <w:szCs w:val="21"/>
          <w:highlight w:val="none"/>
          <w:shd w:val="clear" w:color="auto" w:fill="auto"/>
          <w:lang w:val="en-US" w:eastAsia="zh-CN"/>
        </w:rPr>
        <w:t>下浮</w:t>
      </w:r>
      <w:r>
        <w:rPr>
          <w:rFonts w:hint="eastAsia" w:ascii="宋体" w:hAnsi="宋体" w:cs="宋体"/>
          <w:color w:val="auto"/>
          <w:szCs w:val="21"/>
          <w:highlight w:val="none"/>
          <w:shd w:val="clear" w:color="auto" w:fill="auto"/>
        </w:rPr>
        <w:t>率为【           】。</w:t>
      </w:r>
    </w:p>
    <w:p>
      <w:pPr>
        <w:pStyle w:val="11"/>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pPr>
        <w:pStyle w:val="5"/>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pPr>
        <w:pStyle w:val="5"/>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pPr>
        <w:pStyle w:val="5"/>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pPr>
        <w:pStyle w:val="11"/>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pPr>
        <w:pStyle w:val="5"/>
        <w:shd w:val="clear" w:color="auto" w:fill="auto"/>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替换以下内容到2.6.1.2款：</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 xml:space="preserve">2.6.1.2 </w:t>
      </w:r>
      <w:r>
        <w:rPr>
          <w:rFonts w:hint="eastAsia" w:ascii="宋体" w:hAnsi="宋体"/>
          <w:color w:val="auto"/>
          <w:highlight w:val="none"/>
        </w:rPr>
        <w:t>如果承包人有下列行为，发包人应有权向承包人提出经济索赔，每发生一次扣除合同</w:t>
      </w:r>
      <w:r>
        <w:rPr>
          <w:rFonts w:hint="eastAsia" w:ascii="宋体" w:hAnsi="宋体"/>
          <w:color w:val="auto"/>
          <w:highlight w:val="none"/>
          <w:lang w:eastAsia="zh-CN"/>
        </w:rPr>
        <w:t>正式合同价金额</w:t>
      </w:r>
      <w:r>
        <w:rPr>
          <w:rFonts w:hint="eastAsia" w:ascii="宋体" w:hAnsi="宋体"/>
          <w:color w:val="auto"/>
          <w:highlight w:val="none"/>
        </w:rPr>
        <w:t>的0.2%，累计最多可扣除合同</w:t>
      </w:r>
      <w:r>
        <w:rPr>
          <w:rFonts w:hint="eastAsia" w:ascii="宋体" w:hAnsi="宋体"/>
          <w:color w:val="auto"/>
          <w:highlight w:val="none"/>
          <w:lang w:eastAsia="zh-CN"/>
        </w:rPr>
        <w:t>正式合同价金额</w:t>
      </w:r>
      <w:r>
        <w:rPr>
          <w:rFonts w:hint="eastAsia" w:ascii="宋体" w:hAnsi="宋体"/>
          <w:color w:val="auto"/>
          <w:highlight w:val="none"/>
        </w:rPr>
        <w:t>的1%：</w:t>
      </w:r>
    </w:p>
    <w:p>
      <w:pPr>
        <w:pStyle w:val="5"/>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pPr>
        <w:pStyle w:val="5"/>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pPr>
        <w:pStyle w:val="5"/>
        <w:ind w:left="0" w:leftChars="0" w:firstLine="420" w:firstLineChars="200"/>
        <w:rPr>
          <w:rFonts w:hint="eastAsia" w:ascii="宋体" w:hAnsi="宋体"/>
          <w:color w:val="auto"/>
          <w:highlight w:val="none"/>
        </w:rPr>
      </w:pPr>
      <w:r>
        <w:rPr>
          <w:rFonts w:hint="eastAsia" w:ascii="宋体" w:hAnsi="宋体"/>
          <w:color w:val="auto"/>
          <w:highlight w:val="none"/>
        </w:rPr>
        <w:t>（12）承包人经济处罚</w:t>
      </w:r>
    </w:p>
    <w:p>
      <w:pPr>
        <w:pStyle w:val="5"/>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pPr>
        <w:pStyle w:val="5"/>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pPr>
        <w:pStyle w:val="5"/>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pPr>
        <w:pStyle w:val="5"/>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pPr>
        <w:pStyle w:val="5"/>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pPr>
        <w:pStyle w:val="5"/>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pPr>
        <w:pStyle w:val="5"/>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pPr>
        <w:pStyle w:val="5"/>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pPr>
        <w:pStyle w:val="5"/>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pPr>
        <w:pStyle w:val="7"/>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中标合同价（以下简称“合同额”）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pPr>
        <w:pStyle w:val="7"/>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pPr>
        <w:pStyle w:val="11"/>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pPr>
        <w:pStyle w:val="11"/>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pPr>
        <w:pStyle w:val="11"/>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pPr>
        <w:pStyle w:val="11"/>
        <w:spacing w:after="0"/>
        <w:ind w:left="0" w:leftChars="0" w:firstLine="422" w:firstLineChars="200"/>
        <w:rPr>
          <w:rFonts w:hint="eastAsia" w:ascii="宋体"/>
          <w:color w:val="auto"/>
          <w:highlight w:val="none"/>
        </w:rPr>
      </w:pPr>
      <w:r>
        <w:rPr>
          <w:rFonts w:hint="eastAsia" w:ascii="宋体"/>
          <w:color w:val="auto"/>
          <w:highlight w:val="none"/>
        </w:rPr>
        <w:t>（18）其他：</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pPr>
        <w:pStyle w:val="11"/>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pPr>
        <w:pStyle w:val="11"/>
        <w:spacing w:after="0"/>
        <w:ind w:left="0" w:leftChars="0" w:firstLine="420" w:firstLineChars="200"/>
        <w:rPr>
          <w:rFonts w:hint="eastAsia" w:ascii="宋体" w:hAnsi="宋体" w:eastAsia="宋体" w:cs="Times New Roman"/>
          <w:b w:val="0"/>
          <w:bCs w:val="0"/>
          <w:color w:val="auto"/>
          <w:highlight w:val="none"/>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22）施工专项补助费执行《关于落实35kV及以上变电改扩建项目施工专项补助费列支有关工作的通知（基建部20230035）》的要求，此费用需包含在正式合同价中，并按费用标准计算的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正式合同价中的专项补助费(正式合同价中的专项补助费=最高限价的专项补助费×中标费率)全额支付；考评结果若为合格，扣除部分施工专项补助费，扣除费用为最高限价中的专项补助费×20%；考评结果若为不合格，扣除最高限价中的全部施工专项补助费。</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pPr>
        <w:pStyle w:val="5"/>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pPr>
        <w:pStyle w:val="11"/>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pPr>
        <w:pStyle w:val="11"/>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pPr>
        <w:pStyle w:val="5"/>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pPr>
        <w:pStyle w:val="5"/>
        <w:spacing w:after="0"/>
        <w:ind w:left="0" w:leftChars="0" w:firstLine="420" w:firstLineChars="200"/>
        <w:rPr>
          <w:rFonts w:hint="eastAsia" w:ascii="宋体" w:hAnsi="宋体"/>
          <w:color w:val="auto"/>
          <w:szCs w:val="21"/>
          <w:highlight w:val="none"/>
          <w:u w:val="single"/>
        </w:rPr>
      </w:pPr>
    </w:p>
    <w:p>
      <w:pPr>
        <w:pStyle w:val="5"/>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pPr>
        <w:pStyle w:val="5"/>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pPr>
        <w:pStyle w:val="11"/>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13.1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 xml:space="preserve">有权变更 </w:t>
      </w:r>
    </w:p>
    <w:p>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替换以下内容到第13.1款：</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变更权限按照《南方电网有限责任公司基建技术管理办法》及项目所在分子公司相关管理细则的要求执行，按先审批后执行的原则进行管理，按权限进行审批。</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13.3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 xml:space="preserve">变更程序 </w:t>
      </w:r>
    </w:p>
    <w:p>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w:t>
      </w:r>
      <w:r>
        <w:rPr>
          <w:rFonts w:ascii="宋体" w:hAnsi="宋体"/>
          <w:b/>
          <w:bCs/>
          <w:color w:val="auto"/>
          <w:szCs w:val="21"/>
          <w:highlight w:val="none"/>
          <w:shd w:val="clear" w:color="auto" w:fill="auto"/>
        </w:rPr>
        <w:t>3.3</w:t>
      </w:r>
      <w:r>
        <w:rPr>
          <w:rFonts w:hint="eastAsia" w:ascii="宋体" w:hAnsi="宋体"/>
          <w:b/>
          <w:bCs/>
          <w:color w:val="auto"/>
          <w:szCs w:val="21"/>
          <w:highlight w:val="none"/>
          <w:shd w:val="clear" w:color="auto" w:fill="auto"/>
        </w:rPr>
        <w:t>款：</w:t>
      </w:r>
    </w:p>
    <w:p>
      <w:pPr>
        <w:pStyle w:val="5"/>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变更程序</w:t>
      </w:r>
      <w:r>
        <w:rPr>
          <w:rFonts w:ascii="宋体" w:hAnsi="宋体"/>
          <w:color w:val="auto"/>
          <w:szCs w:val="21"/>
          <w:highlight w:val="none"/>
          <w:shd w:val="clear" w:color="auto" w:fill="auto"/>
        </w:rPr>
        <w:t>按照</w:t>
      </w:r>
      <w:r>
        <w:rPr>
          <w:rFonts w:hint="eastAsia" w:ascii="宋体" w:hAnsi="宋体"/>
          <w:color w:val="auto"/>
          <w:szCs w:val="21"/>
          <w:highlight w:val="none"/>
          <w:shd w:val="clear" w:color="auto" w:fill="auto"/>
        </w:rPr>
        <w:t>《南方电网有限责任公司基建技术管理办法》及项目所在分子公司相关管理细则的</w:t>
      </w:r>
      <w:r>
        <w:rPr>
          <w:rFonts w:ascii="宋体" w:hAnsi="宋体"/>
          <w:color w:val="auto"/>
          <w:szCs w:val="21"/>
          <w:highlight w:val="none"/>
          <w:shd w:val="clear" w:color="auto" w:fill="auto"/>
        </w:rPr>
        <w:t>要求执行</w:t>
      </w:r>
      <w:r>
        <w:rPr>
          <w:rFonts w:hint="eastAsia" w:ascii="宋体" w:hAnsi="宋体"/>
          <w:color w:val="auto"/>
          <w:szCs w:val="21"/>
          <w:highlight w:val="none"/>
          <w:shd w:val="clear" w:color="auto" w:fill="auto"/>
        </w:rPr>
        <w:t>，按先审批后执行的原则进行管理，按权限进行审批</w:t>
      </w:r>
      <w:r>
        <w:rPr>
          <w:rFonts w:ascii="宋体" w:hAnsi="宋体"/>
          <w:color w:val="auto"/>
          <w:szCs w:val="21"/>
          <w:highlight w:val="none"/>
          <w:shd w:val="clear" w:color="auto" w:fill="auto"/>
        </w:rPr>
        <w:t>。</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pPr>
        <w:pStyle w:val="6"/>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pPr>
        <w:pStyle w:val="5"/>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pPr>
        <w:pStyle w:val="5"/>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pPr>
        <w:pStyle w:val="5"/>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pPr>
        <w:pStyle w:val="5"/>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w:t>
      </w:r>
    </w:p>
    <w:p>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（4）管线迁移及悬吊保护</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无可套取定额的，按相关收费文件或合同计算。待工程整体完工后由第三方造价审核机构审核，与主合同一并结算。</w:t>
      </w:r>
    </w:p>
    <w:p>
      <w:pPr>
        <w:pStyle w:val="6"/>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2016年版）；定额执行《20kV及以下配电网工程预算定额》（2016年版），人工材料机械价差调整按广州市建设工程造价管理站发布的该项工作开工日期当月调差文件计取价差。无可套取定额的或涉及赔偿，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费用标准参照《光伏发电工程概算定额（NB/T 32035-2016）》及其计价程序，若涉及行业定额的按其行业定额及其计价程序；人工材料机械价差调整按广州市建设工程造价管理站发布的该项工作开工日期当月调差文件计取价差。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无可套取定额的，按相关收费文件或合同计算。待工程整体完工后由第三方造价审核机构审核，与主合同一并结算。</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pPr>
        <w:pStyle w:val="6"/>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pPr>
        <w:pStyle w:val="5"/>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pPr>
        <w:pStyle w:val="5"/>
        <w:keepNext w:val="0"/>
        <w:keepLines w:val="0"/>
        <w:pageBreakBefore w:val="0"/>
        <w:widowControl w:val="0"/>
        <w:numPr>
          <w:ilvl w:val="0"/>
          <w:numId w:val="3"/>
        </w:numPr>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w:t>
      </w:r>
    </w:p>
    <w:p>
      <w:pPr>
        <w:pStyle w:val="5"/>
        <w:keepNext w:val="0"/>
        <w:keepLines w:val="0"/>
        <w:pageBreakBefore w:val="0"/>
        <w:widowControl w:val="0"/>
        <w:numPr>
          <w:ilvl w:val="0"/>
          <w:numId w:val="3"/>
        </w:numPr>
        <w:kinsoku/>
        <w:wordWrap/>
        <w:overflowPunct/>
        <w:topLinePunct w:val="0"/>
        <w:bidi w:val="0"/>
        <w:snapToGrid/>
        <w:spacing w:after="0" w:line="360" w:lineRule="auto"/>
        <w:ind w:left="0" w:leftChars="0" w:firstLine="480" w:firstLineChars="200"/>
        <w:textAlignment w:val="auto"/>
        <w:rPr>
          <w:rFonts w:ascii="宋体" w:hAnsi="宋体" w:eastAsia="宋体" w:cs="宋体"/>
          <w:sz w:val="24"/>
          <w:szCs w:val="24"/>
        </w:rPr>
      </w:pPr>
      <w:r>
        <w:rPr>
          <w:rFonts w:hint="eastAsia" w:ascii="宋体" w:hAnsi="宋体" w:cs="宋体"/>
          <w:sz w:val="24"/>
          <w:szCs w:val="24"/>
          <w:lang w:val="en-US" w:eastAsia="zh-CN"/>
        </w:rPr>
        <w:t>交通疏解：</w:t>
      </w:r>
      <w:r>
        <w:rPr>
          <w:rFonts w:ascii="宋体" w:hAnsi="宋体" w:eastAsia="宋体" w:cs="宋体"/>
          <w:sz w:val="24"/>
          <w:szCs w:val="24"/>
        </w:rPr>
        <w:t>由中标单位负责与有资质的施工单位签订合同，在施工期内负责施工道路的疏导工作，负责保质保量完成交通疏解并确保顺利通过相关部门验收。结算根据监理及业主确认的工程量或竣工图纸按实计算并计取中标下浮率，定额参照采用《广东省市政工程综合定额》（2018年版），《广东省安装工程综合定额》（2018年版）及其计价程序，按一类地区计算，人工材料机械价差调整按施工期间广州市定额站发布的同期调差文件计取价差；若涉及行业定额的按其行业定额 及其计价程序；其中交通协管员全费用单价为</w:t>
      </w:r>
      <w:r>
        <w:rPr>
          <w:rFonts w:hint="eastAsia" w:ascii="宋体" w:hAnsi="宋体" w:eastAsia="宋体" w:cs="宋体"/>
          <w:sz w:val="24"/>
          <w:szCs w:val="24"/>
          <w:lang w:val="en-US" w:eastAsia="zh-CN"/>
        </w:rPr>
        <w:t>3</w:t>
      </w:r>
      <w:r>
        <w:rPr>
          <w:rFonts w:ascii="宋体" w:hAnsi="宋体" w:eastAsia="宋体" w:cs="宋体"/>
          <w:sz w:val="24"/>
          <w:szCs w:val="24"/>
        </w:rPr>
        <w:t>00元/工日，交通协管员的人员安排应严格按照交警部门批准的交通疏解方案执行，交通协管员按现场实际发生的工日数计算，上述费用汇总计算后，统一参与中标下浮，中标下浮率（%）＝[1－(投标报价-安全文明施工费-暂估价）/（最高投标限价-安全文明施工费-暂估价)]×100%。无可套取定额的，按相关收费文件或合同计算。待工程整体完 工后由第三方造价审核机构审核，与主合同一并结算。</w:t>
      </w:r>
    </w:p>
    <w:p>
      <w:pPr>
        <w:pStyle w:val="5"/>
        <w:keepNext w:val="0"/>
        <w:keepLines w:val="0"/>
        <w:pageBreakBefore w:val="0"/>
        <w:widowControl w:val="0"/>
        <w:numPr>
          <w:ilvl w:val="0"/>
          <w:numId w:val="3"/>
        </w:numPr>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其他：                /                 。</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13.</w:t>
      </w:r>
      <w:r>
        <w:rPr>
          <w:rFonts w:ascii="宋体" w:hAnsi="宋体"/>
          <w:color w:val="auto"/>
          <w:szCs w:val="21"/>
          <w:highlight w:val="none"/>
        </w:rPr>
        <w:t>7</w:t>
      </w:r>
      <w:r>
        <w:rPr>
          <w:rFonts w:hint="eastAsia" w:ascii="宋体" w:hAnsi="宋体"/>
          <w:color w:val="auto"/>
          <w:szCs w:val="21"/>
          <w:highlight w:val="none"/>
        </w:rPr>
        <w:t xml:space="preserve"> </w:t>
      </w:r>
      <w:r>
        <w:rPr>
          <w:rFonts w:hint="eastAsia" w:ascii="宋体" w:hAnsi="宋体"/>
          <w:color w:val="auto"/>
          <w:szCs w:val="21"/>
          <w:highlight w:val="none"/>
        </w:rPr>
        <w:tab/>
      </w:r>
      <w:r>
        <w:rPr>
          <w:rFonts w:hint="eastAsia" w:ascii="宋体" w:hAnsi="宋体"/>
          <w:color w:val="auto"/>
          <w:szCs w:val="21"/>
          <w:highlight w:val="none"/>
        </w:rPr>
        <w:t xml:space="preserve">法规变化引起的调整 </w:t>
      </w:r>
    </w:p>
    <w:p>
      <w:pPr>
        <w:pStyle w:val="11"/>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color w:val="auto"/>
          <w:szCs w:val="21"/>
          <w:highlight w:val="none"/>
          <w:shd w:val="clear" w:color="auto" w:fill="auto"/>
        </w:rPr>
      </w:pPr>
      <w:r>
        <w:rPr>
          <w:rFonts w:hint="eastAsia" w:ascii="宋体"/>
          <w:color w:val="auto"/>
          <w:szCs w:val="21"/>
          <w:highlight w:val="none"/>
          <w:shd w:val="clear" w:color="auto" w:fill="auto"/>
          <w:lang w:val="en-US" w:eastAsia="zh-CN"/>
        </w:rPr>
        <w:t>增加</w:t>
      </w:r>
      <w:r>
        <w:rPr>
          <w:rFonts w:hint="eastAsia" w:ascii="宋体" w:hAnsi="宋体"/>
          <w:color w:val="auto"/>
          <w:szCs w:val="21"/>
          <w:highlight w:val="none"/>
          <w:shd w:val="clear" w:color="auto" w:fill="auto"/>
        </w:rPr>
        <w:t>以下内容作为13.</w:t>
      </w:r>
      <w:r>
        <w:rPr>
          <w:rFonts w:hint="eastAsia" w:ascii="宋体"/>
          <w:color w:val="auto"/>
          <w:szCs w:val="21"/>
          <w:highlight w:val="none"/>
          <w:shd w:val="clear" w:color="auto" w:fill="auto"/>
          <w:lang w:val="en-US" w:eastAsia="zh-CN"/>
        </w:rPr>
        <w:t>7</w:t>
      </w:r>
      <w:r>
        <w:rPr>
          <w:rFonts w:hint="eastAsia" w:ascii="宋体" w:hAnsi="宋体"/>
          <w:color w:val="auto"/>
          <w:szCs w:val="21"/>
          <w:highlight w:val="none"/>
          <w:shd w:val="clear" w:color="auto" w:fill="auto"/>
        </w:rPr>
        <w:t>款：</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b w:val="0"/>
          <w:bCs/>
          <w:color w:val="auto"/>
          <w:szCs w:val="21"/>
          <w:highlight w:val="none"/>
          <w:shd w:val="clear" w:color="auto" w:fill="auto"/>
          <w:lang w:val="en-US" w:eastAsia="zh-CN"/>
        </w:rPr>
      </w:pPr>
      <w:r>
        <w:rPr>
          <w:rFonts w:hint="eastAsia" w:ascii="宋体"/>
          <w:b w:val="0"/>
          <w:bCs/>
          <w:color w:val="auto"/>
          <w:szCs w:val="21"/>
          <w:highlight w:val="none"/>
          <w:shd w:val="clear" w:color="auto" w:fill="auto"/>
          <w:lang w:val="en-US" w:eastAsia="zh-CN"/>
        </w:rPr>
        <w:t>确定正式合同价时调整。</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pPr>
        <w:pStyle w:val="5"/>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w:t>
      </w:r>
      <w:r>
        <w:rPr>
          <w:rFonts w:hint="eastAsia" w:ascii="宋体" w:hAnsi="宋体" w:cs="Times New Roman"/>
          <w:b/>
          <w:bCs/>
          <w:color w:val="auto"/>
          <w:szCs w:val="21"/>
          <w:highlight w:val="none"/>
          <w:shd w:val="clear" w:color="auto" w:fill="auto"/>
          <w:lang w:eastAsia="zh-CN"/>
        </w:rPr>
        <w:t>到第</w:t>
      </w:r>
      <w:r>
        <w:rPr>
          <w:rFonts w:hint="eastAsia" w:ascii="宋体" w:hAnsi="宋体" w:eastAsia="宋体" w:cs="Times New Roman"/>
          <w:b/>
          <w:bCs/>
          <w:color w:val="auto"/>
          <w:szCs w:val="21"/>
          <w:highlight w:val="none"/>
          <w:shd w:val="clear" w:color="auto" w:fill="auto"/>
        </w:rPr>
        <w:t>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eastAsia="宋体" w:cs="Times New Roman"/>
          <w:b/>
          <w:bCs/>
          <w:color w:val="auto"/>
          <w:szCs w:val="21"/>
          <w:highlight w:val="none"/>
          <w:shd w:val="clear" w:color="auto" w:fill="auto"/>
        </w:rPr>
        <w:t>款：</w:t>
      </w:r>
    </w:p>
    <w:p>
      <w:pPr>
        <w:pStyle w:val="5"/>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pPr>
        <w:keepNext w:val="0"/>
        <w:keepLines w:val="0"/>
        <w:pageBreakBefore w:val="0"/>
        <w:kinsoku/>
        <w:wordWrap/>
        <w:overflowPunct/>
        <w:topLinePunct w:val="0"/>
        <w:bidi w:val="0"/>
        <w:spacing w:line="360" w:lineRule="auto"/>
        <w:ind w:firstLine="42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本次合同中，因建设需要取消的分项工程项目，按正式合同价款中的相应费用减少合同价款；因建设需要，建设单位委托投标人开展属于本工程的相关建设内容但在本次承包报价范围以外的建设费用，依据第13.3.1款的估价原则增加合同价款。</w:t>
      </w:r>
    </w:p>
    <w:p>
      <w:pPr>
        <w:keepNext w:val="0"/>
        <w:keepLines w:val="0"/>
        <w:pageBreakBefore w:val="0"/>
        <w:tabs>
          <w:tab w:val="left" w:pos="0"/>
        </w:tabs>
        <w:kinsoku/>
        <w:wordWrap/>
        <w:overflowPunct/>
        <w:topLinePunct w:val="0"/>
        <w:bidi w:val="0"/>
        <w:spacing w:after="120" w:line="360" w:lineRule="auto"/>
        <w:ind w:firstLine="420" w:firstLineChars="20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rPr>
        <w:t>本次正式合同价款中为包干价的，一般不予调整；正式合同价款中的漏项、错项结算时视为已包括在其他工程子项的报价中，不予调整。因承包人原因造成工程质量达不到规范要求出现报废或返工增加的费用，不予调整。除非是以下情况：</w:t>
      </w:r>
    </w:p>
    <w:p>
      <w:pPr>
        <w:keepNext w:val="0"/>
        <w:keepLines w:val="0"/>
        <w:pageBreakBefore w:val="0"/>
        <w:numPr>
          <w:ilvl w:val="0"/>
          <w:numId w:val="0"/>
        </w:numPr>
        <w:tabs>
          <w:tab w:val="left" w:pos="0"/>
        </w:tabs>
        <w:kinsoku/>
        <w:wordWrap/>
        <w:overflowPunct/>
        <w:topLinePunct w:val="0"/>
        <w:autoSpaceDE w:val="0"/>
        <w:autoSpaceDN w:val="0"/>
        <w:bidi w:val="0"/>
        <w:adjustRightInd w:val="0"/>
        <w:spacing w:line="360" w:lineRule="auto"/>
        <w:ind w:firstLine="420" w:firstLineChars="200"/>
        <w:outlineLvl w:val="9"/>
        <w:rPr>
          <w:rFonts w:hint="eastAsia" w:ascii="宋体" w:hAnsi="宋体" w:cs="宋体"/>
          <w:color w:val="auto"/>
          <w:szCs w:val="21"/>
          <w:highlight w:val="none"/>
          <w:shd w:val="clear" w:color="auto" w:fill="auto"/>
        </w:rPr>
      </w:pP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lang w:val="en-US" w:eastAsia="zh-CN"/>
        </w:rPr>
        <w:t>a</w:t>
      </w: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rPr>
        <w:t>经项目发包人和监理工程师确认的现场签证或一项工程【（指招标文件投标格式的表二（甲、乙、丙、丁）的最末一级）】的工程量发生变更，依据第13.3款的原则估价后，经济数额</w:t>
      </w:r>
      <w:r>
        <w:rPr>
          <w:rFonts w:hint="eastAsia" w:ascii="宋体" w:hAnsi="宋体"/>
          <w:color w:val="auto"/>
          <w:szCs w:val="21"/>
          <w:highlight w:val="none"/>
          <w:shd w:val="clear" w:color="auto" w:fill="auto"/>
          <w:lang w:eastAsia="zh-CN"/>
        </w:rPr>
        <w:t>（含编制年价差）</w:t>
      </w:r>
      <w:r>
        <w:rPr>
          <w:rFonts w:hint="eastAsia" w:ascii="宋体" w:hAnsi="宋体" w:cs="宋体"/>
          <w:color w:val="auto"/>
          <w:szCs w:val="21"/>
          <w:highlight w:val="none"/>
          <w:shd w:val="clear" w:color="auto" w:fill="auto"/>
        </w:rPr>
        <w:t>超过H万元及以上时，此时调整原则为双向互调，但只针对该项工程超出H万元部分进行增减调整，与其他项工程无关。否则不予调整。</w:t>
      </w:r>
    </w:p>
    <w:p>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pPr>
              <w:pStyle w:val="6"/>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6"/>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pPr>
              <w:pStyle w:val="6"/>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pPr>
        <w:pStyle w:val="6"/>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3.2.2</w:t>
      </w:r>
      <w:r>
        <w:rPr>
          <w:rFonts w:hint="eastAsia" w:hAnsi="宋体"/>
          <w:color w:val="auto"/>
          <w:highlight w:val="none"/>
          <w:shd w:val="clear" w:color="auto" w:fill="auto"/>
          <w:lang w:val="en-US" w:eastAsia="zh-CN"/>
        </w:rPr>
        <w:t>最高投标限价组成的原则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pPr>
        <w:pStyle w:val="5"/>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pPr>
        <w:pStyle w:val="5"/>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pPr>
        <w:pStyle w:val="5"/>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pPr>
        <w:pStyle w:val="5"/>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pPr>
        <w:pStyle w:val="5"/>
        <w:ind w:left="0" w:leftChars="0" w:firstLine="422" w:firstLineChars="200"/>
        <w:rPr>
          <w:rFonts w:hint="eastAsia" w:ascii="宋体" w:hAnsi="宋体" w:eastAsia="宋体"/>
          <w:b/>
          <w:bCs w:val="0"/>
          <w:color w:val="auto"/>
          <w:highlight w:val="none"/>
          <w:lang w:eastAsia="zh-CN"/>
        </w:rPr>
      </w:pPr>
      <w:r>
        <w:rPr>
          <w:rFonts w:hint="eastAsia" w:ascii="宋体"/>
          <w:b/>
          <w:bCs w:val="0"/>
          <w:color w:val="auto"/>
          <w:highlight w:val="none"/>
        </w:rPr>
        <w:t>由于承包人原因造成延期的项目单价均不予调整</w:t>
      </w:r>
      <w:r>
        <w:rPr>
          <w:rFonts w:hint="eastAsia" w:ascii="宋体"/>
          <w:b/>
          <w:bCs w:val="0"/>
          <w:color w:val="auto"/>
          <w:highlight w:val="none"/>
          <w:lang w:eastAsia="zh-CN"/>
        </w:rPr>
        <w:t>。</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1</w:t>
      </w:r>
      <w:r>
        <w:rPr>
          <w:rFonts w:hint="eastAsia" w:ascii="宋体"/>
          <w:b w:val="0"/>
          <w:bCs/>
          <w:color w:val="auto"/>
          <w:highlight w:val="none"/>
        </w:rPr>
        <w:t xml:space="preserve">）人工单价发生变化且符合省级或行业建设主管部门发布的人工费调整规定，合同当事人应按省级或行业建设主管部门或其授权的工程造价管理机构发布的人工费等文件调整合同价格。调整时效按通用条款第20款。 </w:t>
      </w:r>
    </w:p>
    <w:p>
      <w:pPr>
        <w:pStyle w:val="11"/>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pPr>
        <w:pStyle w:val="11"/>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pPr>
        <w:pStyle w:val="11"/>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pPr>
        <w:pStyle w:val="11"/>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pPr>
        <w:pStyle w:val="11"/>
        <w:spacing w:after="0"/>
        <w:ind w:left="0" w:leftChars="0" w:firstLine="422" w:firstLineChars="200"/>
        <w:rPr>
          <w:rFonts w:hint="eastAsia" w:ascii="宋体"/>
          <w:b/>
          <w:bCs w:val="0"/>
          <w:color w:val="auto"/>
          <w:highlight w:val="none"/>
        </w:rPr>
      </w:pPr>
      <w:r>
        <w:rPr>
          <w:rFonts w:hint="eastAsia" w:ascii="宋体"/>
          <w:b/>
          <w:bCs w:val="0"/>
          <w:color w:val="auto"/>
          <w:highlight w:val="none"/>
        </w:rPr>
        <w:t>①合同材料单价(B)低于基准价格(A)的：合同履行期间材料单价（C）涨幅（或跌幅）以基准价格(A)为基础超过10%时，合同材料单价按公式调整。</w:t>
      </w:r>
    </w:p>
    <w:p>
      <w:pPr>
        <w:pStyle w:val="11"/>
        <w:spacing w:after="0"/>
        <w:ind w:left="0" w:leftChars="0" w:firstLine="422" w:firstLineChars="200"/>
        <w:rPr>
          <w:rFonts w:hint="eastAsia" w:ascii="宋体" w:eastAsia="宋体"/>
          <w:b/>
          <w:bCs w:val="0"/>
          <w:color w:val="auto"/>
          <w:highlight w:val="none"/>
          <w:lang w:val="en-US" w:eastAsia="zh-CN"/>
        </w:rPr>
      </w:pPr>
      <w:r>
        <w:rPr>
          <w:rFonts w:hint="eastAsia" w:ascii="宋体"/>
          <w:b/>
          <w:bCs w:val="0"/>
          <w:color w:val="auto"/>
          <w:highlight w:val="none"/>
        </w:rPr>
        <w:t>涨时调整单价=C-A</w:t>
      </w:r>
      <w:r>
        <w:rPr>
          <w:rFonts w:hint="eastAsia" w:ascii="宋体"/>
          <w:b/>
          <w:bCs w:val="0"/>
          <w:color w:val="auto"/>
          <w:highlight w:val="none"/>
          <w:lang w:val="en-US" w:eastAsia="zh-CN"/>
        </w:rPr>
        <w:t>*（1+10%）</w:t>
      </w:r>
    </w:p>
    <w:p>
      <w:pPr>
        <w:pStyle w:val="11"/>
        <w:spacing w:after="0"/>
        <w:ind w:left="0" w:leftChars="0" w:firstLine="422" w:firstLineChars="200"/>
        <w:rPr>
          <w:rFonts w:hint="default" w:ascii="宋体" w:eastAsia="宋体"/>
          <w:b/>
          <w:bCs w:val="0"/>
          <w:color w:val="auto"/>
          <w:highlight w:val="none"/>
          <w:lang w:val="en-US" w:eastAsia="zh-CN"/>
        </w:rPr>
      </w:pPr>
      <w:r>
        <w:rPr>
          <w:rFonts w:hint="eastAsia" w:ascii="宋体"/>
          <w:b/>
          <w:bCs w:val="0"/>
          <w:color w:val="auto"/>
          <w:highlight w:val="none"/>
        </w:rPr>
        <w:t>跌时调整单价：如C≥B时，不予调整；如C＜B时，调整单价=</w:t>
      </w:r>
      <w:r>
        <w:rPr>
          <w:rFonts w:hint="eastAsia" w:ascii="宋体"/>
          <w:b/>
          <w:bCs w:val="0"/>
          <w:color w:val="auto"/>
          <w:highlight w:val="none"/>
          <w:lang w:val="en-US" w:eastAsia="zh-CN"/>
        </w:rPr>
        <w:t>C-A*（1-10%）</w:t>
      </w:r>
    </w:p>
    <w:p>
      <w:pPr>
        <w:pStyle w:val="11"/>
        <w:spacing w:after="0"/>
        <w:ind w:left="0" w:leftChars="0" w:firstLine="422" w:firstLineChars="200"/>
        <w:rPr>
          <w:rFonts w:hint="eastAsia" w:ascii="宋体"/>
          <w:b/>
          <w:bCs w:val="0"/>
          <w:color w:val="auto"/>
          <w:highlight w:val="none"/>
        </w:rPr>
      </w:pPr>
      <w:r>
        <w:rPr>
          <w:rFonts w:hint="eastAsia" w:ascii="宋体"/>
          <w:b/>
          <w:bCs w:val="0"/>
          <w:color w:val="auto"/>
          <w:highlight w:val="none"/>
        </w:rPr>
        <w:t>②合同材料单价(B)高于基准价格(A)的：合同履行期间材料单价（C）涨幅（或跌幅）以基准价格(A)为基础超过10%时，合同材料单价按公式调整。</w:t>
      </w:r>
    </w:p>
    <w:p>
      <w:pPr>
        <w:pStyle w:val="11"/>
        <w:spacing w:after="0"/>
        <w:ind w:left="0" w:leftChars="0" w:firstLine="422" w:firstLineChars="200"/>
        <w:rPr>
          <w:rFonts w:hint="default" w:ascii="宋体" w:eastAsia="宋体"/>
          <w:b/>
          <w:bCs w:val="0"/>
          <w:color w:val="auto"/>
          <w:highlight w:val="none"/>
          <w:lang w:val="en-US" w:eastAsia="zh-CN"/>
        </w:rPr>
      </w:pPr>
      <w:r>
        <w:rPr>
          <w:rFonts w:hint="eastAsia" w:ascii="宋体"/>
          <w:b/>
          <w:bCs w:val="0"/>
          <w:color w:val="auto"/>
          <w:highlight w:val="none"/>
        </w:rPr>
        <w:t>涨时调整单价：如C≤B时，不予调整；如C＞B时，调整单价=C-B</w:t>
      </w:r>
      <w:r>
        <w:rPr>
          <w:rFonts w:hint="eastAsia" w:ascii="宋体"/>
          <w:b/>
          <w:bCs w:val="0"/>
          <w:color w:val="auto"/>
          <w:highlight w:val="none"/>
          <w:lang w:val="en-US" w:eastAsia="zh-CN"/>
        </w:rPr>
        <w:t>*(1+10%)</w:t>
      </w:r>
    </w:p>
    <w:p>
      <w:pPr>
        <w:pStyle w:val="11"/>
        <w:spacing w:after="0"/>
        <w:ind w:left="0" w:leftChars="0" w:firstLine="422" w:firstLineChars="200"/>
        <w:rPr>
          <w:rFonts w:hint="default" w:ascii="宋体" w:eastAsia="宋体"/>
          <w:b/>
          <w:bCs w:val="0"/>
          <w:color w:val="auto"/>
          <w:highlight w:val="none"/>
          <w:lang w:val="en-US" w:eastAsia="zh-CN"/>
        </w:rPr>
      </w:pPr>
      <w:r>
        <w:rPr>
          <w:rFonts w:hint="eastAsia" w:ascii="宋体"/>
          <w:b/>
          <w:bCs w:val="0"/>
          <w:color w:val="auto"/>
          <w:highlight w:val="none"/>
        </w:rPr>
        <w:t>跌时调整单价=C-A</w:t>
      </w:r>
      <w:r>
        <w:rPr>
          <w:rFonts w:hint="eastAsia" w:ascii="宋体"/>
          <w:b/>
          <w:bCs w:val="0"/>
          <w:color w:val="auto"/>
          <w:highlight w:val="none"/>
          <w:lang w:val="en-US" w:eastAsia="zh-CN"/>
        </w:rPr>
        <w:t>*(1-10%)</w:t>
      </w:r>
    </w:p>
    <w:p>
      <w:pPr>
        <w:pStyle w:val="11"/>
        <w:spacing w:after="0"/>
        <w:ind w:left="0" w:leftChars="0" w:firstLine="422" w:firstLineChars="200"/>
        <w:rPr>
          <w:rFonts w:hint="eastAsia" w:ascii="宋体"/>
          <w:b/>
          <w:bCs w:val="0"/>
          <w:color w:val="auto"/>
          <w:highlight w:val="none"/>
        </w:rPr>
      </w:pPr>
      <w:r>
        <w:rPr>
          <w:rFonts w:hint="eastAsia" w:ascii="宋体"/>
          <w:b/>
          <w:bCs w:val="0"/>
          <w:color w:val="auto"/>
          <w:highlight w:val="none"/>
        </w:rPr>
        <w:t>③合同材料单价(B)等于基准价格(A)的：合同履行期间材料单价（C）涨幅（或跌幅）以基准价格(A)为基础超过10%时，合同材料单价按公式调整。</w:t>
      </w:r>
    </w:p>
    <w:p>
      <w:pPr>
        <w:pStyle w:val="11"/>
        <w:spacing w:after="0"/>
        <w:ind w:left="0" w:leftChars="0" w:firstLine="422" w:firstLineChars="200"/>
        <w:rPr>
          <w:rFonts w:hint="eastAsia" w:ascii="宋体"/>
          <w:b/>
          <w:bCs w:val="0"/>
          <w:color w:val="auto"/>
          <w:highlight w:val="none"/>
          <w:lang w:val="en-US" w:eastAsia="zh-CN"/>
        </w:rPr>
      </w:pPr>
      <w:r>
        <w:rPr>
          <w:rFonts w:hint="eastAsia" w:ascii="宋体"/>
          <w:b/>
          <w:bCs w:val="0"/>
          <w:color w:val="auto"/>
          <w:highlight w:val="none"/>
        </w:rPr>
        <w:t>涨时调整单价=C-A</w:t>
      </w:r>
      <w:r>
        <w:rPr>
          <w:rFonts w:hint="eastAsia" w:ascii="宋体"/>
          <w:b/>
          <w:bCs w:val="0"/>
          <w:color w:val="auto"/>
          <w:highlight w:val="none"/>
          <w:lang w:val="en-US" w:eastAsia="zh-CN"/>
        </w:rPr>
        <w:t>*(1+10%)</w:t>
      </w:r>
    </w:p>
    <w:p>
      <w:pPr>
        <w:pStyle w:val="11"/>
        <w:spacing w:after="0"/>
        <w:ind w:left="0" w:leftChars="0" w:firstLine="422" w:firstLineChars="200"/>
        <w:rPr>
          <w:rFonts w:hint="default" w:ascii="宋体"/>
          <w:b/>
          <w:bCs w:val="0"/>
          <w:color w:val="auto"/>
          <w:highlight w:val="none"/>
          <w:lang w:val="en-US" w:eastAsia="zh-CN"/>
        </w:rPr>
      </w:pPr>
      <w:r>
        <w:rPr>
          <w:rFonts w:hint="eastAsia" w:ascii="宋体"/>
          <w:b/>
          <w:bCs w:val="0"/>
          <w:color w:val="auto"/>
          <w:highlight w:val="none"/>
          <w:lang w:val="en-US" w:eastAsia="zh-CN"/>
        </w:rPr>
        <w:t>跌</w:t>
      </w:r>
      <w:r>
        <w:rPr>
          <w:rFonts w:hint="eastAsia" w:ascii="宋体"/>
          <w:b/>
          <w:bCs w:val="0"/>
          <w:color w:val="auto"/>
          <w:highlight w:val="none"/>
        </w:rPr>
        <w:t>时调整单价=C-A</w:t>
      </w:r>
      <w:r>
        <w:rPr>
          <w:rFonts w:hint="eastAsia" w:ascii="宋体"/>
          <w:b/>
          <w:bCs w:val="0"/>
          <w:color w:val="auto"/>
          <w:highlight w:val="none"/>
          <w:lang w:val="en-US" w:eastAsia="zh-CN"/>
        </w:rPr>
        <w:t>*(1-10%)</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基准价格(A):是指由递交投标文件截止日期前28天省级或行业建设主管部门或其授权的工程造价管理机构发布的信息价；</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合同材料单价(B):是指承包人投标书中的材料单价（如投标书中相同材料有不同的单价时，取价高者）；</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pPr>
        <w:pStyle w:val="11"/>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w:t>
      </w:r>
      <w:bookmarkStart w:id="0" w:name="_GoBack"/>
      <w:bookmarkEnd w:id="0"/>
      <w:r>
        <w:rPr>
          <w:rFonts w:hint="eastAsia" w:ascii="宋体"/>
          <w:b w:val="0"/>
          <w:bCs/>
          <w:color w:val="auto"/>
          <w:highlight w:val="none"/>
          <w:lang w:val="en-US" w:eastAsia="zh-CN"/>
        </w:rPr>
        <w:t>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pPr>
        <w:pStyle w:val="11"/>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pPr>
        <w:pStyle w:val="11"/>
        <w:numPr>
          <w:ilvl w:val="0"/>
          <w:numId w:val="4"/>
        </w:numPr>
        <w:spacing w:after="0"/>
        <w:ind w:left="0" w:leftChars="0" w:firstLine="422" w:firstLineChars="200"/>
        <w:rPr>
          <w:rFonts w:hint="eastAsia" w:ascii="宋体"/>
          <w:color w:val="auto"/>
          <w:highlight w:val="none"/>
          <w:shd w:val="clear" w:color="auto" w:fill="auto"/>
        </w:rPr>
      </w:pPr>
      <w:r>
        <w:rPr>
          <w:rFonts w:hint="eastAsia" w:ascii="宋体"/>
          <w:color w:val="auto"/>
          <w:highlight w:val="none"/>
          <w:shd w:val="clear" w:color="auto" w:fill="auto"/>
        </w:rPr>
        <w:t>合同价格和支付</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color w:val="auto"/>
          <w:szCs w:val="21"/>
          <w:highlight w:val="none"/>
        </w:rPr>
        <w:tab/>
      </w:r>
      <w:r>
        <w:rPr>
          <w:rFonts w:hint="eastAsia" w:ascii="宋体" w:hAnsi="宋体"/>
          <w:color w:val="auto"/>
          <w:szCs w:val="21"/>
          <w:highlight w:val="none"/>
        </w:rPr>
        <w:t>合同价格</w:t>
      </w:r>
    </w:p>
    <w:p>
      <w:pPr>
        <w:pStyle w:val="11"/>
        <w:keepNext w:val="0"/>
        <w:keepLines w:val="0"/>
        <w:pageBreakBefore w:val="0"/>
        <w:numPr>
          <w:ilvl w:val="0"/>
          <w:numId w:val="0"/>
        </w:numPr>
        <w:kinsoku/>
        <w:wordWrap/>
        <w:overflowPunct/>
        <w:topLinePunct w:val="0"/>
        <w:bidi w:val="0"/>
        <w:spacing w:after="0" w:line="360" w:lineRule="auto"/>
        <w:ind w:leftChars="200"/>
        <w:outlineLvl w:val="9"/>
        <w:rPr>
          <w:rFonts w:hint="eastAsia" w:ascii="宋体"/>
          <w:color w:val="auto"/>
          <w:highlight w:val="none"/>
          <w:shd w:val="clear" w:color="auto" w:fill="auto"/>
        </w:rPr>
      </w:pPr>
      <w:r>
        <w:rPr>
          <w:rFonts w:hint="eastAsia" w:ascii="宋体"/>
          <w:color w:val="auto"/>
          <w:highlight w:val="none"/>
          <w:shd w:val="clear" w:color="auto" w:fill="auto"/>
        </w:rPr>
        <w:t>增加以下内容到第14.1款：</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包括暂定合同价和正式合同价。</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暂定合同价即为投标报价。</w:t>
      </w:r>
    </w:p>
    <w:p>
      <w:pPr>
        <w:pStyle w:val="11"/>
        <w:keepNext w:val="0"/>
        <w:keepLines w:val="0"/>
        <w:pageBreakBefore w:val="0"/>
        <w:shd w:val="clear" w:color="auto" w:fill="auto"/>
        <w:kinsoku/>
        <w:wordWrap/>
        <w:overflowPunct/>
        <w:topLinePunct w:val="0"/>
        <w:bidi w:val="0"/>
        <w:spacing w:after="0" w:line="360" w:lineRule="auto"/>
        <w:ind w:left="0" w:leftChars="0" w:firstLine="422" w:firstLineChars="200"/>
        <w:outlineLvl w:val="9"/>
        <w:rPr>
          <w:rFonts w:hint="eastAsia" w:ascii="宋体" w:hAnsi="宋体" w:eastAsia="宋体" w:cs="Times New Roman"/>
          <w:b w:val="0"/>
          <w:bCs/>
          <w:color w:val="auto"/>
          <w:szCs w:val="21"/>
          <w:highlight w:val="none"/>
          <w:shd w:val="clear" w:color="auto" w:fill="auto"/>
          <w:lang w:eastAsia="zh-CN"/>
        </w:rPr>
      </w:pPr>
      <w:r>
        <w:rPr>
          <w:rFonts w:hint="eastAsia" w:ascii="宋体" w:hAnsi="宋体" w:eastAsia="宋体" w:cs="Times New Roman"/>
          <w:b/>
          <w:bCs w:val="0"/>
          <w:color w:val="auto"/>
          <w:szCs w:val="21"/>
          <w:highlight w:val="none"/>
          <w:shd w:val="clear" w:color="auto" w:fill="auto"/>
        </w:rPr>
        <w:t>正式合同价=（招标范围内批复的施工费最高限价-安全文明施工费-暂估价）×</w:t>
      </w:r>
      <w:r>
        <w:rPr>
          <w:rFonts w:hint="eastAsia" w:hAnsi="宋体" w:cs="宋体"/>
          <w:b/>
          <w:bCs w:val="0"/>
          <w:color w:val="auto"/>
          <w:sz w:val="22"/>
          <w:szCs w:val="22"/>
          <w:highlight w:val="none"/>
          <w:shd w:val="clear" w:color="auto" w:fill="auto"/>
          <w:lang w:eastAsia="zh-CN"/>
        </w:rPr>
        <w:t>（</w:t>
      </w:r>
      <w:r>
        <w:rPr>
          <w:rFonts w:hint="eastAsia" w:hAnsi="宋体" w:cs="宋体"/>
          <w:b/>
          <w:bCs w:val="0"/>
          <w:color w:val="auto"/>
          <w:sz w:val="22"/>
          <w:szCs w:val="22"/>
          <w:highlight w:val="none"/>
          <w:shd w:val="clear" w:color="auto" w:fill="auto"/>
          <w:lang w:val="en-US" w:eastAsia="zh-CN"/>
        </w:rPr>
        <w:t>1-</w:t>
      </w:r>
      <w:r>
        <w:rPr>
          <w:rFonts w:hint="eastAsia" w:ascii="宋体" w:hAnsi="宋体" w:eastAsia="宋体" w:cs="宋体"/>
          <w:b/>
          <w:bCs w:val="0"/>
          <w:color w:val="auto"/>
          <w:sz w:val="22"/>
          <w:szCs w:val="22"/>
          <w:highlight w:val="none"/>
          <w:shd w:val="clear" w:color="auto" w:fill="auto"/>
        </w:rPr>
        <w:t>投标</w:t>
      </w:r>
      <w:r>
        <w:rPr>
          <w:rFonts w:hint="eastAsia" w:hAnsi="宋体" w:cs="宋体"/>
          <w:b/>
          <w:bCs w:val="0"/>
          <w:color w:val="auto"/>
          <w:sz w:val="22"/>
          <w:szCs w:val="22"/>
          <w:highlight w:val="none"/>
          <w:shd w:val="clear" w:color="auto" w:fill="auto"/>
          <w:lang w:val="en-US" w:eastAsia="zh-CN"/>
        </w:rPr>
        <w:t>下浮</w:t>
      </w:r>
      <w:r>
        <w:rPr>
          <w:rFonts w:hint="eastAsia" w:ascii="宋体" w:hAnsi="宋体" w:eastAsia="宋体" w:cs="宋体"/>
          <w:b/>
          <w:bCs w:val="0"/>
          <w:color w:val="auto"/>
          <w:sz w:val="22"/>
          <w:szCs w:val="22"/>
          <w:highlight w:val="none"/>
          <w:shd w:val="clear" w:color="auto" w:fill="auto"/>
        </w:rPr>
        <w:t>率</w:t>
      </w:r>
      <w:r>
        <w:rPr>
          <w:rFonts w:hint="eastAsia" w:hAnsi="宋体" w:cs="宋体"/>
          <w:b/>
          <w:bCs w:val="0"/>
          <w:color w:val="auto"/>
          <w:sz w:val="22"/>
          <w:szCs w:val="22"/>
          <w:highlight w:val="none"/>
          <w:shd w:val="clear" w:color="auto" w:fill="auto"/>
          <w:lang w:eastAsia="zh-CN"/>
        </w:rPr>
        <w:t>）</w:t>
      </w:r>
      <w:r>
        <w:rPr>
          <w:rFonts w:hint="eastAsia" w:ascii="宋体" w:hAnsi="宋体" w:eastAsia="宋体" w:cs="Times New Roman"/>
          <w:b/>
          <w:bCs w:val="0"/>
          <w:color w:val="auto"/>
          <w:szCs w:val="21"/>
          <w:highlight w:val="none"/>
          <w:shd w:val="clear" w:color="auto" w:fill="auto"/>
        </w:rPr>
        <w:t>+安全文明施工费+暂估价</w:t>
      </w:r>
      <w:r>
        <w:rPr>
          <w:rFonts w:hint="eastAsia" w:ascii="宋体" w:hAnsi="宋体" w:eastAsia="宋体" w:cs="Times New Roman"/>
          <w:b w:val="0"/>
          <w:bCs/>
          <w:color w:val="auto"/>
          <w:szCs w:val="21"/>
          <w:highlight w:val="none"/>
          <w:shd w:val="clear" w:color="auto" w:fill="auto"/>
        </w:rPr>
        <w:t>，由合同双方于施工图（含预算）评审后一个月内签定补充协议确定。</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招标范围内最高限价计算依据：评审后的施工图及预算、招标文件包含的招标范围、施工图预算编制原则、最高投标限价组成方式。</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最高限价由发包人委托的造价咨询单位依据上述原则进行编制，经三方（发包人、承包人、造价咨询单位）确认后，合同双方签订补充协议确定正式合同价。</w:t>
      </w:r>
    </w:p>
    <w:p>
      <w:pPr>
        <w:pStyle w:val="11"/>
        <w:keepNext w:val="0"/>
        <w:keepLines w:val="0"/>
        <w:pageBreakBefore w:val="0"/>
        <w:shd w:val="clear" w:color="auto" w:fill="auto"/>
        <w:kinsoku/>
        <w:wordWrap/>
        <w:overflowPunct/>
        <w:topLinePunct w:val="0"/>
        <w:bidi w:val="0"/>
        <w:spacing w:after="0" w:line="360" w:lineRule="auto"/>
        <w:ind w:left="0" w:leftChars="0" w:firstLine="420" w:firstLineChars="200"/>
        <w:outlineLvl w:val="9"/>
        <w:rPr>
          <w:rFonts w:hint="eastAsia" w:ascii="宋体" w:hAnsi="宋体" w:cs="Times New Roman"/>
          <w:b w:val="0"/>
          <w:bCs/>
          <w:color w:val="auto"/>
          <w:szCs w:val="21"/>
          <w:highlight w:val="none"/>
          <w:shd w:val="clear" w:color="auto" w:fill="auto"/>
        </w:rPr>
      </w:pPr>
      <w:r>
        <w:rPr>
          <w:rFonts w:hint="eastAsia" w:ascii="宋体" w:hAnsi="宋体" w:cs="Times New Roman"/>
          <w:b w:val="0"/>
          <w:bCs/>
          <w:color w:val="auto"/>
          <w:szCs w:val="21"/>
          <w:highlight w:val="none"/>
          <w:shd w:val="clear" w:color="auto" w:fill="auto"/>
        </w:rPr>
        <w:t>正式合同价对应评审后的施工图，合同内提到的设计变更（含工程量变更）为针对评审后施工图的变更。</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pPr>
        <w:pStyle w:val="11"/>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14.2.1</w:t>
      </w:r>
      <w:r>
        <w:rPr>
          <w:rFonts w:hint="eastAsia" w:ascii="宋体"/>
          <w:b w:val="0"/>
          <w:bCs/>
          <w:color w:val="auto"/>
          <w:highlight w:val="none"/>
        </w:rPr>
        <w:t>预付款支付比例或金额：</w:t>
      </w:r>
      <w:r>
        <w:rPr>
          <w:rFonts w:hint="eastAsia" w:ascii="宋体"/>
          <w:b w:val="0"/>
          <w:bCs/>
          <w:color w:val="auto"/>
          <w:highlight w:val="none"/>
          <w:lang w:eastAsia="zh-CN"/>
        </w:rPr>
        <w:t>（</w:t>
      </w:r>
      <w:r>
        <w:rPr>
          <w:rFonts w:hint="eastAsia" w:ascii="宋体"/>
          <w:b w:val="0"/>
          <w:bCs/>
          <w:color w:val="auto"/>
          <w:highlight w:val="none"/>
        </w:rPr>
        <w:t>合同价</w:t>
      </w:r>
      <w:r>
        <w:rPr>
          <w:rFonts w:hint="eastAsia" w:ascii="宋体"/>
          <w:b w:val="0"/>
          <w:bCs/>
          <w:color w:val="auto"/>
          <w:highlight w:val="none"/>
          <w:lang w:val="en-US" w:eastAsia="zh-CN"/>
        </w:rPr>
        <w:t>-安全文明施工费</w:t>
      </w:r>
      <w:r>
        <w:rPr>
          <w:rFonts w:hint="eastAsia" w:ascii="宋体"/>
          <w:b w:val="0"/>
          <w:bCs/>
          <w:color w:val="auto"/>
          <w:highlight w:val="none"/>
          <w:lang w:eastAsia="zh-CN"/>
        </w:rPr>
        <w:t>）</w:t>
      </w:r>
      <w:r>
        <w:rPr>
          <w:rFonts w:hint="eastAsia" w:ascii="宋体"/>
          <w:b w:val="0"/>
          <w:bCs/>
          <w:color w:val="auto"/>
          <w:highlight w:val="none"/>
        </w:rPr>
        <w:t>的</w:t>
      </w:r>
      <w:r>
        <w:rPr>
          <w:rFonts w:hint="eastAsia" w:ascii="宋体"/>
          <w:b w:val="0"/>
          <w:bCs/>
          <w:color w:val="auto"/>
          <w:highlight w:val="none"/>
          <w:u w:val="single"/>
        </w:rPr>
        <w:t>[可选项] 10％</w:t>
      </w:r>
      <w:r>
        <w:rPr>
          <w:rFonts w:hint="eastAsia" w:ascii="宋体"/>
          <w:b w:val="0"/>
          <w:bCs/>
          <w:color w:val="auto"/>
          <w:highlight w:val="none"/>
        </w:rPr>
        <w:t>。</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支付期限：在承包人完成以下工作14天内监理工程师向项目发包人发出预付款支付证书（一份复印件送承包人）：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w:t>
      </w:r>
      <w:r>
        <w:rPr>
          <w:rFonts w:hint="eastAsia" w:ascii="宋体"/>
          <w:b w:val="0"/>
          <w:bCs/>
          <w:color w:val="auto"/>
          <w:highlight w:val="none"/>
        </w:rPr>
        <w:tab/>
      </w:r>
      <w:r>
        <w:rPr>
          <w:rFonts w:hint="eastAsia" w:ascii="宋体"/>
          <w:b w:val="0"/>
          <w:bCs/>
          <w:color w:val="auto"/>
          <w:highlight w:val="none"/>
        </w:rPr>
        <w:t>合同和履约保函已生效；</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rPr>
        <w:tab/>
      </w:r>
      <w:r>
        <w:rPr>
          <w:rFonts w:hint="eastAsia" w:ascii="宋体"/>
          <w:b w:val="0"/>
          <w:bCs/>
          <w:color w:val="auto"/>
          <w:highlight w:val="none"/>
        </w:rPr>
        <w:t>开工准备工作已开始。</w:t>
      </w:r>
    </w:p>
    <w:p>
      <w:pPr>
        <w:pStyle w:val="11"/>
        <w:spacing w:after="0"/>
        <w:ind w:left="0" w:leftChars="0" w:firstLine="420" w:firstLineChars="200"/>
        <w:rPr>
          <w:rFonts w:hint="eastAsia" w:ascii="宋体" w:hAnsi="宋体"/>
          <w:b w:val="0"/>
          <w:bCs w:val="0"/>
          <w:color w:val="auto"/>
          <w:highlight w:val="none"/>
          <w:lang w:val="en-US" w:eastAsia="zh-CN"/>
        </w:rPr>
      </w:pPr>
      <w:r>
        <w:rPr>
          <w:rFonts w:hint="eastAsia" w:ascii="宋体"/>
          <w:b w:val="0"/>
          <w:bCs w:val="0"/>
          <w:color w:val="auto"/>
          <w:highlight w:val="none"/>
        </w:rPr>
        <w:t>预</w:t>
      </w:r>
      <w:r>
        <w:rPr>
          <w:rFonts w:hint="eastAsia" w:ascii="宋体" w:hAnsi="宋体"/>
          <w:b w:val="0"/>
          <w:bCs w:val="0"/>
          <w:color w:val="auto"/>
          <w:highlight w:val="none"/>
        </w:rPr>
        <w:t>付款扣回的方式：在完成合同价款的</w:t>
      </w:r>
      <w:r>
        <w:rPr>
          <w:rFonts w:hint="eastAsia" w:ascii="宋体" w:hAnsi="宋体"/>
          <w:b w:val="0"/>
          <w:bCs w:val="0"/>
          <w:color w:val="auto"/>
          <w:highlight w:val="none"/>
          <w:u w:val="single"/>
        </w:rPr>
        <w:t>[可选项]</w:t>
      </w:r>
      <w:r>
        <w:rPr>
          <w:rFonts w:hint="eastAsia" w:ascii="宋体" w:hAnsi="宋体"/>
          <w:b w:val="0"/>
          <w:bCs w:val="0"/>
          <w:color w:val="auto"/>
          <w:highlight w:val="none"/>
          <w:u w:val="single"/>
          <w:lang w:val="en-US" w:eastAsia="zh-CN"/>
        </w:rPr>
        <w:t>3</w:t>
      </w:r>
      <w:r>
        <w:rPr>
          <w:rFonts w:hint="eastAsia" w:ascii="宋体" w:hAnsi="宋体"/>
          <w:b w:val="0"/>
          <w:bCs w:val="0"/>
          <w:color w:val="auto"/>
          <w:highlight w:val="none"/>
          <w:u w:val="single"/>
        </w:rPr>
        <w:t>0％</w:t>
      </w:r>
      <w:r>
        <w:rPr>
          <w:rFonts w:hint="eastAsia" w:ascii="宋体" w:hAnsi="宋体"/>
          <w:b w:val="0"/>
          <w:bCs w:val="0"/>
          <w:color w:val="auto"/>
          <w:highlight w:val="none"/>
        </w:rPr>
        <w:t>后开始扣回，</w:t>
      </w:r>
      <w:r>
        <w:rPr>
          <w:rFonts w:hint="eastAsia" w:ascii="宋体" w:hAnsi="宋体"/>
          <w:b w:val="0"/>
          <w:bCs w:val="0"/>
          <w:color w:val="auto"/>
          <w:highlight w:val="none"/>
          <w:lang w:val="en-US" w:eastAsia="zh-CN"/>
        </w:rPr>
        <w:t>分两次扣回，每次抵扣预付款的50%，累计支付到合同价80%前</w:t>
      </w:r>
      <w:r>
        <w:rPr>
          <w:rFonts w:hint="eastAsia" w:ascii="宋体" w:hAnsi="宋体"/>
          <w:b w:val="0"/>
          <w:bCs w:val="0"/>
          <w:color w:val="auto"/>
          <w:highlight w:val="none"/>
        </w:rPr>
        <w:t>扣完。</w:t>
      </w:r>
    </w:p>
    <w:p>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pPr>
        <w:pStyle w:val="11"/>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14.2.3</w:t>
      </w:r>
      <w:r>
        <w:rPr>
          <w:rFonts w:hint="eastAsia" w:ascii="宋体"/>
          <w:b w:val="0"/>
          <w:bCs/>
          <w:color w:val="auto"/>
          <w:highlight w:val="none"/>
        </w:rPr>
        <w:t>发包人在预付款支付时同时向承包人提供工程款支付担保，工程款支付担保比例或金额：合同价的</w:t>
      </w:r>
      <w:r>
        <w:rPr>
          <w:rFonts w:hint="eastAsia" w:ascii="宋体"/>
          <w:b w:val="0"/>
          <w:bCs/>
          <w:color w:val="auto"/>
          <w:highlight w:val="none"/>
          <w:u w:val="single"/>
        </w:rPr>
        <w:t xml:space="preserve">[可选项] </w:t>
      </w:r>
      <w:r>
        <w:rPr>
          <w:rFonts w:hint="eastAsia" w:ascii="宋体"/>
          <w:b w:val="0"/>
          <w:bCs/>
          <w:color w:val="auto"/>
          <w:highlight w:val="none"/>
          <w:u w:val="single"/>
          <w:lang w:val="en-US" w:eastAsia="zh-CN"/>
        </w:rPr>
        <w:t xml:space="preserve">   %</w:t>
      </w:r>
      <w:r>
        <w:rPr>
          <w:rFonts w:hint="eastAsia" w:ascii="宋体"/>
          <w:b w:val="0"/>
          <w:bCs/>
          <w:color w:val="auto"/>
          <w:highlight w:val="none"/>
        </w:rPr>
        <w:t>。（合同金额50万元及以下，不需要提供担保。）</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工程款支付担保的有效期为：自发包人与承包人签订的合同生效之日起至发包人签发工程接收证书之日止。</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工程款支付担保方式：银行保函、保证保险。</w:t>
      </w:r>
    </w:p>
    <w:p>
      <w:pPr>
        <w:pStyle w:val="5"/>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14.3.1 工程进度款</w:t>
      </w:r>
      <w:r>
        <w:rPr>
          <w:rFonts w:hint="eastAsia" w:ascii="宋体"/>
          <w:b w:val="0"/>
          <w:bCs/>
          <w:color w:val="auto"/>
          <w:highlight w:val="none"/>
        </w:rPr>
        <w:t>（除人工费用</w:t>
      </w:r>
      <w:r>
        <w:rPr>
          <w:rFonts w:hint="eastAsia" w:ascii="宋体"/>
          <w:b w:val="0"/>
          <w:bCs/>
          <w:color w:val="auto"/>
          <w:highlight w:val="none"/>
          <w:lang w:eastAsia="zh-CN"/>
        </w:rPr>
        <w:t>、</w:t>
      </w:r>
      <w:r>
        <w:rPr>
          <w:rFonts w:hint="eastAsia" w:ascii="宋体"/>
          <w:b w:val="0"/>
          <w:bCs/>
          <w:color w:val="auto"/>
          <w:highlight w:val="none"/>
          <w:lang w:val="en-US" w:eastAsia="zh-CN"/>
        </w:rPr>
        <w:t>安全文明施工费</w:t>
      </w:r>
      <w:r>
        <w:rPr>
          <w:rFonts w:hint="eastAsia" w:ascii="宋体"/>
          <w:b w:val="0"/>
          <w:bCs/>
          <w:color w:val="auto"/>
          <w:highlight w:val="none"/>
        </w:rPr>
        <w:t>外）</w:t>
      </w:r>
      <w:r>
        <w:rPr>
          <w:rFonts w:hint="eastAsia" w:ascii="宋体"/>
          <w:b w:val="0"/>
          <w:bCs/>
          <w:color w:val="auto"/>
          <w:highlight w:val="none"/>
          <w:lang w:eastAsia="zh-CN"/>
        </w:rPr>
        <w:t>。</w:t>
      </w:r>
      <w:r>
        <w:rPr>
          <w:rFonts w:hint="eastAsia" w:ascii="宋体"/>
          <w:b w:val="0"/>
          <w:bCs/>
          <w:color w:val="auto"/>
          <w:highlight w:val="none"/>
        </w:rPr>
        <w:t>按以下第【    】种方式支付，若进度款与预付款累计已付至合同价的</w:t>
      </w:r>
      <w:r>
        <w:rPr>
          <w:rFonts w:hint="eastAsia" w:ascii="宋体"/>
          <w:b w:val="0"/>
          <w:bCs/>
          <w:color w:val="auto"/>
          <w:highlight w:val="none"/>
          <w:u w:val="single"/>
        </w:rPr>
        <w:t xml:space="preserve"> 8</w:t>
      </w:r>
      <w:r>
        <w:rPr>
          <w:rFonts w:hint="eastAsia" w:ascii="宋体"/>
          <w:b w:val="0"/>
          <w:bCs/>
          <w:color w:val="auto"/>
          <w:highlight w:val="none"/>
          <w:u w:val="single"/>
          <w:lang w:val="en-US" w:eastAsia="zh-CN"/>
        </w:rPr>
        <w:t>5</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val="en-US" w:eastAsia="zh-CN"/>
        </w:rPr>
        <w:t>中间结算价可随工程进度款一并支付，以中间结算的结算审核报告作为凭证。</w:t>
      </w:r>
      <w:r>
        <w:rPr>
          <w:rFonts w:hint="eastAsia" w:ascii="宋体"/>
          <w:b w:val="0"/>
          <w:bCs/>
          <w:color w:val="auto"/>
          <w:highlight w:val="none"/>
        </w:rPr>
        <w:t>付款方式包括电汇、汇票、支票、票据和双方认可的其他支付方式。</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1、季度结算，承包人应在每月</w:t>
      </w:r>
      <w:r>
        <w:rPr>
          <w:rFonts w:hint="eastAsia" w:ascii="宋体"/>
          <w:b w:val="0"/>
          <w:bCs/>
          <w:color w:val="auto"/>
          <w:highlight w:val="none"/>
          <w:u w:val="single"/>
        </w:rPr>
        <w:t xml:space="preserve">[可选项]  1  </w:t>
      </w:r>
      <w:r>
        <w:rPr>
          <w:rFonts w:hint="eastAsia" w:ascii="宋体"/>
          <w:b w:val="0"/>
          <w:bCs/>
          <w:color w:val="auto"/>
          <w:highlight w:val="none"/>
        </w:rPr>
        <w:t>日提交上一月度已完工程量及相应的支持性证明文件，报监理工程师核查。承包人应在每季度首月</w:t>
      </w:r>
      <w:r>
        <w:rPr>
          <w:rFonts w:hint="eastAsia" w:ascii="宋体"/>
          <w:b w:val="0"/>
          <w:bCs/>
          <w:color w:val="auto"/>
          <w:highlight w:val="none"/>
          <w:u w:val="single"/>
        </w:rPr>
        <w:t xml:space="preserve"> [可选项] 15  日</w:t>
      </w:r>
      <w:r>
        <w:rPr>
          <w:rFonts w:hint="eastAsia" w:ascii="宋体"/>
          <w:b w:val="0"/>
          <w:bCs/>
          <w:color w:val="auto"/>
          <w:highlight w:val="none"/>
        </w:rPr>
        <w:t>提交上一季度已完工程量的结算付款申请及相应的支持性证明文件，经监理工程师核查后出具经发包人签认的进度付款证书。发包人在签发进度付款证书并收到等额增值税专用发票后</w:t>
      </w:r>
      <w:r>
        <w:rPr>
          <w:rFonts w:hint="eastAsia" w:ascii="宋体"/>
          <w:b w:val="0"/>
          <w:bCs/>
          <w:color w:val="auto"/>
          <w:highlight w:val="none"/>
          <w:u w:val="single"/>
        </w:rPr>
        <w:t xml:space="preserve"> [可选项]45 日</w:t>
      </w:r>
      <w:r>
        <w:rPr>
          <w:rFonts w:hint="eastAsia" w:ascii="宋体"/>
          <w:b w:val="0"/>
          <w:bCs/>
          <w:color w:val="auto"/>
          <w:highlight w:val="none"/>
        </w:rPr>
        <w:t>内将进度款支付给承包人。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2、工程量形象进度（里程碑）结算，承包人在已完工程量达到合同工程量的</w:t>
      </w:r>
      <w:r>
        <w:rPr>
          <w:rFonts w:hint="eastAsia" w:ascii="宋体"/>
          <w:b w:val="0"/>
          <w:bCs/>
          <w:color w:val="auto"/>
          <w:highlight w:val="none"/>
          <w:u w:val="single"/>
        </w:rPr>
        <w:t>[可选项]30%、50％、8</w:t>
      </w:r>
      <w:r>
        <w:rPr>
          <w:rFonts w:hint="eastAsia" w:ascii="宋体"/>
          <w:b w:val="0"/>
          <w:bCs/>
          <w:color w:val="auto"/>
          <w:highlight w:val="none"/>
          <w:u w:val="single"/>
          <w:lang w:val="en-US" w:eastAsia="zh-CN"/>
        </w:rPr>
        <w:t>5</w:t>
      </w:r>
      <w:r>
        <w:rPr>
          <w:rFonts w:hint="eastAsia" w:ascii="宋体"/>
          <w:b w:val="0"/>
          <w:bCs/>
          <w:color w:val="auto"/>
          <w:highlight w:val="none"/>
          <w:u w:val="single"/>
        </w:rPr>
        <w:t>%</w:t>
      </w:r>
      <w:r>
        <w:rPr>
          <w:rFonts w:hint="eastAsia" w:ascii="宋体"/>
          <w:b w:val="0"/>
          <w:bCs/>
          <w:color w:val="auto"/>
          <w:highlight w:val="none"/>
        </w:rPr>
        <w:t>时提交付款申请及相应的支持性证明文件，经监理工程师核查后出具经发包人签认的进度付款证书。发包人在签发进度付款证书并收到等额增值税专用发票后 [可选项] 45 日内将进度款支付给承包人。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3、月度结算，承包人应在每月</w:t>
      </w:r>
      <w:r>
        <w:rPr>
          <w:rFonts w:hint="eastAsia" w:ascii="宋体"/>
          <w:b w:val="0"/>
          <w:bCs/>
          <w:color w:val="auto"/>
          <w:highlight w:val="none"/>
          <w:u w:val="single"/>
        </w:rPr>
        <w:t xml:space="preserve">[可选项]    </w:t>
      </w:r>
      <w:r>
        <w:rPr>
          <w:rFonts w:hint="eastAsia" w:ascii="宋体"/>
          <w:b w:val="0"/>
          <w:bCs/>
          <w:color w:val="auto"/>
          <w:highlight w:val="none"/>
        </w:rPr>
        <w:t>日前提交上一月度已完工程量及相应的支持性证明文件及结算付款申请，经监理工程师核查后出具经发包人签认的进度付款证书。发包人在签发进度付款证书，并收到等额增值税专用发票后45日内将进度款支付给承包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14.3.</w:t>
      </w:r>
      <w:r>
        <w:rPr>
          <w:rFonts w:hint="eastAsia" w:ascii="宋体"/>
          <w:b w:val="0"/>
          <w:bCs/>
          <w:color w:val="auto"/>
          <w:highlight w:val="none"/>
          <w:lang w:val="en-US" w:eastAsia="zh-CN"/>
        </w:rPr>
        <w:t>2</w:t>
      </w:r>
      <w:r>
        <w:rPr>
          <w:rFonts w:hint="eastAsia" w:ascii="宋体"/>
          <w:b w:val="0"/>
          <w:bCs/>
          <w:color w:val="auto"/>
          <w:highlight w:val="none"/>
        </w:rPr>
        <w:t>工程人工费用</w:t>
      </w:r>
      <w:r>
        <w:rPr>
          <w:rFonts w:hint="eastAsia" w:ascii="宋体"/>
          <w:b w:val="0"/>
          <w:bCs/>
          <w:color w:val="auto"/>
          <w:highlight w:val="none"/>
          <w:lang w:eastAsia="zh-CN"/>
        </w:rPr>
        <w:t>。</w:t>
      </w:r>
      <w:r>
        <w:rPr>
          <w:rFonts w:hint="eastAsia" w:ascii="宋体"/>
          <w:b w:val="0"/>
          <w:bCs/>
          <w:color w:val="auto"/>
          <w:highlight w:val="none"/>
        </w:rPr>
        <w:t>按月度拨付，承包人应在每月</w:t>
      </w:r>
      <w:r>
        <w:rPr>
          <w:rFonts w:hint="eastAsia" w:ascii="宋体"/>
          <w:b w:val="0"/>
          <w:bCs/>
          <w:color w:val="auto"/>
          <w:highlight w:val="none"/>
          <w:u w:val="single"/>
        </w:rPr>
        <w:t>[可选项]  15  日</w:t>
      </w:r>
      <w:r>
        <w:rPr>
          <w:rFonts w:hint="eastAsia" w:ascii="宋体"/>
          <w:b w:val="0"/>
          <w:bCs/>
          <w:color w:val="auto"/>
          <w:highlight w:val="none"/>
        </w:rPr>
        <w:t>提交当月工程农民工工资申请，报监理工程师核查，经监理工程师核查后出具经发包人签认的工程人工费用付款证书，发包人在签发付款证书并收到等额增值税专用发票后</w:t>
      </w:r>
      <w:r>
        <w:rPr>
          <w:rFonts w:hint="eastAsia" w:ascii="宋体"/>
          <w:b w:val="0"/>
          <w:bCs/>
          <w:color w:val="auto"/>
          <w:highlight w:val="none"/>
          <w:u w:val="single"/>
        </w:rPr>
        <w:t xml:space="preserve"> [可选项]45 日</w:t>
      </w:r>
      <w:r>
        <w:rPr>
          <w:rFonts w:hint="eastAsia" w:ascii="宋体"/>
          <w:b w:val="0"/>
          <w:bCs/>
          <w:color w:val="auto"/>
          <w:highlight w:val="none"/>
        </w:rPr>
        <w:t>内将人工费支付给承包人农民工工资专用账户。</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14.3.3 工程安全文明施工费。当经审批的</w:t>
      </w:r>
      <w:r>
        <w:rPr>
          <w:rFonts w:hint="eastAsia" w:ascii="宋体" w:hAnsi="宋体"/>
          <w:b w:val="0"/>
          <w:bCs/>
          <w:color w:val="auto"/>
          <w:highlight w:val="none"/>
          <w:lang w:val="en-US" w:eastAsia="zh-CN"/>
        </w:rPr>
        <w:t>安全文明施工</w:t>
      </w:r>
      <w:r>
        <w:rPr>
          <w:rFonts w:hint="eastAsia" w:ascii="宋体"/>
          <w:b w:val="0"/>
          <w:bCs/>
          <w:color w:val="auto"/>
          <w:highlight w:val="none"/>
          <w:lang w:val="en-US" w:eastAsia="zh-CN"/>
        </w:rPr>
        <w:t>措施费</w:t>
      </w:r>
      <w:r>
        <w:rPr>
          <w:rFonts w:hint="eastAsia" w:ascii="宋体" w:hAnsi="宋体"/>
          <w:b w:val="0"/>
          <w:bCs/>
          <w:color w:val="auto"/>
          <w:highlight w:val="none"/>
          <w:lang w:val="en-US" w:eastAsia="zh-CN"/>
        </w:rPr>
        <w:t>超</w:t>
      </w:r>
      <w:r>
        <w:rPr>
          <w:rFonts w:hint="eastAsia" w:ascii="宋体"/>
          <w:b w:val="0"/>
          <w:bCs/>
          <w:color w:val="auto"/>
          <w:highlight w:val="none"/>
          <w:lang w:val="en-US" w:eastAsia="zh-CN"/>
        </w:rPr>
        <w:t>过</w:t>
      </w:r>
      <w:r>
        <w:rPr>
          <w:rFonts w:hint="eastAsia" w:ascii="宋体" w:hAnsi="宋体"/>
          <w:b w:val="0"/>
          <w:bCs/>
          <w:color w:val="auto"/>
          <w:highlight w:val="none"/>
          <w:lang w:val="en-US" w:eastAsia="zh-CN"/>
        </w:rPr>
        <w:t>60%后，</w:t>
      </w:r>
      <w:r>
        <w:rPr>
          <w:rFonts w:hint="eastAsia" w:ascii="宋体"/>
          <w:b w:val="0"/>
          <w:bCs/>
          <w:color w:val="auto"/>
          <w:highlight w:val="none"/>
          <w:lang w:val="en-US" w:eastAsia="zh-CN"/>
        </w:rPr>
        <w:t>超出部分</w:t>
      </w:r>
      <w:r>
        <w:rPr>
          <w:rFonts w:hint="eastAsia" w:ascii="宋体"/>
          <w:b w:val="0"/>
          <w:bCs/>
          <w:color w:val="auto"/>
          <w:highlight w:val="none"/>
        </w:rPr>
        <w:t>按</w:t>
      </w:r>
      <w:r>
        <w:rPr>
          <w:rFonts w:hint="eastAsia" w:ascii="宋体"/>
          <w:b w:val="0"/>
          <w:bCs/>
          <w:color w:val="auto"/>
          <w:highlight w:val="none"/>
          <w:lang w:val="en-US" w:eastAsia="zh-CN"/>
        </w:rPr>
        <w:t>14.3.1款约定的工程进度款支付方式一并支付</w:t>
      </w:r>
      <w:r>
        <w:rPr>
          <w:rFonts w:hint="eastAsia" w:ascii="宋体"/>
          <w:b w:val="0"/>
          <w:bCs/>
          <w:color w:val="auto"/>
          <w:highlight w:val="none"/>
          <w:lang w:eastAsia="zh-CN"/>
        </w:rPr>
        <w:t>，</w:t>
      </w:r>
      <w:r>
        <w:rPr>
          <w:rFonts w:hint="eastAsia" w:ascii="宋体"/>
          <w:b w:val="0"/>
          <w:bCs/>
          <w:color w:val="auto"/>
          <w:highlight w:val="none"/>
        </w:rPr>
        <w:t>累计付至</w:t>
      </w:r>
      <w:r>
        <w:rPr>
          <w:rFonts w:hint="eastAsia" w:ascii="宋体"/>
          <w:b w:val="0"/>
          <w:bCs/>
          <w:color w:val="auto"/>
          <w:highlight w:val="none"/>
          <w:lang w:val="en-US" w:eastAsia="zh-CN"/>
        </w:rPr>
        <w:t>安全文明施工费</w:t>
      </w:r>
      <w:r>
        <w:rPr>
          <w:rFonts w:hint="eastAsia" w:ascii="宋体"/>
          <w:b w:val="0"/>
          <w:bCs/>
          <w:color w:val="auto"/>
          <w:highlight w:val="none"/>
        </w:rPr>
        <w:t>合同价的</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100</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eastAsia="zh-CN"/>
        </w:rPr>
        <w:t>，</w:t>
      </w:r>
      <w:r>
        <w:rPr>
          <w:rFonts w:hint="eastAsia" w:ascii="Calibri" w:hAnsi="Calibri" w:eastAsia="宋体" w:cs="Times New Roman"/>
          <w:b w:val="0"/>
          <w:i w:val="0"/>
          <w:color w:val="auto"/>
          <w:kern w:val="2"/>
          <w:sz w:val="21"/>
          <w:szCs w:val="22"/>
          <w:highlight w:val="none"/>
          <w:lang w:val="en-US" w:eastAsia="zh-CN" w:bidi="ar-SA"/>
        </w:rPr>
        <w:t>由于重大设计变更需调整安全文明施工费的，可按设计变更预算中的安全文明施工费先行支付，竣工结算时由造价咨询单位按合同约定重新核定费用。</w:t>
      </w:r>
      <w:r>
        <w:rPr>
          <w:rFonts w:hint="eastAsia" w:ascii="宋体"/>
          <w:b w:val="0"/>
          <w:bCs/>
          <w:color w:val="auto"/>
          <w:highlight w:val="none"/>
        </w:rPr>
        <w:t>付款方式包括电汇、汇票、支票、票据和双方认可的其他支付方式。</w:t>
      </w:r>
    </w:p>
    <w:p>
      <w:pPr>
        <w:pStyle w:val="11"/>
        <w:spacing w:after="0"/>
        <w:ind w:left="0" w:leftChars="0" w:firstLine="420" w:firstLineChars="200"/>
        <w:rPr>
          <w:rFonts w:hint="eastAsia" w:ascii="宋体" w:eastAsia="宋体" w:cs="Times New Roman"/>
          <w:b w:val="0"/>
          <w:bCs w:val="0"/>
          <w:color w:val="auto"/>
          <w:highlight w:val="none"/>
          <w:lang w:val="en-US" w:eastAsia="zh-CN"/>
        </w:rPr>
      </w:pPr>
      <w:r>
        <w:rPr>
          <w:rFonts w:hint="eastAsia" w:ascii="宋体" w:eastAsia="宋体" w:cs="Times New Roman"/>
          <w:b w:val="0"/>
          <w:bCs w:val="0"/>
          <w:color w:val="auto"/>
          <w:highlight w:val="none"/>
          <w:lang w:val="en-US" w:eastAsia="zh-CN"/>
        </w:rPr>
        <w:t>14.3.4代付款由承包人递交相关签证、发票（或收据）等支撑材料，经发包人审批后随下一期工程进度款支付。</w:t>
      </w:r>
    </w:p>
    <w:p>
      <w:pPr>
        <w:pStyle w:val="11"/>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pPr>
        <w:pStyle w:val="11"/>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pPr>
        <w:pStyle w:val="5"/>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pPr>
        <w:pStyle w:val="5"/>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pPr>
        <w:pStyle w:val="11"/>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pPr>
        <w:pStyle w:val="11"/>
        <w:shd w:val="clear" w:color="auto" w:fill="auto"/>
        <w:spacing w:after="0"/>
        <w:ind w:left="0" w:leftChars="0" w:firstLine="420" w:firstLineChars="200"/>
        <w:rPr>
          <w:rFonts w:hint="default" w:ascii="宋体"/>
          <w:b w:val="0"/>
          <w:bCs/>
          <w:color w:val="auto"/>
          <w:highlight w:val="none"/>
          <w:lang w:val="en-US" w:eastAsia="zh-CN"/>
        </w:rPr>
      </w:pPr>
      <w:r>
        <w:rPr>
          <w:rFonts w:hint="eastAsia" w:ascii="宋体"/>
          <w:b w:val="0"/>
          <w:bCs/>
          <w:color w:val="auto"/>
          <w:highlight w:val="none"/>
          <w:lang w:val="en-US" w:eastAsia="zh-CN"/>
        </w:rPr>
        <w:t>若为框架采购：</w:t>
      </w:r>
      <w:r>
        <w:rPr>
          <w:rFonts w:hint="eastAsia" w:ascii="宋体"/>
          <w:b w:val="0"/>
          <w:bCs/>
          <w:color w:val="auto"/>
          <w:highlight w:val="none"/>
          <w:u w:val="single"/>
          <w:lang w:val="en-US" w:eastAsia="zh-CN"/>
        </w:rPr>
        <w:t>招标代理费按框架内包含项目分摊结算，已实施项目的招标代理费按项目合同价结合招标文件中的《招标代理服务费费用计算表》计算，最后尚有余额未支付的，在框架范围内最后一个项目足额支付。</w:t>
      </w:r>
    </w:p>
    <w:p>
      <w:pPr>
        <w:pStyle w:val="5"/>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pPr>
        <w:pStyle w:val="5"/>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pPr>
        <w:pStyle w:val="5"/>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pPr>
        <w:pStyle w:val="11"/>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pPr>
        <w:pStyle w:val="11"/>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正式合同价确定后，在补充协议中明确</w:t>
      </w:r>
      <w:r>
        <w:rPr>
          <w:rFonts w:hint="eastAsia" w:ascii="宋体"/>
          <w:b w:val="0"/>
          <w:bCs/>
          <w:color w:val="auto"/>
          <w:highlight w:val="none"/>
        </w:rPr>
        <w:t>安全文明施工费金额</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pPr>
        <w:pStyle w:val="11"/>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pPr>
        <w:pStyle w:val="11"/>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pPr>
        <w:pStyle w:val="11"/>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pPr>
        <w:shd w:val="clear" w:color="auto" w:fill="auto"/>
        <w:spacing w:line="360" w:lineRule="auto"/>
        <w:ind w:firstLine="420" w:firstLineChars="200"/>
        <w:rPr>
          <w:rFonts w:hint="eastAsia"/>
          <w:color w:val="auto"/>
          <w:highlight w:val="none"/>
          <w:lang w:val="en-US" w:eastAsia="zh-CN"/>
        </w:rPr>
      </w:pPr>
      <w:r>
        <w:rPr>
          <w:rFonts w:hint="eastAsia" w:ascii="宋体"/>
          <w:b w:val="0"/>
          <w:bCs/>
          <w:color w:val="auto"/>
          <w:highlight w:val="none"/>
          <w:lang w:val="en-US" w:eastAsia="zh-CN"/>
        </w:rPr>
        <w:t>正式合同价确定后，在补充协议中明确</w:t>
      </w:r>
      <w:r>
        <w:rPr>
          <w:rFonts w:hint="eastAsia"/>
          <w:color w:val="auto"/>
          <w:highlight w:val="none"/>
        </w:rPr>
        <w:t>农民工工资总额</w:t>
      </w:r>
      <w:r>
        <w:rPr>
          <w:rFonts w:hint="eastAsia"/>
          <w:color w:val="auto"/>
          <w:highlight w:val="none"/>
          <w:lang w:val="en-US" w:eastAsia="zh-CN"/>
        </w:rPr>
        <w:t>和</w:t>
      </w:r>
      <w:r>
        <w:rPr>
          <w:rFonts w:hint="eastAsia"/>
          <w:color w:val="auto"/>
          <w:highlight w:val="none"/>
        </w:rPr>
        <w:t>占合同总额比例</w:t>
      </w:r>
      <w:r>
        <w:rPr>
          <w:rFonts w:hint="eastAsia"/>
          <w:color w:val="auto"/>
          <w:highlight w:val="none"/>
          <w:lang w:val="en-US" w:eastAsia="zh-CN"/>
        </w:rPr>
        <w:t>。</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pPr>
        <w:pStyle w:val="11"/>
        <w:spacing w:after="0"/>
        <w:ind w:left="0" w:leftChars="0" w:firstLine="422" w:firstLineChars="200"/>
        <w:rPr>
          <w:rFonts w:hint="eastAsia" w:ascii="宋体"/>
          <w:color w:val="auto"/>
          <w:highlight w:val="none"/>
        </w:rPr>
      </w:pPr>
      <w:r>
        <w:rPr>
          <w:rFonts w:hint="eastAsia" w:ascii="宋体"/>
          <w:color w:val="auto"/>
          <w:highlight w:val="none"/>
        </w:rPr>
        <w:t>替换以下内容到第14.11款：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发包人自收到工程结算书及完整相关结算依据资料后28日内进行核实，给予确认或提出修改意见。</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发包人在收到承包人的竣工付款申请单和适用税率的增值税专用发票后签发竣工付款证书。</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（1）按</w:t>
      </w:r>
      <w:r>
        <w:rPr>
          <w:rFonts w:hint="eastAsia" w:ascii="宋体"/>
          <w:b w:val="0"/>
          <w:bCs/>
          <w:color w:val="auto"/>
          <w:highlight w:val="none"/>
          <w:lang w:eastAsia="zh-CN"/>
        </w:rPr>
        <w:t>正式合同</w:t>
      </w:r>
      <w:r>
        <w:rPr>
          <w:rFonts w:hint="eastAsia" w:ascii="宋体"/>
          <w:b w:val="0"/>
          <w:bCs/>
          <w:color w:val="auto"/>
          <w:highlight w:val="none"/>
        </w:rPr>
        <w:t>价办理结算；</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（2）有核减依据时，按</w:t>
      </w:r>
      <w:r>
        <w:rPr>
          <w:rFonts w:hint="eastAsia" w:ascii="宋体"/>
          <w:b w:val="0"/>
          <w:bCs/>
          <w:color w:val="auto"/>
          <w:highlight w:val="none"/>
          <w:lang w:eastAsia="zh-CN"/>
        </w:rPr>
        <w:t>正式合同</w:t>
      </w:r>
      <w:r>
        <w:rPr>
          <w:rFonts w:hint="eastAsia" w:ascii="宋体"/>
          <w:b w:val="0"/>
          <w:bCs/>
          <w:color w:val="auto"/>
          <w:highlight w:val="none"/>
        </w:rPr>
        <w:t>价扣减相应核减费用办理结算。</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（3）承包人由于自身的原因超过约定的时间未报送竣工结算资料（或未完整报送竣工结算资料）的，从逾期次日起，每日扣罚违约金</w:t>
      </w:r>
      <w:r>
        <w:rPr>
          <w:rFonts w:hint="eastAsia" w:ascii="宋体"/>
          <w:b w:val="0"/>
          <w:bCs/>
          <w:color w:val="auto"/>
          <w:highlight w:val="none"/>
          <w:u w:val="single"/>
        </w:rPr>
        <w:t>1000元</w:t>
      </w:r>
      <w:r>
        <w:rPr>
          <w:rFonts w:hint="eastAsia" w:ascii="宋体"/>
          <w:b w:val="0"/>
          <w:bCs/>
          <w:color w:val="auto"/>
          <w:highlight w:val="none"/>
        </w:rPr>
        <w:t>（承包人提供结算资料的同时需提供发包人工程管理部门签字盖章确认并注明签收日期的工程结算资料签收记录作为计算违约金的依据）。</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2、承包人未提出增加费用，经审定需调增结算费用，此时产生的结算审核费用由承包人承担。</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3、结算费用经发包人委托的中介机构审定，造价咨询服务基本收费部分由发包人支付，效益收费部分由承包人支付的方式，效益收费部分在工程结算款中扣除并由发包人支付给中介机构。</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5、在内外部审计过程中，承包人应积极配合，当审计中发现并经发包人确认结算中存在错算款项，发包人有权扣回，承包人应在收到财务决算审计审核报告复核通知书后按发包人要求将错算款项交回发包人。</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pPr>
        <w:pStyle w:val="11"/>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pPr>
        <w:pStyle w:val="11"/>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pPr>
        <w:pStyle w:val="11"/>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pPr>
        <w:pStyle w:val="5"/>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20.6  仲裁</w:t>
      </w:r>
    </w:p>
    <w:p>
      <w:pPr>
        <w:pStyle w:val="5"/>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在无法执行第20.5条[友好解决]的情况下，因合同及合同有关事项发生的争议，按下列第（  ）种方式解决：</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在仲裁或诉讼期间，本合同不涉及争议部分的条款仍须履行。</w:t>
      </w:r>
    </w:p>
    <w:p>
      <w:pPr>
        <w:pStyle w:val="11"/>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pPr>
        <w:pStyle w:val="11"/>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pPr>
        <w:pStyle w:val="5"/>
        <w:shd w:val="clear" w:color="auto" w:fill="auto"/>
        <w:spacing w:after="0" w:line="360" w:lineRule="auto"/>
        <w:ind w:left="0" w:leftChars="0" w:firstLine="420" w:firstLineChars="200"/>
        <w:rPr>
          <w:rFonts w:hint="default" w:ascii="宋体" w:hAnsi="宋体"/>
          <w:color w:val="auto"/>
          <w:szCs w:val="21"/>
          <w:highlight w:val="yellow"/>
          <w:shd w:val="clear" w:color="auto" w:fill="auto"/>
          <w:lang w:val="en-US" w:eastAsia="zh-CN"/>
        </w:rPr>
      </w:pPr>
      <w:r>
        <w:rPr>
          <w:rFonts w:hint="eastAsia" w:ascii="宋体" w:hAnsi="宋体"/>
          <w:color w:val="auto"/>
          <w:szCs w:val="21"/>
          <w:highlight w:val="yellow"/>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pPr>
        <w:pStyle w:val="5"/>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pPr>
        <w:pStyle w:val="5"/>
        <w:shd w:val="clear" w:color="auto" w:fill="auto"/>
        <w:spacing w:after="0" w:line="360" w:lineRule="auto"/>
        <w:ind w:left="0" w:leftChars="0" w:firstLine="420" w:firstLineChars="200"/>
        <w:rPr>
          <w:rFonts w:hint="default" w:ascii="宋体" w:hAnsi="宋体" w:eastAsia="宋体" w:cs="Times New Roman"/>
          <w:strike w:val="0"/>
          <w:dstrike w:val="0"/>
          <w:color w:val="0000FF"/>
          <w:szCs w:val="21"/>
          <w:highlight w:val="yellow"/>
          <w:shd w:val="clear" w:color="auto" w:fill="auto"/>
          <w:lang w:val="en-US" w:eastAsia="zh-CN"/>
        </w:rPr>
      </w:pPr>
      <w:r>
        <w:rPr>
          <w:rFonts w:hint="eastAsia" w:ascii="宋体" w:hAnsi="宋体" w:eastAsia="宋体" w:cs="Times New Roman"/>
          <w:strike w:val="0"/>
          <w:dstrike w:val="0"/>
          <w:color w:val="0000FF"/>
          <w:szCs w:val="21"/>
          <w:highlight w:val="yellow"/>
          <w:shd w:val="clear" w:color="auto" w:fill="auto"/>
          <w:lang w:val="en-US" w:eastAsia="zh-CN"/>
        </w:rPr>
        <w:t>10、</w:t>
      </w:r>
      <w:r>
        <w:rPr>
          <w:rFonts w:hint="eastAsia" w:ascii="宋体" w:hAnsi="宋体" w:cs="Times New Roman"/>
          <w:strike w:val="0"/>
          <w:dstrike w:val="0"/>
          <w:color w:val="0000FF"/>
          <w:szCs w:val="21"/>
          <w:highlight w:val="yellow"/>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0000FF"/>
          <w:szCs w:val="21"/>
          <w:highlight w:val="yellow"/>
          <w:shd w:val="clear" w:color="auto" w:fill="auto"/>
          <w:lang w:val="en-US" w:eastAsia="zh-CN"/>
        </w:rPr>
        <w:t>加强工程款项的监管，保证专款专用，</w:t>
      </w:r>
      <w:r>
        <w:rPr>
          <w:rFonts w:hint="eastAsia" w:ascii="宋体" w:hAnsi="宋体" w:cs="Times New Roman"/>
          <w:strike w:val="0"/>
          <w:dstrike w:val="0"/>
          <w:color w:val="0000FF"/>
          <w:szCs w:val="21"/>
          <w:highlight w:val="yellow"/>
          <w:shd w:val="clear" w:color="auto" w:fill="auto"/>
          <w:lang w:val="en-US" w:eastAsia="zh-CN"/>
        </w:rPr>
        <w:t>变电站建筑工程、电力隧道工程、小型基建工程的</w:t>
      </w:r>
      <w:r>
        <w:rPr>
          <w:rFonts w:hint="eastAsia" w:ascii="宋体" w:hAnsi="宋体" w:eastAsia="宋体" w:cs="Times New Roman"/>
          <w:strike w:val="0"/>
          <w:dstrike w:val="0"/>
          <w:color w:val="0000FF"/>
          <w:szCs w:val="21"/>
          <w:highlight w:val="yellow"/>
          <w:shd w:val="clear" w:color="auto" w:fill="auto"/>
          <w:lang w:val="en-US" w:eastAsia="zh-CN"/>
        </w:rPr>
        <w:t>中标人在与建设单位签订合同时需同时签订《工程款项监管协议》（详见附件）。</w:t>
      </w:r>
    </w:p>
    <w:p>
      <w:pPr>
        <w:pStyle w:val="5"/>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p>
    <w:p>
      <w:pPr>
        <w:pStyle w:val="5"/>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pPr>
        <w:pStyle w:val="5"/>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pPr>
        <w:pStyle w:val="5"/>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pPr>
        <w:outlineLvl w:val="2"/>
        <w:rPr>
          <w:rFonts w:hint="eastAsia" w:ascii="宋体" w:hAnsi="宋体"/>
          <w:color w:val="auto"/>
          <w:szCs w:val="21"/>
          <w:highlight w:val="none"/>
        </w:rPr>
      </w:pPr>
    </w:p>
    <w:p>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pPr>
        <w:pStyle w:val="5"/>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pPr>
        <w:rPr>
          <w:rFonts w:hint="eastAsia" w:ascii="仿宋_GB2312" w:hAnsi="宋体" w:eastAsia="仿宋_GB2312"/>
          <w:color w:val="auto"/>
          <w:sz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bl>
    <w:p>
      <w:pPr>
        <w:autoSpaceDE w:val="0"/>
        <w:autoSpaceDN w:val="0"/>
        <w:jc w:val="left"/>
        <w:rPr>
          <w:rFonts w:hint="eastAsia" w:ascii="宋体" w:hAnsi="宋体" w:cs="仿宋_GB2312"/>
          <w:color w:val="auto"/>
          <w:szCs w:val="21"/>
          <w:highlight w:val="none"/>
        </w:rPr>
      </w:pPr>
    </w:p>
    <w:p>
      <w:pPr>
        <w:spacing w:line="360" w:lineRule="atLeast"/>
        <w:jc w:val="left"/>
        <w:rPr>
          <w:rFonts w:hint="eastAsia" w:ascii="仿宋_GB2312" w:hAnsi="仿宋_GB2312" w:eastAsia="仿宋_GB2312"/>
          <w:color w:val="auto"/>
          <w:sz w:val="32"/>
          <w:highlight w:val="none"/>
        </w:rPr>
      </w:pPr>
    </w:p>
    <w:p>
      <w:pPr>
        <w:rPr>
          <w:color w:val="auto"/>
          <w:highlight w:val="none"/>
          <w:shd w:val="clear" w:color="auto" w:fill="auto"/>
        </w:rPr>
      </w:pPr>
    </w:p>
    <w:p>
      <w:pPr>
        <w:pStyle w:val="5"/>
        <w:spacing w:after="0"/>
        <w:ind w:left="0" w:leftChars="0" w:firstLine="420" w:firstLineChars="200"/>
        <w:outlineLvl w:val="9"/>
        <w:rPr>
          <w:rFonts w:hint="eastAsia" w:ascii="宋体" w:hAnsi="宋体"/>
          <w:color w:val="auto"/>
          <w:szCs w:val="21"/>
          <w:highlight w:val="none"/>
          <w:shd w:val="clear" w:color="auto" w:fill="auto"/>
        </w:rPr>
      </w:pPr>
    </w:p>
    <w:p>
      <w:pPr>
        <w:pStyle w:val="5"/>
        <w:spacing w:after="0" w:line="360" w:lineRule="auto"/>
        <w:ind w:left="0" w:leftChars="0" w:firstLine="420" w:firstLineChars="200"/>
        <w:rPr>
          <w:rFonts w:hint="eastAsia" w:ascii="宋体" w:hAnsi="宋体"/>
          <w:color w:val="auto"/>
          <w:szCs w:val="21"/>
          <w:highlight w:val="none"/>
          <w:shd w:val="clear" w:color="auto" w:fill="auto"/>
        </w:rPr>
      </w:pPr>
    </w:p>
    <w:p>
      <w:pPr>
        <w:pStyle w:val="2"/>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CBF98"/>
    <w:multiLevelType w:val="singleLevel"/>
    <w:tmpl w:val="8D0CBF98"/>
    <w:lvl w:ilvl="0" w:tentative="0">
      <w:start w:val="12"/>
      <w:numFmt w:val="decimal"/>
      <w:suff w:val="nothing"/>
      <w:lvlText w:val="（%1）"/>
      <w:lvlJc w:val="left"/>
    </w:lvl>
  </w:abstractNum>
  <w:abstractNum w:abstractNumId="1">
    <w:nsid w:val="93F8BCA1"/>
    <w:multiLevelType w:val="singleLevel"/>
    <w:tmpl w:val="93F8BCA1"/>
    <w:lvl w:ilvl="0" w:tentative="0">
      <w:start w:val="2"/>
      <w:numFmt w:val="decimal"/>
      <w:suff w:val="space"/>
      <w:lvlText w:val="%1."/>
      <w:lvlJc w:val="left"/>
    </w:lvl>
  </w:abstractNum>
  <w:abstractNum w:abstractNumId="2">
    <w:nsid w:val="B7618685"/>
    <w:multiLevelType w:val="singleLevel"/>
    <w:tmpl w:val="B7618685"/>
    <w:lvl w:ilvl="0" w:tentative="0">
      <w:start w:val="14"/>
      <w:numFmt w:val="decimal"/>
      <w:lvlText w:val="%1."/>
      <w:lvlJc w:val="left"/>
    </w:lvl>
  </w:abstractNum>
  <w:abstractNum w:abstractNumId="3">
    <w:nsid w:val="29DCA47E"/>
    <w:multiLevelType w:val="singleLevel"/>
    <w:tmpl w:val="29DCA47E"/>
    <w:lvl w:ilvl="0" w:tentative="0">
      <w:start w:val="2"/>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28D2A10"/>
    <w:rsid w:val="039B4076"/>
    <w:rsid w:val="03FF09D1"/>
    <w:rsid w:val="040A347E"/>
    <w:rsid w:val="0434068E"/>
    <w:rsid w:val="04444582"/>
    <w:rsid w:val="04A42176"/>
    <w:rsid w:val="04EE5035"/>
    <w:rsid w:val="05E3484E"/>
    <w:rsid w:val="062F27A0"/>
    <w:rsid w:val="064F275A"/>
    <w:rsid w:val="071C74E7"/>
    <w:rsid w:val="07626FF2"/>
    <w:rsid w:val="07EF06E0"/>
    <w:rsid w:val="07FC58F7"/>
    <w:rsid w:val="092B66E4"/>
    <w:rsid w:val="09497050"/>
    <w:rsid w:val="096F254B"/>
    <w:rsid w:val="09F54830"/>
    <w:rsid w:val="0A0210D2"/>
    <w:rsid w:val="0A357CA6"/>
    <w:rsid w:val="0A7A62B1"/>
    <w:rsid w:val="0A857EFA"/>
    <w:rsid w:val="0AB02A04"/>
    <w:rsid w:val="0B952B8D"/>
    <w:rsid w:val="0BB3080C"/>
    <w:rsid w:val="0BD6105C"/>
    <w:rsid w:val="0C2C076A"/>
    <w:rsid w:val="0C3B1291"/>
    <w:rsid w:val="0C54499C"/>
    <w:rsid w:val="0D0A45F3"/>
    <w:rsid w:val="0D3523D5"/>
    <w:rsid w:val="0D6C29E7"/>
    <w:rsid w:val="0E3B075D"/>
    <w:rsid w:val="0E534696"/>
    <w:rsid w:val="0EA65532"/>
    <w:rsid w:val="0F6B490B"/>
    <w:rsid w:val="0FFF63DC"/>
    <w:rsid w:val="10AD735D"/>
    <w:rsid w:val="114F60DB"/>
    <w:rsid w:val="11D844E4"/>
    <w:rsid w:val="12BC5972"/>
    <w:rsid w:val="13895AD1"/>
    <w:rsid w:val="13A2600B"/>
    <w:rsid w:val="13E85359"/>
    <w:rsid w:val="14000139"/>
    <w:rsid w:val="14457ECD"/>
    <w:rsid w:val="144C30DB"/>
    <w:rsid w:val="14945576"/>
    <w:rsid w:val="16422B8A"/>
    <w:rsid w:val="16787795"/>
    <w:rsid w:val="167D4006"/>
    <w:rsid w:val="16CE46AA"/>
    <w:rsid w:val="16D33104"/>
    <w:rsid w:val="16FF25CE"/>
    <w:rsid w:val="170A318D"/>
    <w:rsid w:val="17222706"/>
    <w:rsid w:val="178E6B3F"/>
    <w:rsid w:val="179F3297"/>
    <w:rsid w:val="17F95F96"/>
    <w:rsid w:val="18BE20F2"/>
    <w:rsid w:val="18C67E87"/>
    <w:rsid w:val="18F32B1A"/>
    <w:rsid w:val="19186A04"/>
    <w:rsid w:val="197154D5"/>
    <w:rsid w:val="19D708FD"/>
    <w:rsid w:val="1ABA07E3"/>
    <w:rsid w:val="1AF11EE9"/>
    <w:rsid w:val="1B1B5AE7"/>
    <w:rsid w:val="1B724704"/>
    <w:rsid w:val="1BE61A31"/>
    <w:rsid w:val="1CA03607"/>
    <w:rsid w:val="1D214E1D"/>
    <w:rsid w:val="1D46545E"/>
    <w:rsid w:val="1D8119D1"/>
    <w:rsid w:val="1D9B15A6"/>
    <w:rsid w:val="1DDA7705"/>
    <w:rsid w:val="1DE1733B"/>
    <w:rsid w:val="1DFE6556"/>
    <w:rsid w:val="1E3169BD"/>
    <w:rsid w:val="1E7E5153"/>
    <w:rsid w:val="1F566E40"/>
    <w:rsid w:val="1FE8011B"/>
    <w:rsid w:val="200B2313"/>
    <w:rsid w:val="208B04E5"/>
    <w:rsid w:val="208E0B97"/>
    <w:rsid w:val="20A455EC"/>
    <w:rsid w:val="20E463FD"/>
    <w:rsid w:val="21A3063D"/>
    <w:rsid w:val="21B8105E"/>
    <w:rsid w:val="22B37E50"/>
    <w:rsid w:val="22EA5D55"/>
    <w:rsid w:val="23163928"/>
    <w:rsid w:val="23A668A4"/>
    <w:rsid w:val="23F855A9"/>
    <w:rsid w:val="24817751"/>
    <w:rsid w:val="24A56C6E"/>
    <w:rsid w:val="25043DDF"/>
    <w:rsid w:val="25512CD5"/>
    <w:rsid w:val="25587D4A"/>
    <w:rsid w:val="256652F2"/>
    <w:rsid w:val="25E54C16"/>
    <w:rsid w:val="25FE5E3B"/>
    <w:rsid w:val="26135940"/>
    <w:rsid w:val="26D7397F"/>
    <w:rsid w:val="270D0F30"/>
    <w:rsid w:val="278F11C3"/>
    <w:rsid w:val="27CA26F6"/>
    <w:rsid w:val="27DE2261"/>
    <w:rsid w:val="2849600C"/>
    <w:rsid w:val="28693F9B"/>
    <w:rsid w:val="28F532FD"/>
    <w:rsid w:val="2A2D07F8"/>
    <w:rsid w:val="2A512844"/>
    <w:rsid w:val="2B1F0683"/>
    <w:rsid w:val="2B44261D"/>
    <w:rsid w:val="2B44271F"/>
    <w:rsid w:val="2B595482"/>
    <w:rsid w:val="2B5C5A5F"/>
    <w:rsid w:val="2B7C3D9A"/>
    <w:rsid w:val="2CE02C84"/>
    <w:rsid w:val="2DBE647D"/>
    <w:rsid w:val="2E142F4F"/>
    <w:rsid w:val="2E43229D"/>
    <w:rsid w:val="2E5D431B"/>
    <w:rsid w:val="2EBA6A72"/>
    <w:rsid w:val="2EDC2CE7"/>
    <w:rsid w:val="2F9C5111"/>
    <w:rsid w:val="2FAB7D0C"/>
    <w:rsid w:val="2FD00080"/>
    <w:rsid w:val="303403F6"/>
    <w:rsid w:val="306666F7"/>
    <w:rsid w:val="306E16E9"/>
    <w:rsid w:val="3088561E"/>
    <w:rsid w:val="310475B8"/>
    <w:rsid w:val="310E7982"/>
    <w:rsid w:val="311447E9"/>
    <w:rsid w:val="31263489"/>
    <w:rsid w:val="312C1C0F"/>
    <w:rsid w:val="313F36B9"/>
    <w:rsid w:val="31C17740"/>
    <w:rsid w:val="31C44E6F"/>
    <w:rsid w:val="32462FB2"/>
    <w:rsid w:val="326363F3"/>
    <w:rsid w:val="32F62731"/>
    <w:rsid w:val="33A30126"/>
    <w:rsid w:val="34967BEC"/>
    <w:rsid w:val="35031914"/>
    <w:rsid w:val="355851B8"/>
    <w:rsid w:val="357B3B1F"/>
    <w:rsid w:val="35C17548"/>
    <w:rsid w:val="368E52D8"/>
    <w:rsid w:val="36E0159F"/>
    <w:rsid w:val="3734642A"/>
    <w:rsid w:val="376D1AC5"/>
    <w:rsid w:val="3782510E"/>
    <w:rsid w:val="378770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993C30"/>
    <w:rsid w:val="3CB55DD9"/>
    <w:rsid w:val="3D991F99"/>
    <w:rsid w:val="3DB07F6B"/>
    <w:rsid w:val="3DCE783B"/>
    <w:rsid w:val="3DE57621"/>
    <w:rsid w:val="3E22139D"/>
    <w:rsid w:val="3E901F5F"/>
    <w:rsid w:val="3EA856B2"/>
    <w:rsid w:val="3EE202B9"/>
    <w:rsid w:val="3F415710"/>
    <w:rsid w:val="3FA269AC"/>
    <w:rsid w:val="3FD25B24"/>
    <w:rsid w:val="404770E6"/>
    <w:rsid w:val="40991D13"/>
    <w:rsid w:val="40AD18E2"/>
    <w:rsid w:val="41AF4B8B"/>
    <w:rsid w:val="427771EB"/>
    <w:rsid w:val="430B3B99"/>
    <w:rsid w:val="431D10B7"/>
    <w:rsid w:val="43481FFB"/>
    <w:rsid w:val="44980CDC"/>
    <w:rsid w:val="44C16A07"/>
    <w:rsid w:val="44DB7A97"/>
    <w:rsid w:val="44EA4795"/>
    <w:rsid w:val="451A33E4"/>
    <w:rsid w:val="455137BA"/>
    <w:rsid w:val="455F7A69"/>
    <w:rsid w:val="45992592"/>
    <w:rsid w:val="45B01234"/>
    <w:rsid w:val="46285E16"/>
    <w:rsid w:val="464153DB"/>
    <w:rsid w:val="46565C03"/>
    <w:rsid w:val="46827A75"/>
    <w:rsid w:val="46862F52"/>
    <w:rsid w:val="469E4FB6"/>
    <w:rsid w:val="46EF4DF0"/>
    <w:rsid w:val="47974B6C"/>
    <w:rsid w:val="47BE2B4A"/>
    <w:rsid w:val="491456B1"/>
    <w:rsid w:val="49263929"/>
    <w:rsid w:val="49DC4E68"/>
    <w:rsid w:val="4A5F1906"/>
    <w:rsid w:val="4A61101F"/>
    <w:rsid w:val="4A6C1FC3"/>
    <w:rsid w:val="4AEB4E36"/>
    <w:rsid w:val="4AFC1FFA"/>
    <w:rsid w:val="4B285E73"/>
    <w:rsid w:val="4BD56629"/>
    <w:rsid w:val="4BDE000E"/>
    <w:rsid w:val="4BFE315B"/>
    <w:rsid w:val="4C144C48"/>
    <w:rsid w:val="4C2E17D2"/>
    <w:rsid w:val="4C417A6E"/>
    <w:rsid w:val="4C596153"/>
    <w:rsid w:val="4CE66ED1"/>
    <w:rsid w:val="4D0742A5"/>
    <w:rsid w:val="4D214ED7"/>
    <w:rsid w:val="4D3F3DD9"/>
    <w:rsid w:val="4D654A4A"/>
    <w:rsid w:val="4DD546D5"/>
    <w:rsid w:val="4E5A6BD8"/>
    <w:rsid w:val="4E6F0E2D"/>
    <w:rsid w:val="4ED2574B"/>
    <w:rsid w:val="4EFD6807"/>
    <w:rsid w:val="4F1B59B5"/>
    <w:rsid w:val="4F3B2021"/>
    <w:rsid w:val="5152079A"/>
    <w:rsid w:val="51AA6309"/>
    <w:rsid w:val="51F352EB"/>
    <w:rsid w:val="52265D02"/>
    <w:rsid w:val="52937716"/>
    <w:rsid w:val="52A11D3B"/>
    <w:rsid w:val="52B651A7"/>
    <w:rsid w:val="52DC751A"/>
    <w:rsid w:val="5379613C"/>
    <w:rsid w:val="54007A11"/>
    <w:rsid w:val="544A0ADE"/>
    <w:rsid w:val="546973DC"/>
    <w:rsid w:val="54CF7D80"/>
    <w:rsid w:val="55A503E6"/>
    <w:rsid w:val="569E2036"/>
    <w:rsid w:val="56B700C6"/>
    <w:rsid w:val="57416F33"/>
    <w:rsid w:val="576E15CC"/>
    <w:rsid w:val="579978C1"/>
    <w:rsid w:val="57C62767"/>
    <w:rsid w:val="581E1696"/>
    <w:rsid w:val="581F5B81"/>
    <w:rsid w:val="586E5D3E"/>
    <w:rsid w:val="58D35EB3"/>
    <w:rsid w:val="59154660"/>
    <w:rsid w:val="594D4B8E"/>
    <w:rsid w:val="59525FDB"/>
    <w:rsid w:val="59A62A20"/>
    <w:rsid w:val="59A93A55"/>
    <w:rsid w:val="5A710D5C"/>
    <w:rsid w:val="5A7908D5"/>
    <w:rsid w:val="5AAD478D"/>
    <w:rsid w:val="5B4A2A3E"/>
    <w:rsid w:val="5BA45D69"/>
    <w:rsid w:val="5C2C4ADB"/>
    <w:rsid w:val="5C580382"/>
    <w:rsid w:val="5D62480F"/>
    <w:rsid w:val="5DDF6E91"/>
    <w:rsid w:val="5ED53891"/>
    <w:rsid w:val="5F3C3859"/>
    <w:rsid w:val="5FB474E0"/>
    <w:rsid w:val="5FD77B3B"/>
    <w:rsid w:val="6023446D"/>
    <w:rsid w:val="603C7E58"/>
    <w:rsid w:val="61087E2D"/>
    <w:rsid w:val="61627EF2"/>
    <w:rsid w:val="61E045CD"/>
    <w:rsid w:val="621A14CD"/>
    <w:rsid w:val="62874764"/>
    <w:rsid w:val="62F42042"/>
    <w:rsid w:val="635E565F"/>
    <w:rsid w:val="63945187"/>
    <w:rsid w:val="639D7495"/>
    <w:rsid w:val="63B065DA"/>
    <w:rsid w:val="63F97017"/>
    <w:rsid w:val="641540CC"/>
    <w:rsid w:val="641A131C"/>
    <w:rsid w:val="646E4065"/>
    <w:rsid w:val="649E418C"/>
    <w:rsid w:val="64B20A0E"/>
    <w:rsid w:val="64B32A88"/>
    <w:rsid w:val="65E5242F"/>
    <w:rsid w:val="667211B2"/>
    <w:rsid w:val="66B2109F"/>
    <w:rsid w:val="66E2130C"/>
    <w:rsid w:val="6750559A"/>
    <w:rsid w:val="676350A4"/>
    <w:rsid w:val="678B32A0"/>
    <w:rsid w:val="684F5878"/>
    <w:rsid w:val="688B2AD6"/>
    <w:rsid w:val="68BD71B4"/>
    <w:rsid w:val="68EC3DD0"/>
    <w:rsid w:val="692B4132"/>
    <w:rsid w:val="6A3C04F2"/>
    <w:rsid w:val="6A433669"/>
    <w:rsid w:val="6A7C678A"/>
    <w:rsid w:val="6A9E1710"/>
    <w:rsid w:val="6BAA7113"/>
    <w:rsid w:val="6BF80FF3"/>
    <w:rsid w:val="6C05238F"/>
    <w:rsid w:val="6C311B17"/>
    <w:rsid w:val="6D05244E"/>
    <w:rsid w:val="6D243774"/>
    <w:rsid w:val="6D2B6BB7"/>
    <w:rsid w:val="6D542C57"/>
    <w:rsid w:val="6D6418AE"/>
    <w:rsid w:val="6DBC51E2"/>
    <w:rsid w:val="6E287E44"/>
    <w:rsid w:val="6E2A4C0B"/>
    <w:rsid w:val="6E9D5637"/>
    <w:rsid w:val="6F4F605A"/>
    <w:rsid w:val="6FD025A6"/>
    <w:rsid w:val="70242621"/>
    <w:rsid w:val="7029103C"/>
    <w:rsid w:val="704F15F9"/>
    <w:rsid w:val="705E5698"/>
    <w:rsid w:val="70951F5C"/>
    <w:rsid w:val="709E5E25"/>
    <w:rsid w:val="71052A8E"/>
    <w:rsid w:val="714251E9"/>
    <w:rsid w:val="71AB06BA"/>
    <w:rsid w:val="71F145A9"/>
    <w:rsid w:val="72330FCB"/>
    <w:rsid w:val="72E82850"/>
    <w:rsid w:val="739B7ABD"/>
    <w:rsid w:val="73F640E0"/>
    <w:rsid w:val="73F75673"/>
    <w:rsid w:val="740C2EB6"/>
    <w:rsid w:val="74360245"/>
    <w:rsid w:val="744448D5"/>
    <w:rsid w:val="74C332C2"/>
    <w:rsid w:val="74CB17FF"/>
    <w:rsid w:val="75BF0C01"/>
    <w:rsid w:val="75C23499"/>
    <w:rsid w:val="76320D4E"/>
    <w:rsid w:val="7672533A"/>
    <w:rsid w:val="77132BA9"/>
    <w:rsid w:val="778E18B2"/>
    <w:rsid w:val="77D9070C"/>
    <w:rsid w:val="780A18BA"/>
    <w:rsid w:val="78641EBF"/>
    <w:rsid w:val="786B670E"/>
    <w:rsid w:val="792E16F0"/>
    <w:rsid w:val="798F2768"/>
    <w:rsid w:val="79B902B8"/>
    <w:rsid w:val="79DC46B7"/>
    <w:rsid w:val="7A4946DA"/>
    <w:rsid w:val="7AC272FF"/>
    <w:rsid w:val="7AF75D5C"/>
    <w:rsid w:val="7B2B326A"/>
    <w:rsid w:val="7B3B2338"/>
    <w:rsid w:val="7B5D6421"/>
    <w:rsid w:val="7BA86E99"/>
    <w:rsid w:val="7BC469C3"/>
    <w:rsid w:val="7C4F7056"/>
    <w:rsid w:val="7C900816"/>
    <w:rsid w:val="7CAE29D1"/>
    <w:rsid w:val="7CD63AC7"/>
    <w:rsid w:val="7CEB54F6"/>
    <w:rsid w:val="7D1930A0"/>
    <w:rsid w:val="7D2221D8"/>
    <w:rsid w:val="7D397C9C"/>
    <w:rsid w:val="7D442AF4"/>
    <w:rsid w:val="7D57146E"/>
    <w:rsid w:val="7D774E71"/>
    <w:rsid w:val="7DA525FA"/>
    <w:rsid w:val="7DB8544C"/>
    <w:rsid w:val="7E135E11"/>
    <w:rsid w:val="7E362BEF"/>
    <w:rsid w:val="7F0E612D"/>
    <w:rsid w:val="7F5D773E"/>
    <w:rsid w:val="7F690FAE"/>
    <w:rsid w:val="7F7A63C8"/>
    <w:rsid w:val="7F8D0CCF"/>
    <w:rsid w:val="7FCA15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11"/>
    <w:basedOn w:val="5"/>
    <w:qFormat/>
    <w:uiPriority w:val="0"/>
    <w:pPr>
      <w:spacing w:line="360" w:lineRule="auto"/>
    </w:pPr>
    <w:rPr>
      <w:rFonts w:hAnsi="宋体"/>
      <w:b/>
      <w:szCs w:val="21"/>
    </w:rPr>
  </w:style>
  <w:style w:type="paragraph" w:customStyle="1" w:styleId="12">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17339</Words>
  <Characters>18317</Characters>
  <Lines>0</Lines>
  <Paragraphs>0</Paragraphs>
  <TotalTime>4</TotalTime>
  <ScaleCrop>false</ScaleCrop>
  <LinksUpToDate>false</LinksUpToDate>
  <CharactersWithSpaces>18883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84C185C0524E4DFF847592F7866B311B</cp:lastModifiedBy>
  <dcterms:modified xsi:type="dcterms:W3CDTF">2025-10-16T10:59:13Z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533668E317914C63BB3EE1FBA1A5447C</vt:lpwstr>
  </property>
</Properties>
</file>