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bidi w:val="0"/>
        <w:spacing w:line="360" w:lineRule="auto"/>
        <w:jc w:val="center"/>
        <w:outlineLvl w:val="9"/>
        <w:rPr>
          <w:rFonts w:hint="default" w:ascii="宋体" w:hAnsi="宋体" w:cs="宋体"/>
          <w:b/>
          <w:i w:val="0"/>
          <w:iCs/>
          <w:color w:val="auto"/>
          <w:kern w:val="0"/>
          <w:sz w:val="32"/>
          <w:szCs w:val="32"/>
          <w:highlight w:val="none"/>
          <w:shd w:val="clear" w:color="auto" w:fill="auto"/>
          <w:lang w:val="en-US" w:eastAsia="zh-CN"/>
        </w:rPr>
      </w:pPr>
      <w:r>
        <w:rPr>
          <w:rFonts w:hint="eastAsia" w:ascii="宋体" w:hAnsi="宋体" w:cs="宋体"/>
          <w:b/>
          <w:i w:val="0"/>
          <w:iCs/>
          <w:color w:val="auto"/>
          <w:kern w:val="0"/>
          <w:sz w:val="32"/>
          <w:szCs w:val="32"/>
          <w:highlight w:val="none"/>
          <w:shd w:val="clear" w:color="auto" w:fill="auto"/>
          <w:lang w:val="en-US" w:eastAsia="zh-CN"/>
        </w:rPr>
        <w:t>附件B-招标文件3.2条款及合同文本条款差异说明</w:t>
      </w:r>
    </w:p>
    <w:p>
      <w:pPr>
        <w:keepNext w:val="0"/>
        <w:keepLines w:val="0"/>
        <w:pageBreakBefore w:val="0"/>
        <w:kinsoku/>
        <w:wordWrap/>
        <w:overflowPunct/>
        <w:topLinePunct w:val="0"/>
        <w:bidi w:val="0"/>
        <w:spacing w:line="360" w:lineRule="auto"/>
        <w:jc w:val="center"/>
        <w:outlineLvl w:val="9"/>
        <w:rPr>
          <w:rFonts w:hint="eastAsia" w:ascii="宋体" w:hAnsi="宋体" w:eastAsia="宋体" w:cs="宋体"/>
          <w:b/>
          <w:i w:val="0"/>
          <w:iCs/>
          <w:color w:val="auto"/>
          <w:kern w:val="0"/>
          <w:sz w:val="28"/>
          <w:szCs w:val="28"/>
          <w:highlight w:val="none"/>
          <w:shd w:val="clear" w:color="auto" w:fill="auto"/>
          <w:lang w:val="en-US" w:eastAsia="zh-CN" w:bidi="ar-SA"/>
        </w:rPr>
      </w:pPr>
    </w:p>
    <w:p>
      <w:pPr>
        <w:keepNext w:val="0"/>
        <w:keepLines w:val="0"/>
        <w:pageBreakBefore w:val="0"/>
        <w:numPr>
          <w:ilvl w:val="0"/>
          <w:numId w:val="0"/>
        </w:numPr>
        <w:kinsoku/>
        <w:wordWrap/>
        <w:overflowPunct/>
        <w:topLinePunct w:val="0"/>
        <w:bidi w:val="0"/>
        <w:spacing w:line="360" w:lineRule="auto"/>
        <w:jc w:val="left"/>
        <w:outlineLvl w:val="0"/>
        <w:rPr>
          <w:rFonts w:hint="eastAsia" w:ascii="宋体" w:hAnsi="宋体" w:cs="宋体"/>
          <w:b/>
          <w:i w:val="0"/>
          <w:iCs/>
          <w:color w:val="auto"/>
          <w:kern w:val="0"/>
          <w:sz w:val="28"/>
          <w:szCs w:val="28"/>
          <w:highlight w:val="none"/>
          <w:u w:val="single"/>
          <w:shd w:val="clear" w:color="auto" w:fill="auto"/>
          <w:lang w:val="en-US" w:eastAsia="zh-CN" w:bidi="ar-SA"/>
        </w:rPr>
      </w:pPr>
      <w:r>
        <w:rPr>
          <w:rFonts w:hint="eastAsia" w:ascii="宋体" w:hAnsi="宋体" w:eastAsia="宋体" w:cs="宋体"/>
          <w:b/>
          <w:i w:val="0"/>
          <w:iCs/>
          <w:color w:val="auto"/>
          <w:kern w:val="0"/>
          <w:sz w:val="28"/>
          <w:szCs w:val="28"/>
          <w:highlight w:val="none"/>
          <w:shd w:val="clear" w:color="auto" w:fill="auto"/>
          <w:lang w:val="en-US" w:eastAsia="zh-CN" w:bidi="ar-SA"/>
        </w:rPr>
        <w:t>标的</w:t>
      </w:r>
      <w:r>
        <w:rPr>
          <w:rFonts w:hint="eastAsia" w:ascii="宋体" w:hAnsi="宋体" w:cs="宋体"/>
          <w:b/>
          <w:i w:val="0"/>
          <w:iCs/>
          <w:color w:val="auto"/>
          <w:kern w:val="0"/>
          <w:sz w:val="28"/>
          <w:szCs w:val="28"/>
          <w:highlight w:val="none"/>
          <w:shd w:val="clear" w:color="auto" w:fill="auto"/>
          <w:lang w:val="en-US" w:eastAsia="zh-CN" w:bidi="ar-SA"/>
        </w:rPr>
        <w:t>/</w:t>
      </w:r>
      <w:r>
        <w:rPr>
          <w:rFonts w:hint="eastAsia" w:ascii="宋体" w:hAnsi="宋体" w:eastAsia="宋体" w:cs="宋体"/>
          <w:b/>
          <w:i w:val="0"/>
          <w:iCs/>
          <w:color w:val="auto"/>
          <w:kern w:val="0"/>
          <w:sz w:val="28"/>
          <w:szCs w:val="28"/>
          <w:highlight w:val="none"/>
          <w:shd w:val="clear" w:color="auto" w:fill="auto"/>
          <w:lang w:val="en-US" w:eastAsia="zh-CN" w:bidi="ar-SA"/>
        </w:rPr>
        <w:t>标段名称</w:t>
      </w:r>
      <w:r>
        <w:rPr>
          <w:rFonts w:hint="eastAsia" w:ascii="宋体" w:hAnsi="宋体" w:cs="宋体"/>
          <w:b/>
          <w:i w:val="0"/>
          <w:iCs/>
          <w:color w:val="auto"/>
          <w:kern w:val="0"/>
          <w:sz w:val="28"/>
          <w:szCs w:val="28"/>
          <w:highlight w:val="none"/>
          <w:shd w:val="clear" w:color="auto" w:fill="auto"/>
          <w:lang w:val="en-US" w:eastAsia="zh-CN" w:bidi="ar-SA"/>
        </w:rPr>
        <w:t>：</w:t>
      </w:r>
      <w:r>
        <w:rPr>
          <w:rFonts w:hint="eastAsia" w:ascii="宋体" w:hAnsi="宋体" w:cs="宋体"/>
          <w:b/>
          <w:i w:val="0"/>
          <w:iCs/>
          <w:color w:val="auto"/>
          <w:kern w:val="0"/>
          <w:sz w:val="28"/>
          <w:szCs w:val="28"/>
          <w:highlight w:val="none"/>
          <w:u w:val="single"/>
          <w:shd w:val="clear" w:color="auto" w:fill="auto"/>
          <w:lang w:val="en-US" w:eastAsia="zh-CN" w:bidi="ar-SA"/>
        </w:rPr>
        <w:t>110千伏太平扩建第三台主变工程</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after="157" w:afterLines="50" w:line="360" w:lineRule="auto"/>
        <w:textAlignment w:val="auto"/>
        <w:rPr>
          <w:rFonts w:hint="default" w:ascii="宋体" w:hAnsi="宋体" w:eastAsia="宋体" w:cs="Times New Roman"/>
          <w:b w:val="0"/>
          <w:bCs/>
          <w:i w:val="0"/>
          <w:iCs/>
          <w:color w:val="auto"/>
          <w:kern w:val="0"/>
          <w:sz w:val="24"/>
          <w:szCs w:val="24"/>
          <w:highlight w:val="none"/>
          <w:u w:val="single"/>
          <w:shd w:val="clear" w:color="auto" w:fill="auto"/>
          <w:lang w:val="en-US" w:eastAsia="zh-CN" w:bidi="ar-SA"/>
        </w:rPr>
      </w:pPr>
      <w:r>
        <w:rPr>
          <w:rFonts w:hint="eastAsia" w:ascii="宋体" w:hAnsi="宋体" w:eastAsia="宋体" w:cs="Times New Roman"/>
          <w:b/>
          <w:bCs w:val="0"/>
          <w:i w:val="0"/>
          <w:iCs/>
          <w:color w:val="auto"/>
          <w:kern w:val="0"/>
          <w:sz w:val="24"/>
          <w:szCs w:val="24"/>
          <w:highlight w:val="none"/>
          <w:shd w:val="clear" w:color="auto" w:fill="auto"/>
          <w:lang w:val="en-US" w:eastAsia="zh-CN" w:bidi="ar-SA"/>
        </w:rPr>
        <w:t xml:space="preserve">本标的/标段使用标准合同文本名称： </w:t>
      </w:r>
      <w:r>
        <w:rPr>
          <w:rFonts w:hint="eastAsia" w:ascii="宋体" w:hAnsi="宋体" w:eastAsia="宋体" w:cs="Times New Roman"/>
          <w:b w:val="0"/>
          <w:bCs/>
          <w:i w:val="0"/>
          <w:iCs/>
          <w:color w:val="auto"/>
          <w:kern w:val="0"/>
          <w:sz w:val="24"/>
          <w:szCs w:val="24"/>
          <w:highlight w:val="none"/>
          <w:u w:val="single"/>
          <w:shd w:val="clear" w:color="auto" w:fill="auto"/>
          <w:lang w:val="en-US" w:eastAsia="zh-CN" w:bidi="ar-SA"/>
        </w:rPr>
        <w:t xml:space="preserve"> 中国南方电网有限责任公司基建输变电工程施工合同（202</w:t>
      </w:r>
      <w:r>
        <w:rPr>
          <w:rFonts w:hint="eastAsia" w:ascii="宋体" w:hAnsi="宋体" w:cs="Times New Roman"/>
          <w:b w:val="0"/>
          <w:bCs/>
          <w:i w:val="0"/>
          <w:iCs/>
          <w:color w:val="auto"/>
          <w:kern w:val="0"/>
          <w:sz w:val="24"/>
          <w:szCs w:val="24"/>
          <w:highlight w:val="none"/>
          <w:u w:val="single"/>
          <w:shd w:val="clear" w:color="auto" w:fill="auto"/>
          <w:lang w:val="en-US" w:eastAsia="zh-CN" w:bidi="ar-SA"/>
        </w:rPr>
        <w:t>4</w:t>
      </w:r>
      <w:r>
        <w:rPr>
          <w:rFonts w:hint="eastAsia" w:ascii="宋体" w:hAnsi="宋体" w:eastAsia="宋体" w:cs="Times New Roman"/>
          <w:b w:val="0"/>
          <w:bCs/>
          <w:i w:val="0"/>
          <w:iCs/>
          <w:color w:val="auto"/>
          <w:kern w:val="0"/>
          <w:sz w:val="24"/>
          <w:szCs w:val="24"/>
          <w:highlight w:val="none"/>
          <w:u w:val="single"/>
          <w:shd w:val="clear" w:color="auto" w:fill="auto"/>
          <w:lang w:val="en-US" w:eastAsia="zh-CN" w:bidi="ar-SA"/>
        </w:rPr>
        <w:t xml:space="preserve">版） </w:t>
      </w:r>
    </w:p>
    <w:p>
      <w:pPr>
        <w:spacing w:line="360" w:lineRule="auto"/>
        <w:outlineLvl w:val="1"/>
        <w:rPr>
          <w:rFonts w:hint="eastAsia" w:ascii="宋体" w:hAnsi="宋体" w:eastAsia="宋体"/>
          <w:b/>
          <w:iCs/>
          <w:color w:val="auto"/>
          <w:kern w:val="0"/>
          <w:sz w:val="28"/>
          <w:szCs w:val="28"/>
          <w:highlight w:val="none"/>
          <w:shd w:val="clear" w:color="auto" w:fill="auto"/>
          <w:lang w:eastAsia="zh-CN"/>
        </w:rPr>
      </w:pPr>
      <w:r>
        <w:rPr>
          <w:rFonts w:hint="eastAsia" w:ascii="宋体" w:hAnsi="宋体"/>
          <w:b/>
          <w:iCs/>
          <w:color w:val="auto"/>
          <w:kern w:val="0"/>
          <w:sz w:val="28"/>
          <w:szCs w:val="28"/>
          <w:highlight w:val="none"/>
          <w:shd w:val="clear" w:color="auto" w:fill="auto"/>
        </w:rPr>
        <w:t>一、招标文件3.2条款差异说明</w:t>
      </w:r>
      <w:r>
        <w:rPr>
          <w:rFonts w:hint="eastAsia" w:ascii="宋体" w:hAnsi="宋体"/>
          <w:b/>
          <w:iCs/>
          <w:color w:val="auto"/>
          <w:kern w:val="0"/>
          <w:sz w:val="28"/>
          <w:szCs w:val="28"/>
          <w:highlight w:val="none"/>
          <w:shd w:val="clear" w:color="auto" w:fill="auto"/>
          <w:lang w:eastAsia="zh-CN"/>
        </w:rPr>
        <w:t>（广州局</w:t>
      </w:r>
      <w:r>
        <w:rPr>
          <w:rFonts w:hint="eastAsia" w:ascii="宋体" w:hAnsi="宋体"/>
          <w:b/>
          <w:iCs/>
          <w:color w:val="auto"/>
          <w:kern w:val="0"/>
          <w:sz w:val="28"/>
          <w:szCs w:val="28"/>
          <w:highlight w:val="none"/>
          <w:shd w:val="clear" w:color="auto" w:fill="auto"/>
          <w:lang w:val="en-US" w:eastAsia="zh-CN"/>
        </w:rPr>
        <w:t>施工图设计</w:t>
      </w:r>
      <w:r>
        <w:rPr>
          <w:rFonts w:hint="eastAsia" w:ascii="宋体" w:hAnsi="宋体"/>
          <w:b/>
          <w:iCs/>
          <w:color w:val="auto"/>
          <w:kern w:val="0"/>
          <w:sz w:val="28"/>
          <w:szCs w:val="28"/>
          <w:highlight w:val="none"/>
          <w:shd w:val="clear" w:color="auto" w:fill="auto"/>
          <w:lang w:eastAsia="zh-CN"/>
        </w:rPr>
        <w:t>招标）</w:t>
      </w:r>
    </w:p>
    <w:p>
      <w:pPr>
        <w:spacing w:line="360" w:lineRule="auto"/>
        <w:rPr>
          <w:rFonts w:ascii="宋体" w:hAnsi="宋体" w:eastAsia="宋体"/>
          <w:color w:val="auto"/>
          <w:highlight w:val="none"/>
          <w:shd w:val="clear" w:color="auto" w:fill="auto"/>
        </w:rPr>
      </w:pPr>
      <w:r>
        <w:rPr>
          <w:rFonts w:hint="eastAsia" w:ascii="宋体" w:hAnsi="宋体" w:eastAsia="宋体"/>
          <w:b/>
          <w:bCs/>
          <w:color w:val="auto"/>
          <w:highlight w:val="none"/>
          <w:shd w:val="clear" w:color="auto" w:fill="auto"/>
        </w:rPr>
        <w:t>1、报价编制原则：</w:t>
      </w:r>
    </w:p>
    <w:p>
      <w:pPr>
        <w:pStyle w:val="6"/>
        <w:spacing w:line="360" w:lineRule="auto"/>
        <w:rPr>
          <w:rFonts w:hAnsi="宋体" w:eastAsia="宋体"/>
          <w:b/>
          <w:color w:val="auto"/>
          <w:highlight w:val="none"/>
          <w:shd w:val="clear" w:color="auto" w:fill="auto"/>
        </w:rPr>
      </w:pPr>
      <w:r>
        <w:rPr>
          <w:rFonts w:hint="eastAsia" w:hAnsi="宋体" w:eastAsia="宋体"/>
          <w:b/>
          <w:color w:val="auto"/>
          <w:highlight w:val="none"/>
          <w:shd w:val="clear" w:color="auto" w:fill="auto"/>
        </w:rPr>
        <w:t>3.2 投标报价</w:t>
      </w:r>
    </w:p>
    <w:p>
      <w:pPr>
        <w:pStyle w:val="6"/>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hAnsi="宋体"/>
          <w:color w:val="auto"/>
          <w:highlight w:val="none"/>
        </w:rPr>
      </w:pPr>
      <w:r>
        <w:rPr>
          <w:rFonts w:hint="eastAsia" w:hAnsi="宋体"/>
          <w:color w:val="auto"/>
          <w:highlight w:val="none"/>
        </w:rPr>
        <w:t>3.2.1最高投标限价：见投标人须知前附表。</w:t>
      </w:r>
      <w:bookmarkStart w:id="0" w:name="_GoBack"/>
      <w:bookmarkEnd w:id="0"/>
    </w:p>
    <w:p>
      <w:pPr>
        <w:pStyle w:val="6"/>
        <w:ind w:firstLine="420" w:firstLineChars="200"/>
        <w:rPr>
          <w:rFonts w:hint="eastAsia" w:hAnsi="宋体"/>
          <w:color w:val="auto"/>
          <w:highlight w:val="none"/>
        </w:rPr>
      </w:pPr>
      <w:r>
        <w:rPr>
          <w:rFonts w:hint="eastAsia" w:hAnsi="宋体"/>
          <w:color w:val="auto"/>
          <w:highlight w:val="none"/>
        </w:rPr>
        <w:t>3.2.3 投标报价</w:t>
      </w:r>
    </w:p>
    <w:p>
      <w:pPr>
        <w:pStyle w:val="6"/>
        <w:spacing w:line="360" w:lineRule="auto"/>
        <w:ind w:firstLine="420" w:firstLineChars="200"/>
        <w:rPr>
          <w:rFonts w:hint="eastAsia" w:hAnsi="宋体"/>
          <w:color w:val="auto"/>
          <w:highlight w:val="none"/>
        </w:rPr>
      </w:pPr>
      <w:r>
        <w:rPr>
          <w:rFonts w:hint="eastAsia" w:hAnsi="宋体"/>
          <w:color w:val="auto"/>
          <w:highlight w:val="none"/>
        </w:rPr>
        <w:t>3.2.3.1投标人的标价为在工程项目建设期和保修期内，完成招标文件规定的工作内容的各项费用：</w:t>
      </w:r>
    </w:p>
    <w:p>
      <w:pPr>
        <w:pStyle w:val="6"/>
        <w:spacing w:line="360" w:lineRule="auto"/>
        <w:ind w:firstLine="420" w:firstLineChars="200"/>
        <w:rPr>
          <w:rFonts w:hint="eastAsia" w:hAnsi="宋体"/>
          <w:color w:val="auto"/>
          <w:highlight w:val="none"/>
        </w:rPr>
      </w:pPr>
      <w:r>
        <w:rPr>
          <w:rFonts w:hint="eastAsia" w:hAnsi="宋体"/>
          <w:color w:val="auto"/>
          <w:highlight w:val="none"/>
        </w:rPr>
        <w:t>（1）竞争性报价部分应包括但不限于：人工、材料、机械、设备、施工管理、施工进场、临时设施、利润、风险包干费（风险包干费包括本招标文件专用条款第13款一项工程变更工程量变化金额在H万元以下费用，以及承担合同规定及包含的所有风险、责任等的费用）。投标人根据上述工作范围计算工程量，自行测算报价。</w:t>
      </w:r>
    </w:p>
    <w:p>
      <w:pPr>
        <w:pStyle w:val="6"/>
        <w:spacing w:line="360" w:lineRule="auto"/>
        <w:ind w:firstLine="420" w:firstLineChars="200"/>
        <w:rPr>
          <w:rFonts w:hint="eastAsia" w:hAnsi="宋体"/>
          <w:color w:val="auto"/>
          <w:highlight w:val="none"/>
        </w:rPr>
      </w:pPr>
      <w:r>
        <w:rPr>
          <w:rFonts w:hint="eastAsia" w:hAnsi="宋体"/>
          <w:color w:val="auto"/>
          <w:highlight w:val="none"/>
        </w:rPr>
        <w:t>（2）安全文明施工费为非竞争性费用，投标报价按最高投标限价公布的安全文明施工费计列。</w:t>
      </w:r>
    </w:p>
    <w:p>
      <w:pPr>
        <w:pStyle w:val="6"/>
        <w:spacing w:line="360" w:lineRule="auto"/>
        <w:ind w:firstLine="420" w:firstLineChars="200"/>
        <w:rPr>
          <w:rFonts w:hint="eastAsia" w:hAnsi="宋体"/>
          <w:color w:val="auto"/>
          <w:highlight w:val="none"/>
        </w:rPr>
      </w:pPr>
      <w:r>
        <w:rPr>
          <w:rFonts w:hint="eastAsia" w:hAnsi="宋体"/>
          <w:color w:val="auto"/>
          <w:highlight w:val="none"/>
        </w:rPr>
        <w:t>（3）专业工程暂估价为非竞争性费用，投标报价按最高投标限价公布的暂估价计列，结算时按实际工程量，依据对应的计价程序，参照报价下浮率计算。报价下浮率（%）＝[1－(投标报价-安全文明施工费-暂估价）/（最高投标限价-安全文明施工费-暂估价)] ×100%）。具体结算方式详见</w:t>
      </w:r>
      <w:r>
        <w:rPr>
          <w:rFonts w:hint="eastAsia" w:hAnsi="宋体"/>
          <w:color w:val="auto"/>
          <w:highlight w:val="none"/>
          <w:lang w:val="en-US" w:eastAsia="zh-CN"/>
        </w:rPr>
        <w:t xml:space="preserve"> </w:t>
      </w:r>
      <w:r>
        <w:rPr>
          <w:rFonts w:hint="eastAsia" w:hAnsi="宋体"/>
          <w:color w:val="auto"/>
          <w:highlight w:val="none"/>
        </w:rPr>
        <w:t>专用合同条款。</w:t>
      </w:r>
    </w:p>
    <w:p>
      <w:pPr>
        <w:pStyle w:val="6"/>
        <w:spacing w:line="360" w:lineRule="auto"/>
        <w:ind w:firstLine="420" w:firstLineChars="200"/>
        <w:rPr>
          <w:rFonts w:hint="eastAsia" w:hAnsi="宋体" w:eastAsia="宋体"/>
          <w:color w:val="auto"/>
          <w:highlight w:val="none"/>
          <w:shd w:val="clear" w:color="auto" w:fill="auto"/>
          <w:lang w:val="en-US" w:eastAsia="zh-CN"/>
        </w:rPr>
      </w:pPr>
      <w:r>
        <w:rPr>
          <w:rFonts w:hint="eastAsia" w:hAnsi="宋体"/>
          <w:color w:val="auto"/>
          <w:highlight w:val="none"/>
          <w:shd w:val="clear" w:color="auto" w:fill="auto"/>
        </w:rPr>
        <w:t>3.2.3.2投标报价</w:t>
      </w:r>
      <w:r>
        <w:rPr>
          <w:rFonts w:hint="eastAsia" w:hAnsi="宋体"/>
          <w:color w:val="auto"/>
          <w:highlight w:val="none"/>
          <w:shd w:val="clear" w:color="auto" w:fill="auto"/>
          <w:lang w:val="en-US" w:eastAsia="zh-CN"/>
        </w:rPr>
        <w:t>原则</w:t>
      </w:r>
    </w:p>
    <w:p>
      <w:pPr>
        <w:spacing w:line="360" w:lineRule="auto"/>
        <w:ind w:firstLine="315" w:firstLineChars="150"/>
        <w:rPr>
          <w:rFonts w:ascii="宋体" w:hAnsi="宋体"/>
          <w:color w:val="auto"/>
          <w:highlight w:val="none"/>
          <w:shd w:val="clear" w:color="auto" w:fill="auto"/>
        </w:rPr>
      </w:pPr>
      <w:r>
        <w:rPr>
          <w:rFonts w:hint="eastAsia" w:ascii="宋体" w:hAnsi="宋体"/>
          <w:color w:val="auto"/>
          <w:highlight w:val="none"/>
          <w:shd w:val="clear" w:color="auto" w:fill="auto"/>
        </w:rPr>
        <w:t>（1</w:t>
      </w:r>
      <w:r>
        <w:rPr>
          <w:rFonts w:ascii="宋体" w:hAnsi="宋体"/>
          <w:color w:val="auto"/>
          <w:highlight w:val="none"/>
          <w:shd w:val="clear" w:color="auto" w:fill="auto"/>
        </w:rPr>
        <w:t>）取费项目及标准：《</w:t>
      </w:r>
      <w:r>
        <w:rPr>
          <w:rFonts w:hint="eastAsia" w:ascii="宋体" w:hAnsi="宋体"/>
          <w:color w:val="auto"/>
          <w:highlight w:val="none"/>
          <w:u w:val="single"/>
          <w:shd w:val="clear" w:color="auto" w:fill="auto"/>
        </w:rPr>
        <w:t>电网工程建设预算编制与计算规定（2018年版）</w:t>
      </w:r>
      <w:r>
        <w:rPr>
          <w:rFonts w:ascii="宋体" w:hAnsi="宋体"/>
          <w:color w:val="auto"/>
          <w:highlight w:val="none"/>
          <w:shd w:val="clear" w:color="auto" w:fill="auto"/>
        </w:rPr>
        <w:t>》</w:t>
      </w:r>
      <w:r>
        <w:rPr>
          <w:rFonts w:hint="eastAsia" w:ascii="宋体" w:hAnsi="宋体"/>
          <w:color w:val="auto"/>
          <w:highlight w:val="none"/>
          <w:shd w:val="clear" w:color="auto" w:fill="auto"/>
          <w:lang w:eastAsia="zh-CN"/>
        </w:rPr>
        <w:t>、</w:t>
      </w:r>
      <w:r>
        <w:rPr>
          <w:rFonts w:hint="eastAsia" w:ascii="宋体" w:hAnsi="宋体"/>
          <w:color w:val="auto"/>
          <w:highlight w:val="none"/>
          <w:u w:val="single"/>
          <w:shd w:val="clear" w:color="auto" w:fill="auto"/>
          <w:lang w:eastAsia="zh-CN"/>
        </w:rPr>
        <w:t>《关于印发《广东省电网工程建设预算编制与计算规定实施细则（2018年版）》的通知》（粤电定〔2020〕5号）《关于调整电力建设工程社会保险费缴费费率的通知》（粤电定〔2020〕6号）、《关于印发广东电网公司基建造价管理提升工作方案的通知》基建部（20240052）、《</w:t>
      </w:r>
      <w:r>
        <w:rPr>
          <w:rFonts w:hint="eastAsia" w:ascii="宋体" w:hAnsi="宋体" w:eastAsia="宋体" w:cs="Times New Roman"/>
          <w:color w:val="auto"/>
          <w:highlight w:val="none"/>
          <w:u w:val="single"/>
          <w:shd w:val="clear" w:color="auto" w:fill="auto"/>
          <w:lang w:eastAsia="zh-CN"/>
        </w:rPr>
        <w:t>关于印发基建项目安全文明施工费使用工作指引（试行）》的通知（广电办建(2022)28号）</w:t>
      </w:r>
      <w:r>
        <w:rPr>
          <w:rFonts w:hint="eastAsia" w:ascii="宋体" w:hAnsi="宋体" w:cs="宋体"/>
          <w:b w:val="0"/>
          <w:bCs w:val="0"/>
          <w:i w:val="0"/>
          <w:iCs w:val="0"/>
          <w:color w:val="auto"/>
          <w:sz w:val="21"/>
          <w:szCs w:val="21"/>
          <w:highlight w:val="none"/>
          <w:u w:val="single"/>
          <w:lang w:val="en-US" w:eastAsia="zh-CN"/>
        </w:rPr>
        <w:t>、《中国南方电网有限责任公司电力建设定额站转发电力工程造价与定额管理总站关于调整安全文明施工费的通知》（南方电网定额〔2023〕3号）</w:t>
      </w:r>
      <w:r>
        <w:rPr>
          <w:rFonts w:hint="eastAsia" w:ascii="宋体" w:hAnsi="宋体"/>
          <w:color w:val="auto"/>
          <w:highlight w:val="none"/>
          <w:shd w:val="clear" w:color="auto" w:fill="auto"/>
        </w:rPr>
        <w:t>及工程所在地电网公司的相关最新规定，取费项目中的</w:t>
      </w:r>
      <w:r>
        <w:rPr>
          <w:rFonts w:hint="eastAsia" w:ascii="宋体" w:hAnsi="宋体"/>
          <w:bCs/>
          <w:color w:val="auto"/>
          <w:highlight w:val="none"/>
          <w:shd w:val="clear" w:color="auto" w:fill="auto"/>
        </w:rPr>
        <w:t>安全文明</w:t>
      </w:r>
      <w:r>
        <w:rPr>
          <w:rFonts w:hint="eastAsia" w:ascii="宋体" w:hAnsi="宋体"/>
          <w:color w:val="auto"/>
          <w:highlight w:val="none"/>
          <w:shd w:val="clear" w:color="auto" w:fill="auto"/>
        </w:rPr>
        <w:t>施工费根据分项报价定额直接费的报价比例分摊入各专业取费表中</w:t>
      </w:r>
      <w:r>
        <w:rPr>
          <w:rFonts w:hint="eastAsia" w:ascii="宋体" w:hAnsi="宋体"/>
          <w:color w:val="auto"/>
          <w:sz w:val="21"/>
          <w:szCs w:val="21"/>
          <w:highlight w:val="none"/>
          <w:shd w:val="clear" w:color="auto" w:fill="auto"/>
        </w:rPr>
        <w:t>。</w:t>
      </w:r>
      <w:r>
        <w:rPr>
          <w:rFonts w:hint="eastAsia" w:asciiTheme="minorEastAsia" w:hAnsiTheme="minorEastAsia" w:eastAsiaTheme="minorEastAsia" w:cstheme="minorEastAsia"/>
          <w:b w:val="0"/>
          <w:bCs w:val="0"/>
          <w:color w:val="auto"/>
          <w:kern w:val="2"/>
          <w:sz w:val="21"/>
          <w:szCs w:val="21"/>
          <w:highlight w:val="none"/>
          <w:u w:val="single"/>
          <w:lang w:val="en-US" w:eastAsia="zh-CN" w:bidi="ar-SA"/>
        </w:rPr>
        <w:t>通信站工程费率，适用于独立建设的光通信站、无线通信站工程，随变电站、换流站工程同时建设的通信工程取费执行变电站、换流站工程费率。光缆线路工程费率，适用于单独施工的光缆线路工程，随架空输电线路同时架设的光缆线路工程取费执行架空输电线路工程费率。</w:t>
      </w:r>
    </w:p>
    <w:p>
      <w:pPr>
        <w:spacing w:line="360" w:lineRule="auto"/>
        <w:ind w:firstLine="315" w:firstLineChars="150"/>
        <w:rPr>
          <w:rFonts w:ascii="宋体" w:hAnsi="宋体"/>
          <w:color w:val="auto"/>
          <w:highlight w:val="none"/>
          <w:shd w:val="clear" w:color="auto" w:fill="auto"/>
        </w:rPr>
      </w:pPr>
      <w:r>
        <w:rPr>
          <w:rFonts w:hint="eastAsia" w:ascii="宋体" w:hAnsi="宋体"/>
          <w:color w:val="auto"/>
          <w:highlight w:val="none"/>
          <w:shd w:val="clear" w:color="auto" w:fill="auto"/>
        </w:rPr>
        <w:t>（2）定额参照套用</w:t>
      </w:r>
      <w:r>
        <w:rPr>
          <w:rFonts w:hint="eastAsia" w:ascii="宋体" w:hAnsi="宋体"/>
          <w:color w:val="auto"/>
          <w:highlight w:val="none"/>
          <w:u w:val="single"/>
          <w:shd w:val="clear" w:color="auto" w:fill="auto"/>
        </w:rPr>
        <w:t>《电力建设工程预算定额（2018年版）》</w:t>
      </w:r>
      <w:r>
        <w:rPr>
          <w:rFonts w:hint="eastAsia" w:ascii="宋体" w:hAnsi="宋体"/>
          <w:color w:val="auto"/>
          <w:highlight w:val="none"/>
          <w:u w:val="single"/>
          <w:shd w:val="clear" w:color="auto" w:fill="auto"/>
          <w:lang w:eastAsia="zh-CN"/>
        </w:rPr>
        <w:t>，</w:t>
      </w:r>
      <w:r>
        <w:rPr>
          <w:rFonts w:hint="eastAsia" w:ascii="宋体" w:hAnsi="宋体" w:eastAsia="宋体" w:cs="Times New Roman"/>
          <w:color w:val="auto"/>
          <w:highlight w:val="none"/>
          <w:shd w:val="clear" w:color="auto" w:fill="auto"/>
          <w:lang w:val="en-US" w:eastAsia="zh-CN"/>
        </w:rPr>
        <w:t>其中临时施工电源、10kV迁改套用</w:t>
      </w:r>
      <w:r>
        <w:rPr>
          <w:rFonts w:hint="eastAsia" w:ascii="宋体" w:hAnsi="宋体" w:eastAsia="宋体" w:cs="Times New Roman"/>
          <w:color w:val="auto"/>
          <w:highlight w:val="none"/>
          <w:u w:val="single"/>
          <w:shd w:val="clear" w:color="auto" w:fill="auto"/>
        </w:rPr>
        <w:t>《</w:t>
      </w:r>
      <w:r>
        <w:rPr>
          <w:rFonts w:hint="eastAsia" w:ascii="宋体" w:hAnsi="宋体" w:eastAsia="宋体" w:cs="Times New Roman"/>
          <w:color w:val="auto"/>
          <w:highlight w:val="none"/>
          <w:u w:val="single"/>
          <w:shd w:val="clear" w:color="auto" w:fill="auto"/>
          <w:lang w:eastAsia="zh-CN"/>
        </w:rPr>
        <w:t>20kV及以下配电网工程预算定额（</w:t>
      </w:r>
      <w:r>
        <w:rPr>
          <w:rFonts w:hint="eastAsia" w:ascii="宋体" w:hAnsi="宋体" w:eastAsia="宋体" w:cs="Times New Roman"/>
          <w:color w:val="auto"/>
          <w:highlight w:val="none"/>
          <w:u w:val="single"/>
          <w:shd w:val="clear" w:color="auto" w:fill="auto"/>
          <w:lang w:val="en-US" w:eastAsia="zh-CN"/>
        </w:rPr>
        <w:t>20</w:t>
      </w:r>
      <w:r>
        <w:rPr>
          <w:rFonts w:hint="eastAsia" w:ascii="宋体" w:hAnsi="宋体" w:cs="Times New Roman"/>
          <w:color w:val="auto"/>
          <w:highlight w:val="none"/>
          <w:u w:val="single"/>
          <w:shd w:val="clear" w:color="auto" w:fill="auto"/>
          <w:lang w:val="en-US" w:eastAsia="zh-CN"/>
        </w:rPr>
        <w:t>22</w:t>
      </w:r>
      <w:r>
        <w:rPr>
          <w:rFonts w:hint="eastAsia" w:ascii="宋体" w:hAnsi="宋体" w:eastAsia="宋体" w:cs="Times New Roman"/>
          <w:color w:val="auto"/>
          <w:highlight w:val="none"/>
          <w:u w:val="single"/>
          <w:shd w:val="clear" w:color="auto" w:fill="auto"/>
          <w:lang w:val="en-US" w:eastAsia="zh-CN"/>
        </w:rPr>
        <w:t>年版</w:t>
      </w:r>
      <w:r>
        <w:rPr>
          <w:rFonts w:hint="eastAsia" w:ascii="宋体" w:hAnsi="宋体" w:eastAsia="宋体" w:cs="Times New Roman"/>
          <w:color w:val="auto"/>
          <w:highlight w:val="none"/>
          <w:u w:val="single"/>
          <w:shd w:val="clear" w:color="auto" w:fill="auto"/>
          <w:lang w:eastAsia="zh-CN"/>
        </w:rPr>
        <w:t>）</w:t>
      </w:r>
      <w:r>
        <w:rPr>
          <w:rFonts w:hint="eastAsia" w:ascii="宋体" w:hAnsi="宋体" w:eastAsia="宋体" w:cs="Times New Roman"/>
          <w:color w:val="auto"/>
          <w:highlight w:val="none"/>
          <w:u w:val="single"/>
          <w:shd w:val="clear" w:color="auto" w:fill="auto"/>
        </w:rPr>
        <w:t>》</w:t>
      </w:r>
      <w:r>
        <w:rPr>
          <w:rFonts w:hint="eastAsia" w:ascii="宋体" w:hAnsi="宋体"/>
          <w:color w:val="auto"/>
          <w:highlight w:val="none"/>
          <w:shd w:val="clear" w:color="auto" w:fill="auto"/>
        </w:rPr>
        <w:t>。</w:t>
      </w:r>
    </w:p>
    <w:p>
      <w:pPr>
        <w:spacing w:line="360" w:lineRule="auto"/>
        <w:ind w:firstLine="315" w:firstLineChars="150"/>
        <w:rPr>
          <w:rFonts w:ascii="宋体" w:hAnsi="宋体"/>
          <w:color w:val="auto"/>
          <w:highlight w:val="none"/>
          <w:shd w:val="clear" w:color="auto" w:fill="auto"/>
        </w:rPr>
      </w:pPr>
      <w:r>
        <w:rPr>
          <w:rFonts w:hint="eastAsia" w:ascii="宋体" w:hAnsi="宋体"/>
          <w:color w:val="auto"/>
          <w:highlight w:val="none"/>
          <w:shd w:val="clear" w:color="auto" w:fill="auto"/>
        </w:rPr>
        <w:t>（3）人工单价调整:参照执行</w:t>
      </w:r>
      <w:r>
        <w:rPr>
          <w:rFonts w:hint="eastAsia" w:ascii="宋体" w:hAnsi="宋体"/>
          <w:color w:val="auto"/>
          <w:highlight w:val="none"/>
          <w:u w:val="single"/>
          <w:shd w:val="clear" w:color="auto" w:fill="auto"/>
        </w:rPr>
        <w:t xml:space="preserve">  《电力工程造价与定额管理总站关于发布2018版电力建设工程概预算定额202</w:t>
      </w:r>
      <w:r>
        <w:rPr>
          <w:rFonts w:hint="eastAsia" w:ascii="宋体" w:hAnsi="宋体"/>
          <w:color w:val="auto"/>
          <w:highlight w:val="none"/>
          <w:u w:val="single"/>
          <w:shd w:val="clear" w:color="auto" w:fill="auto"/>
          <w:lang w:val="en-US" w:eastAsia="zh-CN"/>
        </w:rPr>
        <w:t>5</w:t>
      </w:r>
      <w:r>
        <w:rPr>
          <w:rFonts w:hint="eastAsia" w:ascii="宋体" w:hAnsi="宋体"/>
          <w:color w:val="auto"/>
          <w:highlight w:val="none"/>
          <w:u w:val="single"/>
          <w:shd w:val="clear" w:color="auto" w:fill="auto"/>
        </w:rPr>
        <w:t>年</w:t>
      </w:r>
      <w:r>
        <w:rPr>
          <w:rFonts w:hint="eastAsia" w:ascii="宋体" w:hAnsi="宋体"/>
          <w:color w:val="auto"/>
          <w:highlight w:val="none"/>
          <w:u w:val="single"/>
          <w:shd w:val="clear" w:color="auto" w:fill="auto"/>
          <w:lang w:val="en-US" w:eastAsia="zh-CN"/>
        </w:rPr>
        <w:t>上半年</w:t>
      </w:r>
      <w:r>
        <w:rPr>
          <w:rFonts w:hint="eastAsia" w:ascii="宋体" w:hAnsi="宋体"/>
          <w:color w:val="auto"/>
          <w:highlight w:val="none"/>
          <w:u w:val="single"/>
          <w:shd w:val="clear" w:color="auto" w:fill="auto"/>
        </w:rPr>
        <w:t>价格水平调整的通知》（定额〔2025〕</w:t>
      </w:r>
      <w:r>
        <w:rPr>
          <w:rFonts w:hint="eastAsia" w:ascii="宋体" w:hAnsi="宋体"/>
          <w:color w:val="auto"/>
          <w:highlight w:val="none"/>
          <w:u w:val="single"/>
          <w:shd w:val="clear" w:color="auto" w:fill="auto"/>
          <w:lang w:val="en-US" w:eastAsia="zh-CN"/>
        </w:rPr>
        <w:t>34</w:t>
      </w:r>
      <w:r>
        <w:rPr>
          <w:rFonts w:hint="eastAsia" w:ascii="宋体" w:hAnsi="宋体"/>
          <w:color w:val="auto"/>
          <w:highlight w:val="none"/>
          <w:u w:val="single"/>
          <w:shd w:val="clear" w:color="auto" w:fill="auto"/>
        </w:rPr>
        <w:t>号）</w:t>
      </w:r>
      <w:r>
        <w:rPr>
          <w:rFonts w:hint="eastAsia" w:ascii="宋体" w:hAnsi="宋体" w:eastAsia="宋体" w:cs="Times New Roman"/>
          <w:color w:val="auto"/>
          <w:highlight w:val="none"/>
          <w:shd w:val="clear" w:color="auto" w:fill="auto"/>
        </w:rPr>
        <w:t xml:space="preserve"> 。</w:t>
      </w:r>
    </w:p>
    <w:p>
      <w:pPr>
        <w:spacing w:line="360" w:lineRule="auto"/>
        <w:ind w:firstLine="315" w:firstLineChars="150"/>
        <w:rPr>
          <w:rFonts w:ascii="宋体" w:hAnsi="宋体"/>
          <w:color w:val="auto"/>
          <w:highlight w:val="none"/>
          <w:shd w:val="clear" w:color="auto" w:fill="auto"/>
        </w:rPr>
      </w:pPr>
      <w:r>
        <w:rPr>
          <w:rFonts w:hint="eastAsia" w:ascii="宋体" w:hAnsi="宋体"/>
          <w:color w:val="auto"/>
          <w:highlight w:val="none"/>
          <w:shd w:val="clear" w:color="auto" w:fill="auto"/>
        </w:rPr>
        <w:t>（4）材料价差调整：安装工程定额材料调整参照执行</w:t>
      </w:r>
      <w:r>
        <w:rPr>
          <w:rFonts w:hint="eastAsia" w:ascii="宋体" w:hAnsi="宋体"/>
          <w:color w:val="auto"/>
          <w:highlight w:val="none"/>
          <w:u w:val="single"/>
          <w:shd w:val="clear" w:color="auto" w:fill="auto"/>
        </w:rPr>
        <w:t xml:space="preserve">  《电力工程造价与定额管理总站关于发布2018版电力建设工程概预算定额202</w:t>
      </w:r>
      <w:r>
        <w:rPr>
          <w:rFonts w:hint="eastAsia" w:ascii="宋体" w:hAnsi="宋体"/>
          <w:color w:val="auto"/>
          <w:highlight w:val="none"/>
          <w:u w:val="single"/>
          <w:shd w:val="clear" w:color="auto" w:fill="auto"/>
          <w:lang w:val="en-US" w:eastAsia="zh-CN"/>
        </w:rPr>
        <w:t>5</w:t>
      </w:r>
      <w:r>
        <w:rPr>
          <w:rFonts w:hint="eastAsia" w:ascii="宋体" w:hAnsi="宋体"/>
          <w:color w:val="auto"/>
          <w:highlight w:val="none"/>
          <w:u w:val="single"/>
          <w:shd w:val="clear" w:color="auto" w:fill="auto"/>
        </w:rPr>
        <w:t>年</w:t>
      </w:r>
      <w:r>
        <w:rPr>
          <w:rFonts w:hint="eastAsia" w:ascii="宋体" w:hAnsi="宋体"/>
          <w:color w:val="auto"/>
          <w:highlight w:val="none"/>
          <w:u w:val="single"/>
          <w:shd w:val="clear" w:color="auto" w:fill="auto"/>
          <w:lang w:val="en-US" w:eastAsia="zh-CN"/>
        </w:rPr>
        <w:t>上半年</w:t>
      </w:r>
      <w:r>
        <w:rPr>
          <w:rFonts w:hint="eastAsia" w:ascii="宋体" w:hAnsi="宋体"/>
          <w:color w:val="auto"/>
          <w:highlight w:val="none"/>
          <w:u w:val="single"/>
          <w:shd w:val="clear" w:color="auto" w:fill="auto"/>
        </w:rPr>
        <w:t>价格水平调整的通知》（定额〔2025〕</w:t>
      </w:r>
      <w:r>
        <w:rPr>
          <w:rFonts w:hint="eastAsia" w:ascii="宋体" w:hAnsi="宋体"/>
          <w:color w:val="auto"/>
          <w:highlight w:val="none"/>
          <w:u w:val="single"/>
          <w:shd w:val="clear" w:color="auto" w:fill="auto"/>
          <w:lang w:val="en-US" w:eastAsia="zh-CN"/>
        </w:rPr>
        <w:t>34</w:t>
      </w:r>
      <w:r>
        <w:rPr>
          <w:rFonts w:hint="eastAsia" w:ascii="宋体" w:hAnsi="宋体"/>
          <w:color w:val="auto"/>
          <w:highlight w:val="none"/>
          <w:u w:val="single"/>
          <w:shd w:val="clear" w:color="auto" w:fill="auto"/>
        </w:rPr>
        <w:t>号）</w:t>
      </w:r>
      <w:r>
        <w:rPr>
          <w:rFonts w:hint="eastAsia" w:ascii="宋体" w:hAnsi="宋体"/>
          <w:color w:val="auto"/>
          <w:highlight w:val="none"/>
          <w:shd w:val="clear" w:color="auto" w:fill="auto"/>
        </w:rPr>
        <w:t>。安装工程装置性材料市场价按</w:t>
      </w:r>
      <w:r>
        <w:rPr>
          <w:rFonts w:hint="eastAsia" w:ascii="宋体" w:hAnsi="宋体"/>
          <w:color w:val="auto"/>
          <w:highlight w:val="none"/>
          <w:u w:val="single"/>
          <w:shd w:val="clear" w:color="auto" w:fill="auto"/>
        </w:rPr>
        <w:t xml:space="preserve">  《关于印发〈南方电网公司2025年第</w:t>
      </w:r>
      <w:r>
        <w:rPr>
          <w:rFonts w:hint="eastAsia" w:ascii="宋体" w:hAnsi="宋体"/>
          <w:color w:val="auto"/>
          <w:highlight w:val="none"/>
          <w:u w:val="single"/>
          <w:shd w:val="clear" w:color="auto" w:fill="auto"/>
          <w:lang w:val="en-US" w:eastAsia="zh-CN"/>
        </w:rPr>
        <w:t>二</w:t>
      </w:r>
      <w:r>
        <w:rPr>
          <w:rFonts w:hint="eastAsia" w:ascii="宋体" w:hAnsi="宋体"/>
          <w:color w:val="auto"/>
          <w:highlight w:val="none"/>
          <w:u w:val="single"/>
          <w:shd w:val="clear" w:color="auto" w:fill="auto"/>
        </w:rPr>
        <w:t>季度电网工程主要设备材料信息价〉的通知》（南方电网定额〔2025〕</w:t>
      </w:r>
      <w:r>
        <w:rPr>
          <w:rFonts w:hint="eastAsia" w:ascii="宋体" w:hAnsi="宋体"/>
          <w:color w:val="auto"/>
          <w:highlight w:val="none"/>
          <w:u w:val="single"/>
          <w:shd w:val="clear" w:color="auto" w:fill="auto"/>
          <w:lang w:val="en-US" w:eastAsia="zh-CN"/>
        </w:rPr>
        <w:t>9</w:t>
      </w:r>
      <w:r>
        <w:rPr>
          <w:rFonts w:hint="eastAsia" w:ascii="宋体" w:hAnsi="宋体"/>
          <w:color w:val="auto"/>
          <w:highlight w:val="none"/>
          <w:u w:val="single"/>
          <w:shd w:val="clear" w:color="auto" w:fill="auto"/>
        </w:rPr>
        <w:t xml:space="preserve">号）  </w:t>
      </w:r>
      <w:r>
        <w:rPr>
          <w:rFonts w:hint="eastAsia" w:ascii="宋体" w:hAnsi="宋体"/>
          <w:color w:val="auto"/>
          <w:highlight w:val="none"/>
          <w:shd w:val="clear" w:color="auto" w:fill="auto"/>
        </w:rPr>
        <w:t>计取价差（已招标的未计价材料价格按招标价）</w:t>
      </w:r>
      <w:r>
        <w:rPr>
          <w:rFonts w:hint="eastAsia" w:ascii="宋体" w:hAnsi="宋体"/>
          <w:color w:val="auto"/>
          <w:highlight w:val="none"/>
          <w:shd w:val="clear" w:color="auto" w:fill="auto"/>
          <w:lang w:eastAsia="zh-CN"/>
        </w:rPr>
        <w:t>。</w:t>
      </w:r>
      <w:r>
        <w:rPr>
          <w:rFonts w:hint="eastAsia" w:ascii="宋体" w:hAnsi="宋体"/>
          <w:color w:val="auto"/>
          <w:highlight w:val="none"/>
          <w:shd w:val="clear" w:color="auto" w:fill="auto"/>
        </w:rPr>
        <w:t>建筑工程参照执行工程所在地建设工程造价管理机构公布投标截止日前最新信息价计取材料价差。</w:t>
      </w:r>
    </w:p>
    <w:p>
      <w:pPr>
        <w:spacing w:line="360" w:lineRule="auto"/>
        <w:ind w:firstLine="315" w:firstLineChars="150"/>
        <w:rPr>
          <w:rFonts w:hint="eastAsia" w:ascii="宋体" w:hAnsi="宋体" w:eastAsia="宋体"/>
          <w:color w:val="auto"/>
          <w:highlight w:val="none"/>
          <w:shd w:val="clear" w:color="auto" w:fill="auto"/>
          <w:lang w:eastAsia="zh-CN"/>
        </w:rPr>
      </w:pPr>
      <w:r>
        <w:rPr>
          <w:rFonts w:hint="eastAsia" w:ascii="宋体" w:hAnsi="宋体"/>
          <w:color w:val="auto"/>
          <w:highlight w:val="none"/>
          <w:shd w:val="clear" w:color="auto" w:fill="auto"/>
        </w:rPr>
        <w:t>（5）</w:t>
      </w:r>
      <w:r>
        <w:rPr>
          <w:rFonts w:ascii="宋体" w:hAnsi="宋体"/>
          <w:color w:val="auto"/>
          <w:highlight w:val="none"/>
          <w:shd w:val="clear" w:color="auto" w:fill="auto"/>
        </w:rPr>
        <w:t>施工机械费价差调整：安装工程定额机械调整</w:t>
      </w:r>
      <w:r>
        <w:rPr>
          <w:rFonts w:hint="eastAsia" w:ascii="宋体" w:hAnsi="宋体"/>
          <w:color w:val="auto"/>
          <w:highlight w:val="none"/>
          <w:shd w:val="clear" w:color="auto" w:fill="auto"/>
        </w:rPr>
        <w:t>参照执行</w:t>
      </w:r>
      <w:r>
        <w:rPr>
          <w:rFonts w:hint="eastAsia" w:ascii="宋体" w:hAnsi="宋体"/>
          <w:color w:val="auto"/>
          <w:highlight w:val="none"/>
          <w:u w:val="single"/>
          <w:shd w:val="clear" w:color="auto" w:fill="auto"/>
        </w:rPr>
        <w:t xml:space="preserve">  《电力工程造价与定额管理总站关于发布2018版电力建设工程概预算定额202</w:t>
      </w:r>
      <w:r>
        <w:rPr>
          <w:rFonts w:hint="eastAsia" w:ascii="宋体" w:hAnsi="宋体"/>
          <w:color w:val="auto"/>
          <w:highlight w:val="none"/>
          <w:u w:val="single"/>
          <w:shd w:val="clear" w:color="auto" w:fill="auto"/>
          <w:lang w:val="en-US" w:eastAsia="zh-CN"/>
        </w:rPr>
        <w:t>5</w:t>
      </w:r>
      <w:r>
        <w:rPr>
          <w:rFonts w:hint="eastAsia" w:ascii="宋体" w:hAnsi="宋体"/>
          <w:color w:val="auto"/>
          <w:highlight w:val="none"/>
          <w:u w:val="single"/>
          <w:shd w:val="clear" w:color="auto" w:fill="auto"/>
        </w:rPr>
        <w:t>年</w:t>
      </w:r>
      <w:r>
        <w:rPr>
          <w:rFonts w:hint="eastAsia" w:ascii="宋体" w:hAnsi="宋体"/>
          <w:color w:val="auto"/>
          <w:highlight w:val="none"/>
          <w:u w:val="single"/>
          <w:shd w:val="clear" w:color="auto" w:fill="auto"/>
          <w:lang w:val="en-US" w:eastAsia="zh-CN"/>
        </w:rPr>
        <w:t>上半年</w:t>
      </w:r>
      <w:r>
        <w:rPr>
          <w:rFonts w:hint="eastAsia" w:ascii="宋体" w:hAnsi="宋体"/>
          <w:color w:val="auto"/>
          <w:highlight w:val="none"/>
          <w:u w:val="single"/>
          <w:shd w:val="clear" w:color="auto" w:fill="auto"/>
        </w:rPr>
        <w:t>价格水平调整的通知》（定额〔2025〕</w:t>
      </w:r>
      <w:r>
        <w:rPr>
          <w:rFonts w:hint="eastAsia" w:ascii="宋体" w:hAnsi="宋体"/>
          <w:color w:val="auto"/>
          <w:highlight w:val="none"/>
          <w:u w:val="single"/>
          <w:shd w:val="clear" w:color="auto" w:fill="auto"/>
          <w:lang w:val="en-US" w:eastAsia="zh-CN"/>
        </w:rPr>
        <w:t>34</w:t>
      </w:r>
      <w:r>
        <w:rPr>
          <w:rFonts w:hint="eastAsia" w:ascii="宋体" w:hAnsi="宋体"/>
          <w:color w:val="auto"/>
          <w:highlight w:val="none"/>
          <w:u w:val="single"/>
          <w:shd w:val="clear" w:color="auto" w:fill="auto"/>
        </w:rPr>
        <w:t>号）</w:t>
      </w:r>
      <w:r>
        <w:rPr>
          <w:rFonts w:ascii="宋体" w:hAnsi="宋体"/>
          <w:color w:val="auto"/>
          <w:highlight w:val="none"/>
          <w:shd w:val="clear" w:color="auto" w:fill="auto"/>
        </w:rPr>
        <w:t>；建筑工程施工机械价差调整</w:t>
      </w:r>
      <w:r>
        <w:rPr>
          <w:rFonts w:hint="eastAsia" w:ascii="宋体" w:hAnsi="宋体"/>
          <w:color w:val="auto"/>
          <w:highlight w:val="none"/>
          <w:shd w:val="clear" w:color="auto" w:fill="auto"/>
        </w:rPr>
        <w:t>参照执行</w:t>
      </w:r>
      <w:r>
        <w:rPr>
          <w:rFonts w:hint="eastAsia" w:ascii="宋体" w:hAnsi="宋体"/>
          <w:color w:val="auto"/>
          <w:highlight w:val="none"/>
          <w:u w:val="single"/>
          <w:shd w:val="clear" w:color="auto" w:fill="auto"/>
        </w:rPr>
        <w:t xml:space="preserve">  《电力工程造价与定额管理总站关于发布2018版电力建设工程概预算定额202</w:t>
      </w:r>
      <w:r>
        <w:rPr>
          <w:rFonts w:hint="eastAsia" w:ascii="宋体" w:hAnsi="宋体"/>
          <w:color w:val="auto"/>
          <w:highlight w:val="none"/>
          <w:u w:val="single"/>
          <w:shd w:val="clear" w:color="auto" w:fill="auto"/>
          <w:lang w:val="en-US" w:eastAsia="zh-CN"/>
        </w:rPr>
        <w:t>5</w:t>
      </w:r>
      <w:r>
        <w:rPr>
          <w:rFonts w:hint="eastAsia" w:ascii="宋体" w:hAnsi="宋体"/>
          <w:color w:val="auto"/>
          <w:highlight w:val="none"/>
          <w:u w:val="single"/>
          <w:shd w:val="clear" w:color="auto" w:fill="auto"/>
        </w:rPr>
        <w:t>年</w:t>
      </w:r>
      <w:r>
        <w:rPr>
          <w:rFonts w:hint="eastAsia" w:ascii="宋体" w:hAnsi="宋体"/>
          <w:color w:val="auto"/>
          <w:highlight w:val="none"/>
          <w:u w:val="single"/>
          <w:shd w:val="clear" w:color="auto" w:fill="auto"/>
          <w:lang w:val="en-US" w:eastAsia="zh-CN"/>
        </w:rPr>
        <w:t>上半年</w:t>
      </w:r>
      <w:r>
        <w:rPr>
          <w:rFonts w:hint="eastAsia" w:ascii="宋体" w:hAnsi="宋体"/>
          <w:color w:val="auto"/>
          <w:highlight w:val="none"/>
          <w:u w:val="single"/>
          <w:shd w:val="clear" w:color="auto" w:fill="auto"/>
        </w:rPr>
        <w:t>价格水平调整的通知》（定额〔2025〕</w:t>
      </w:r>
      <w:r>
        <w:rPr>
          <w:rFonts w:hint="eastAsia" w:ascii="宋体" w:hAnsi="宋体"/>
          <w:color w:val="auto"/>
          <w:highlight w:val="none"/>
          <w:u w:val="single"/>
          <w:shd w:val="clear" w:color="auto" w:fill="auto"/>
          <w:lang w:val="en-US" w:eastAsia="zh-CN"/>
        </w:rPr>
        <w:t>34</w:t>
      </w:r>
      <w:r>
        <w:rPr>
          <w:rFonts w:hint="eastAsia" w:ascii="宋体" w:hAnsi="宋体"/>
          <w:color w:val="auto"/>
          <w:highlight w:val="none"/>
          <w:u w:val="single"/>
          <w:shd w:val="clear" w:color="auto" w:fill="auto"/>
        </w:rPr>
        <w:t>号）</w:t>
      </w:r>
      <w:r>
        <w:rPr>
          <w:rFonts w:hint="eastAsia" w:ascii="宋体" w:hAnsi="宋体"/>
          <w:color w:val="auto"/>
          <w:highlight w:val="none"/>
          <w:shd w:val="clear" w:color="auto" w:fill="auto"/>
        </w:rPr>
        <w:t>。</w:t>
      </w:r>
    </w:p>
    <w:p>
      <w:pPr>
        <w:pStyle w:val="6"/>
        <w:spacing w:line="360" w:lineRule="auto"/>
        <w:ind w:firstLine="420" w:firstLineChars="200"/>
        <w:rPr>
          <w:rFonts w:hint="eastAsia" w:hAnsi="宋体"/>
          <w:color w:val="auto"/>
          <w:highlight w:val="none"/>
        </w:rPr>
      </w:pPr>
      <w:r>
        <w:rPr>
          <w:rFonts w:hint="eastAsia" w:hAnsi="宋体"/>
          <w:color w:val="auto"/>
          <w:highlight w:val="none"/>
        </w:rPr>
        <w:t>（6）其他：</w:t>
      </w:r>
    </w:p>
    <w:p>
      <w:pPr>
        <w:spacing w:line="360" w:lineRule="auto"/>
        <w:ind w:firstLine="420" w:firstLineChars="200"/>
        <w:rPr>
          <w:rFonts w:ascii="宋体" w:hAnsi="宋体"/>
          <w:color w:val="auto"/>
          <w:highlight w:val="none"/>
          <w:u w:val="single"/>
          <w:shd w:val="clear" w:color="auto" w:fill="auto"/>
        </w:rPr>
      </w:pPr>
      <w:r>
        <w:rPr>
          <w:rFonts w:hAnsi="宋体"/>
          <w:bCs/>
          <w:color w:val="auto"/>
          <w:highlight w:val="none"/>
          <w:u w:val="single"/>
          <w:shd w:val="clear" w:color="auto" w:fill="auto"/>
        </w:rPr>
        <w:t>①</w:t>
      </w:r>
      <w:r>
        <w:rPr>
          <w:rFonts w:hint="eastAsia" w:ascii="宋体" w:hAnsi="宋体"/>
          <w:color w:val="auto"/>
          <w:highlight w:val="none"/>
          <w:u w:val="single"/>
          <w:shd w:val="clear" w:color="auto" w:fill="auto"/>
        </w:rPr>
        <w:t>站外电源</w:t>
      </w:r>
      <w:r>
        <w:rPr>
          <w:rFonts w:hint="eastAsia" w:ascii="宋体" w:hAnsi="宋体"/>
          <w:color w:val="auto"/>
          <w:highlight w:val="none"/>
          <w:u w:val="single"/>
          <w:shd w:val="clear" w:color="auto" w:fill="auto"/>
          <w:lang w:eastAsia="zh-CN"/>
        </w:rPr>
        <w:t>：</w:t>
      </w:r>
      <w:r>
        <w:rPr>
          <w:rFonts w:hint="eastAsia" w:ascii="宋体" w:hAnsi="宋体"/>
          <w:color w:val="auto"/>
          <w:highlight w:val="none"/>
          <w:u w:val="none"/>
          <w:shd w:val="clear" w:color="auto" w:fill="auto"/>
        </w:rPr>
        <w:t>参照执行</w:t>
      </w:r>
      <w:r>
        <w:rPr>
          <w:rFonts w:hint="eastAsia" w:ascii="宋体" w:hAnsi="宋体"/>
          <w:color w:val="auto"/>
          <w:highlight w:val="none"/>
          <w:u w:val="single"/>
          <w:shd w:val="clear" w:color="auto" w:fill="auto"/>
          <w:lang w:val="en-US" w:eastAsia="zh-CN"/>
        </w:rPr>
        <w:t>/</w:t>
      </w:r>
      <w:r>
        <w:rPr>
          <w:rFonts w:hint="eastAsia" w:ascii="宋体" w:hAnsi="宋体"/>
          <w:color w:val="auto"/>
          <w:highlight w:val="none"/>
          <w:u w:val="single"/>
          <w:shd w:val="clear" w:color="auto" w:fill="auto"/>
        </w:rPr>
        <w:t>。</w:t>
      </w:r>
    </w:p>
    <w:p>
      <w:pPr>
        <w:spacing w:line="360" w:lineRule="auto"/>
        <w:ind w:firstLine="420" w:firstLineChars="200"/>
        <w:rPr>
          <w:rFonts w:ascii="宋体" w:hAnsi="宋体"/>
          <w:color w:val="auto"/>
          <w:highlight w:val="none"/>
          <w:u w:val="single"/>
          <w:shd w:val="clear" w:color="auto" w:fill="auto"/>
        </w:rPr>
      </w:pPr>
      <w:r>
        <w:rPr>
          <w:rFonts w:ascii="宋体" w:hAnsi="宋体"/>
          <w:bCs/>
          <w:color w:val="auto"/>
          <w:highlight w:val="none"/>
          <w:u w:val="single"/>
          <w:shd w:val="clear" w:color="auto" w:fill="auto"/>
        </w:rPr>
        <w:t>②</w:t>
      </w:r>
      <w:r>
        <w:rPr>
          <w:rFonts w:hint="eastAsia" w:ascii="宋体" w:hAnsi="宋体"/>
          <w:color w:val="auto"/>
          <w:highlight w:val="none"/>
          <w:u w:val="single"/>
          <w:shd w:val="clear" w:color="auto" w:fill="auto"/>
        </w:rPr>
        <w:t>临时水源</w:t>
      </w:r>
      <w:r>
        <w:rPr>
          <w:rFonts w:hint="eastAsia" w:ascii="宋体" w:hAnsi="宋体"/>
          <w:color w:val="auto"/>
          <w:highlight w:val="none"/>
          <w:u w:val="single"/>
          <w:shd w:val="clear" w:color="auto" w:fill="auto"/>
          <w:lang w:eastAsia="zh-CN"/>
        </w:rPr>
        <w:t>：</w:t>
      </w:r>
      <w:r>
        <w:rPr>
          <w:rFonts w:hint="eastAsia" w:ascii="宋体" w:hAnsi="宋体"/>
          <w:color w:val="auto"/>
          <w:highlight w:val="none"/>
          <w:u w:val="none"/>
          <w:shd w:val="clear" w:color="auto" w:fill="auto"/>
        </w:rPr>
        <w:t>参照执行</w:t>
      </w:r>
      <w:r>
        <w:rPr>
          <w:rFonts w:hint="eastAsia" w:ascii="宋体" w:hAnsi="宋体"/>
          <w:color w:val="auto"/>
          <w:highlight w:val="none"/>
          <w:u w:val="single"/>
          <w:shd w:val="clear" w:color="auto" w:fill="auto"/>
          <w:lang w:val="en-US" w:eastAsia="zh-CN"/>
        </w:rPr>
        <w:t>/</w:t>
      </w:r>
      <w:r>
        <w:rPr>
          <w:rFonts w:hint="eastAsia" w:ascii="宋体" w:hAnsi="宋体"/>
          <w:color w:val="auto"/>
          <w:highlight w:val="none"/>
          <w:u w:val="single"/>
          <w:shd w:val="clear" w:color="auto" w:fill="auto"/>
        </w:rPr>
        <w:t>。</w:t>
      </w:r>
    </w:p>
    <w:p>
      <w:pPr>
        <w:spacing w:line="360" w:lineRule="auto"/>
        <w:ind w:firstLine="420" w:firstLineChars="200"/>
        <w:rPr>
          <w:rFonts w:ascii="宋体" w:hAnsi="宋体"/>
          <w:color w:val="auto"/>
          <w:highlight w:val="none"/>
          <w:u w:val="single"/>
          <w:shd w:val="clear" w:color="auto" w:fill="auto"/>
        </w:rPr>
      </w:pPr>
      <w:r>
        <w:rPr>
          <w:rFonts w:hAnsi="宋体"/>
          <w:bCs/>
          <w:color w:val="auto"/>
          <w:highlight w:val="none"/>
          <w:u w:val="single"/>
          <w:shd w:val="clear" w:color="auto" w:fill="auto"/>
        </w:rPr>
        <w:fldChar w:fldCharType="begin"/>
      </w:r>
      <w:r>
        <w:rPr>
          <w:rFonts w:hAnsi="宋体"/>
          <w:bCs/>
          <w:color w:val="auto"/>
          <w:highlight w:val="none"/>
          <w:u w:val="single"/>
          <w:shd w:val="clear" w:color="auto" w:fill="auto"/>
        </w:rPr>
        <w:instrText xml:space="preserve"> = 3 \* GB3 \* MERGEFORMAT </w:instrText>
      </w:r>
      <w:r>
        <w:rPr>
          <w:rFonts w:hAnsi="宋体"/>
          <w:bCs/>
          <w:color w:val="auto"/>
          <w:highlight w:val="none"/>
          <w:u w:val="single"/>
          <w:shd w:val="clear" w:color="auto" w:fill="auto"/>
        </w:rPr>
        <w:fldChar w:fldCharType="separate"/>
      </w:r>
      <w:r>
        <w:rPr>
          <w:rFonts w:hint="eastAsia" w:hAnsi="宋体"/>
          <w:color w:val="auto"/>
          <w:highlight w:val="none"/>
          <w:u w:val="single"/>
          <w:shd w:val="clear" w:color="auto" w:fill="auto"/>
        </w:rPr>
        <w:t>③</w:t>
      </w:r>
      <w:r>
        <w:rPr>
          <w:rFonts w:hAnsi="宋体"/>
          <w:bCs/>
          <w:color w:val="auto"/>
          <w:highlight w:val="none"/>
          <w:u w:val="single"/>
          <w:shd w:val="clear" w:color="auto" w:fill="auto"/>
        </w:rPr>
        <w:fldChar w:fldCharType="end"/>
      </w:r>
      <w:r>
        <w:rPr>
          <w:rFonts w:hint="eastAsia" w:ascii="宋体" w:hAnsi="宋体"/>
          <w:color w:val="auto"/>
          <w:highlight w:val="none"/>
          <w:u w:val="single"/>
          <w:shd w:val="clear" w:color="auto" w:fill="auto"/>
        </w:rPr>
        <w:t>拆除工程</w:t>
      </w:r>
      <w:r>
        <w:rPr>
          <w:rFonts w:hint="eastAsia" w:ascii="宋体" w:hAnsi="宋体"/>
          <w:color w:val="auto"/>
          <w:highlight w:val="none"/>
          <w:u w:val="single"/>
          <w:shd w:val="clear" w:color="auto" w:fill="auto"/>
          <w:lang w:eastAsia="zh-CN"/>
        </w:rPr>
        <w:t>：</w:t>
      </w:r>
      <w:r>
        <w:rPr>
          <w:rFonts w:hint="eastAsia" w:ascii="宋体" w:hAnsi="宋体"/>
          <w:color w:val="auto"/>
          <w:highlight w:val="none"/>
          <w:u w:val="none"/>
          <w:shd w:val="clear" w:color="auto" w:fill="auto"/>
        </w:rPr>
        <w:t>参照执行</w:t>
      </w:r>
      <w:r>
        <w:rPr>
          <w:rFonts w:hint="eastAsia" w:ascii="宋体" w:hAnsi="宋体"/>
          <w:color w:val="auto"/>
          <w:highlight w:val="none"/>
          <w:u w:val="single"/>
          <w:shd w:val="clear" w:color="auto" w:fill="auto"/>
        </w:rPr>
        <w:t>《电力建设工程预算定额（2018年版）》及配套计价依据。</w:t>
      </w:r>
    </w:p>
    <w:p>
      <w:pPr>
        <w:spacing w:line="360" w:lineRule="auto"/>
        <w:ind w:firstLine="420" w:firstLineChars="200"/>
        <w:rPr>
          <w:rFonts w:hint="eastAsia" w:ascii="宋体" w:hAnsi="宋体"/>
          <w:color w:val="auto"/>
          <w:highlight w:val="none"/>
          <w:u w:val="single"/>
          <w:shd w:val="clear" w:color="auto" w:fill="auto"/>
          <w:lang w:val="en-US" w:eastAsia="zh-CN"/>
        </w:rPr>
      </w:pPr>
      <w:r>
        <w:rPr>
          <w:rFonts w:hint="eastAsia" w:ascii="宋体" w:hAnsi="宋体"/>
          <w:color w:val="auto"/>
          <w:highlight w:val="none"/>
          <w:u w:val="single"/>
          <w:shd w:val="clear" w:color="auto" w:fill="auto"/>
        </w:rPr>
        <w:t>④</w:t>
      </w:r>
      <w:r>
        <w:rPr>
          <w:rFonts w:hint="eastAsia" w:ascii="宋体" w:hAnsi="宋体"/>
          <w:color w:val="auto"/>
          <w:highlight w:val="none"/>
          <w:u w:val="single"/>
          <w:shd w:val="clear" w:color="auto" w:fill="auto"/>
          <w:lang w:val="en-US" w:eastAsia="zh-CN"/>
        </w:rPr>
        <w:t>管线迁移：</w:t>
      </w:r>
      <w:r>
        <w:rPr>
          <w:rFonts w:hint="eastAsia" w:ascii="宋体" w:hAnsi="宋体"/>
          <w:color w:val="auto"/>
          <w:highlight w:val="none"/>
          <w:u w:val="none"/>
          <w:shd w:val="clear" w:color="auto" w:fill="auto"/>
        </w:rPr>
        <w:t>参照执行</w:t>
      </w:r>
      <w:r>
        <w:rPr>
          <w:rFonts w:hint="eastAsia" w:ascii="宋体" w:hAnsi="宋体"/>
          <w:color w:val="auto"/>
          <w:highlight w:val="none"/>
          <w:u w:val="single"/>
          <w:shd w:val="clear" w:color="auto" w:fill="auto"/>
          <w:lang w:val="en-US" w:eastAsia="zh-CN"/>
        </w:rPr>
        <w:t>/</w:t>
      </w:r>
      <w:r>
        <w:rPr>
          <w:rFonts w:hint="eastAsia" w:ascii="宋体" w:hAnsi="宋体"/>
          <w:color w:val="auto"/>
          <w:highlight w:val="none"/>
          <w:u w:val="single"/>
          <w:shd w:val="clear" w:color="auto" w:fill="auto"/>
        </w:rPr>
        <w:t>。</w:t>
      </w:r>
    </w:p>
    <w:p>
      <w:pPr>
        <w:pStyle w:val="6"/>
        <w:spacing w:line="360" w:lineRule="auto"/>
        <w:ind w:firstLine="420" w:firstLineChars="200"/>
        <w:rPr>
          <w:rFonts w:hint="eastAsia" w:hAnsi="宋体"/>
          <w:color w:val="auto"/>
          <w:highlight w:val="none"/>
          <w:u w:val="single"/>
        </w:rPr>
      </w:pPr>
      <w:r>
        <w:rPr>
          <w:rFonts w:hint="eastAsia" w:hAnsi="宋体"/>
          <w:color w:val="auto"/>
          <w:highlight w:val="none"/>
          <w:u w:val="single"/>
        </w:rPr>
        <w:t>⑤市政路面修复工程</w:t>
      </w:r>
      <w:r>
        <w:rPr>
          <w:rFonts w:hint="eastAsia" w:hAnsi="宋体"/>
          <w:color w:val="auto"/>
          <w:highlight w:val="none"/>
          <w:u w:val="single"/>
          <w:lang w:eastAsia="zh-CN"/>
        </w:rPr>
        <w:t>及交通疏解</w:t>
      </w:r>
      <w:r>
        <w:rPr>
          <w:rFonts w:hint="eastAsia" w:hAnsi="宋体"/>
          <w:color w:val="auto"/>
          <w:highlight w:val="none"/>
          <w:u w:val="single"/>
        </w:rPr>
        <w:t>：执行《广东省建设工程计价通则(2018年)》；定额套用《广东省市政工程综合定额（2018）》；人工、材料、机械费用调整执行工程所在地建设工程造价管理机构公布投标截止日前最新信息价</w:t>
      </w:r>
      <w:r>
        <w:rPr>
          <w:rFonts w:hint="eastAsia" w:hAnsi="宋体"/>
          <w:color w:val="auto"/>
          <w:highlight w:val="none"/>
          <w:u w:val="single"/>
          <w:lang w:eastAsia="zh-CN"/>
        </w:rPr>
        <w:t>，其中交通疏导员按全费用综合单价</w:t>
      </w:r>
      <w:r>
        <w:rPr>
          <w:rFonts w:hint="eastAsia" w:hAnsi="宋体"/>
          <w:color w:val="auto"/>
          <w:highlight w:val="none"/>
          <w:u w:val="single"/>
          <w:lang w:val="en-US" w:eastAsia="zh-CN"/>
        </w:rPr>
        <w:t>300</w:t>
      </w:r>
      <w:r>
        <w:rPr>
          <w:rFonts w:hint="eastAsia" w:hAnsi="宋体"/>
          <w:color w:val="auto"/>
          <w:highlight w:val="none"/>
          <w:u w:val="single"/>
          <w:lang w:eastAsia="zh-CN"/>
        </w:rPr>
        <w:t>元/工日计取</w:t>
      </w:r>
      <w:r>
        <w:rPr>
          <w:rFonts w:hint="eastAsia" w:hAnsi="宋体"/>
          <w:color w:val="auto"/>
          <w:highlight w:val="none"/>
          <w:u w:val="single"/>
        </w:rPr>
        <w:t>。</w:t>
      </w:r>
    </w:p>
    <w:p>
      <w:pPr>
        <w:pStyle w:val="6"/>
        <w:spacing w:line="360" w:lineRule="auto"/>
        <w:ind w:firstLine="420" w:firstLineChars="200"/>
        <w:rPr>
          <w:rFonts w:hint="eastAsia" w:hAnsi="宋体"/>
          <w:color w:val="auto"/>
          <w:highlight w:val="none"/>
          <w:u w:val="single"/>
        </w:rPr>
      </w:pPr>
      <w:r>
        <w:rPr>
          <w:rFonts w:hint="eastAsia" w:hAnsi="宋体"/>
          <w:color w:val="auto"/>
          <w:highlight w:val="none"/>
          <w:u w:val="single"/>
        </w:rPr>
        <w:t>⑥余泥渣土消纳费：执行《关于明确广州供电局电力建筑工程余泥渣土消纳费计价要求的通知》（广供电基〔2023〕18号）。</w:t>
      </w:r>
    </w:p>
    <w:p>
      <w:pPr>
        <w:spacing w:line="360" w:lineRule="auto"/>
        <w:ind w:firstLine="420" w:firstLineChars="200"/>
        <w:rPr>
          <w:rFonts w:hint="eastAsia" w:ascii="宋体" w:hAnsi="宋体"/>
          <w:color w:val="auto"/>
          <w:highlight w:val="none"/>
          <w:u w:val="single"/>
          <w:shd w:val="clear" w:color="auto" w:fill="auto"/>
        </w:rPr>
      </w:pPr>
      <w:r>
        <w:rPr>
          <w:rFonts w:hint="eastAsia" w:hAnsi="宋体"/>
          <w:color w:val="auto"/>
          <w:highlight w:val="none"/>
          <w:u w:val="single"/>
        </w:rPr>
        <w:t>⑦</w:t>
      </w:r>
      <w:r>
        <w:rPr>
          <w:rFonts w:hint="eastAsia" w:ascii="宋体" w:hAnsi="宋体"/>
          <w:color w:val="auto"/>
          <w:highlight w:val="none"/>
          <w:u w:val="single"/>
          <w:shd w:val="clear" w:color="auto" w:fill="auto"/>
        </w:rPr>
        <w:t>当电力行业定额子目或取费不足时，涉及其他行业部分选用相应行业相应定额（指标）和取费标准，不足部分选用工程所在地的地方定额和取费标准 。</w:t>
      </w:r>
    </w:p>
    <w:p>
      <w:pPr>
        <w:pStyle w:val="6"/>
        <w:spacing w:line="360" w:lineRule="auto"/>
        <w:ind w:firstLine="420" w:firstLineChars="200"/>
        <w:rPr>
          <w:rFonts w:hint="eastAsia" w:hAnsi="宋体"/>
          <w:color w:val="auto"/>
          <w:highlight w:val="none"/>
          <w:u w:val="single"/>
        </w:rPr>
      </w:pPr>
      <w:r>
        <w:rPr>
          <w:rFonts w:hint="eastAsia" w:hAnsi="宋体"/>
          <w:color w:val="auto"/>
          <w:highlight w:val="none"/>
          <w:u w:val="single"/>
        </w:rPr>
        <w:t>⑧对应合同专用条款13.8（二）定额计价模式的约定，当H值选取表中第【（3）】项，即H=0时，投标报价中不再计取“包干预备费/风险包干费”。如有重复计算，合同结算时将对该部分费用进行扣减。</w:t>
      </w:r>
    </w:p>
    <w:p>
      <w:pPr>
        <w:pStyle w:val="6"/>
        <w:spacing w:line="360" w:lineRule="auto"/>
        <w:ind w:firstLine="420" w:firstLineChars="200"/>
        <w:rPr>
          <w:rFonts w:hint="eastAsia" w:hAnsi="宋体"/>
          <w:color w:val="auto"/>
          <w:highlight w:val="none"/>
          <w:u w:val="single"/>
        </w:rPr>
      </w:pPr>
      <w:r>
        <w:rPr>
          <w:rFonts w:hint="eastAsia" w:hAnsi="宋体"/>
          <w:color w:val="auto"/>
          <w:highlight w:val="none"/>
          <w:u w:val="single"/>
        </w:rPr>
        <w:t>⑨隧道工程：</w:t>
      </w:r>
      <w:r>
        <w:rPr>
          <w:rFonts w:hint="eastAsia" w:ascii="宋体" w:hAnsi="宋体"/>
          <w:color w:val="auto"/>
          <w:highlight w:val="none"/>
          <w:u w:val="none"/>
          <w:shd w:val="clear" w:color="auto" w:fill="auto"/>
        </w:rPr>
        <w:t>参照执行</w:t>
      </w:r>
      <w:r>
        <w:rPr>
          <w:rFonts w:hint="eastAsia" w:ascii="宋体" w:hAnsi="宋体"/>
          <w:color w:val="auto"/>
          <w:highlight w:val="none"/>
          <w:u w:val="single"/>
          <w:shd w:val="clear" w:color="auto" w:fill="auto"/>
          <w:lang w:val="en-US" w:eastAsia="zh-CN"/>
        </w:rPr>
        <w:t>/</w:t>
      </w:r>
      <w:r>
        <w:rPr>
          <w:rFonts w:hint="eastAsia" w:ascii="宋体" w:hAnsi="宋体"/>
          <w:color w:val="auto"/>
          <w:highlight w:val="none"/>
          <w:u w:val="single"/>
          <w:shd w:val="clear" w:color="auto" w:fill="auto"/>
        </w:rPr>
        <w:t>。</w:t>
      </w:r>
    </w:p>
    <w:p>
      <w:pPr>
        <w:pStyle w:val="6"/>
        <w:spacing w:line="360" w:lineRule="auto"/>
        <w:ind w:firstLine="420" w:firstLineChars="200"/>
        <w:rPr>
          <w:rFonts w:hint="eastAsia" w:hAnsi="宋体"/>
          <w:color w:val="auto"/>
          <w:highlight w:val="none"/>
        </w:rPr>
      </w:pPr>
      <w:r>
        <w:rPr>
          <w:rFonts w:hint="eastAsia" w:hAnsi="宋体"/>
          <w:color w:val="auto"/>
          <w:highlight w:val="none"/>
        </w:rPr>
        <w:t>（7）税金费用执行以下第</w:t>
      </w:r>
      <w:r>
        <w:rPr>
          <w:rFonts w:hint="eastAsia" w:hAnsi="宋体"/>
          <w:color w:val="auto"/>
          <w:highlight w:val="none"/>
          <w:u w:val="single"/>
        </w:rPr>
        <w:t xml:space="preserve"> ② </w:t>
      </w:r>
      <w:r>
        <w:rPr>
          <w:rFonts w:hint="eastAsia" w:hAnsi="宋体"/>
          <w:color w:val="auto"/>
          <w:highlight w:val="none"/>
        </w:rPr>
        <w:t>条约定：</w:t>
      </w:r>
    </w:p>
    <w:p>
      <w:pPr>
        <w:pStyle w:val="6"/>
        <w:spacing w:line="360" w:lineRule="auto"/>
        <w:ind w:firstLine="420" w:firstLineChars="200"/>
        <w:rPr>
          <w:rFonts w:hint="eastAsia" w:hAnsi="宋体"/>
          <w:color w:val="auto"/>
          <w:highlight w:val="none"/>
        </w:rPr>
      </w:pPr>
      <w:r>
        <w:rPr>
          <w:rFonts w:hint="eastAsia" w:hAnsi="宋体"/>
          <w:color w:val="auto"/>
          <w:highlight w:val="none"/>
        </w:rPr>
        <w:t>①税金费用执行《关于全面推开营业税改征增值税试点的通知》（财税[2016]36号）及国家最新税收政策，采用一般计税方法计列增值税；若中标单位采用简易计税方法计税，则在结算过程中调整相应结算金额。</w:t>
      </w:r>
    </w:p>
    <w:p>
      <w:pPr>
        <w:pStyle w:val="6"/>
        <w:spacing w:line="360" w:lineRule="auto"/>
        <w:ind w:firstLine="420" w:firstLineChars="200"/>
        <w:rPr>
          <w:rFonts w:hAnsi="宋体"/>
          <w:color w:val="auto"/>
          <w:szCs w:val="21"/>
          <w:highlight w:val="none"/>
          <w:shd w:val="clear" w:color="auto" w:fill="auto"/>
        </w:rPr>
      </w:pPr>
      <w:r>
        <w:rPr>
          <w:rFonts w:hint="eastAsia" w:hAnsi="宋体"/>
          <w:color w:val="auto"/>
          <w:szCs w:val="21"/>
          <w:highlight w:val="none"/>
          <w:shd w:val="clear" w:color="auto" w:fill="auto"/>
        </w:rPr>
        <w:t>②其他：</w:t>
      </w:r>
      <w:r>
        <w:rPr>
          <w:rFonts w:hint="eastAsia" w:hAnsi="宋体"/>
          <w:color w:val="auto"/>
          <w:szCs w:val="21"/>
          <w:highlight w:val="none"/>
          <w:u w:val="single"/>
          <w:shd w:val="clear" w:color="auto" w:fill="auto"/>
        </w:rPr>
        <w:t xml:space="preserve">  </w:t>
      </w:r>
      <w:r>
        <w:rPr>
          <w:rFonts w:hint="eastAsia" w:ascii="宋体" w:hAnsi="宋体" w:eastAsia="宋体" w:cs="Times New Roman"/>
          <w:color w:val="auto"/>
          <w:szCs w:val="21"/>
          <w:highlight w:val="none"/>
          <w:u w:val="single"/>
          <w:shd w:val="clear" w:color="auto" w:fill="auto"/>
          <w:lang w:val="en-US" w:eastAsia="zh-CN"/>
        </w:rPr>
        <w:t>税金费用执行《转发电力定额总站关于调整电力工程计价依据增值税税率的通知》（粤电定</w:t>
      </w:r>
      <w:r>
        <w:rPr>
          <w:rFonts w:hint="eastAsia" w:ascii="宋体" w:hAnsi="宋体"/>
          <w:color w:val="auto"/>
          <w:highlight w:val="none"/>
          <w:u w:val="single"/>
          <w:shd w:val="clear" w:color="auto" w:fill="auto"/>
          <w:lang w:val="en-US" w:eastAsia="zh-CN"/>
        </w:rPr>
        <w:t>〔2019〕</w:t>
      </w:r>
      <w:r>
        <w:rPr>
          <w:rFonts w:hint="eastAsia" w:ascii="宋体" w:hAnsi="宋体" w:eastAsia="宋体" w:cs="Times New Roman"/>
          <w:color w:val="auto"/>
          <w:szCs w:val="21"/>
          <w:highlight w:val="none"/>
          <w:u w:val="single"/>
          <w:shd w:val="clear" w:color="auto" w:fill="auto"/>
          <w:lang w:val="en-US" w:eastAsia="zh-CN"/>
        </w:rPr>
        <w:t>2号）及工程所在地政府的相关规定，建筑业增值税税率为9%。</w:t>
      </w:r>
      <w:r>
        <w:rPr>
          <w:rFonts w:hint="eastAsia" w:hAnsi="宋体"/>
          <w:color w:val="auto"/>
          <w:szCs w:val="21"/>
          <w:highlight w:val="none"/>
          <w:u w:val="single"/>
          <w:shd w:val="clear" w:color="auto" w:fill="auto"/>
        </w:rPr>
        <w:t xml:space="preserve">若中标单位采用简易计税方法计税，则在结算过程中调整相应结算金额 </w:t>
      </w:r>
      <w:r>
        <w:rPr>
          <w:rFonts w:hint="eastAsia" w:hAnsi="宋体"/>
          <w:color w:val="auto"/>
          <w:szCs w:val="21"/>
          <w:highlight w:val="none"/>
          <w:shd w:val="clear" w:color="auto" w:fill="auto"/>
        </w:rPr>
        <w:t>。</w:t>
      </w:r>
    </w:p>
    <w:p>
      <w:pPr>
        <w:pStyle w:val="6"/>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hAnsi="宋体"/>
          <w:color w:val="auto"/>
          <w:highlight w:val="none"/>
        </w:rPr>
      </w:pPr>
      <w:r>
        <w:rPr>
          <w:rFonts w:hint="eastAsia" w:hAnsi="宋体"/>
          <w:color w:val="auto"/>
          <w:highlight w:val="none"/>
        </w:rPr>
        <w:t>3.2.3.3其它费用的取费项目和取费标准由投标人自行测定报价。其中应包括但不限于：</w:t>
      </w:r>
      <w:r>
        <w:rPr>
          <w:rFonts w:hint="eastAsia" w:hAnsi="宋体"/>
          <w:color w:val="auto"/>
          <w:highlight w:val="none"/>
          <w:u w:val="single"/>
        </w:rPr>
        <w:t>施工用临时道路及临时场地租用、修筑、桥梁修补、特殊跨越措施补助费、（临时）围堰、施工措施费、成品保护费、竣工移交前的站区场地维护修复加固费、电子化移交、投标报价及送审结算书需按中国南方电网有限责任公司造价规约约定的报表格式上报等工作</w:t>
      </w:r>
      <w:r>
        <w:rPr>
          <w:rFonts w:hint="eastAsia" w:hAnsi="宋体"/>
          <w:color w:val="auto"/>
          <w:highlight w:val="none"/>
          <w:u w:val="single"/>
          <w:lang w:eastAsia="zh-CN"/>
        </w:rPr>
        <w:t>，</w:t>
      </w:r>
      <w:r>
        <w:rPr>
          <w:rFonts w:hint="eastAsia" w:hAnsi="宋体"/>
          <w:color w:val="auto"/>
          <w:highlight w:val="none"/>
          <w:u w:val="single"/>
          <w:lang w:val="en-US" w:eastAsia="zh-CN"/>
        </w:rPr>
        <w:t>具体范围以本次招标公布的承包范围为准</w:t>
      </w:r>
      <w:r>
        <w:rPr>
          <w:rFonts w:hint="eastAsia" w:hAnsi="宋体"/>
          <w:color w:val="auto"/>
          <w:highlight w:val="none"/>
          <w:u w:val="single"/>
        </w:rPr>
        <w:t>。</w:t>
      </w:r>
    </w:p>
    <w:p>
      <w:pPr>
        <w:pStyle w:val="6"/>
        <w:keepNext w:val="0"/>
        <w:keepLines w:val="0"/>
        <w:pageBreakBefore w:val="0"/>
        <w:widowControl w:val="0"/>
        <w:tabs>
          <w:tab w:val="left" w:pos="630"/>
        </w:tabs>
        <w:kinsoku/>
        <w:wordWrap/>
        <w:overflowPunct/>
        <w:topLinePunct w:val="0"/>
        <w:autoSpaceDE/>
        <w:autoSpaceDN/>
        <w:bidi w:val="0"/>
        <w:adjustRightInd/>
        <w:snapToGrid/>
        <w:spacing w:line="360" w:lineRule="auto"/>
        <w:ind w:firstLine="420" w:firstLineChars="200"/>
        <w:textAlignment w:val="auto"/>
        <w:rPr>
          <w:rFonts w:hint="eastAsia" w:hAnsi="宋体"/>
          <w:color w:val="auto"/>
          <w:highlight w:val="none"/>
        </w:rPr>
      </w:pPr>
      <w:r>
        <w:rPr>
          <w:rFonts w:hint="eastAsia" w:hAnsi="宋体"/>
          <w:color w:val="auto"/>
          <w:highlight w:val="none"/>
        </w:rPr>
        <w:t>3.2.3.4变电工程：建设单位供应的实物供应到投标人设置的材料站，投标方依据设计资料、招标资料测算甲供材料设备报价的基数；对项目建设单位提供的设备、材料，中标方负责进行卸车、清点、质量验收和保管，所发生的卸车保管费按不超过：甲供材料费×1%、甲供设备费（不含主变压器、高抗）×0.5%计，列入报价，且结算时不予调整。</w:t>
      </w:r>
    </w:p>
    <w:p>
      <w:pPr>
        <w:pStyle w:val="6"/>
        <w:keepNext w:val="0"/>
        <w:keepLines w:val="0"/>
        <w:pageBreakBefore w:val="0"/>
        <w:widowControl w:val="0"/>
        <w:tabs>
          <w:tab w:val="left" w:pos="630"/>
        </w:tabs>
        <w:kinsoku/>
        <w:wordWrap/>
        <w:overflowPunct/>
        <w:topLinePunct w:val="0"/>
        <w:autoSpaceDE/>
        <w:autoSpaceDN/>
        <w:bidi w:val="0"/>
        <w:adjustRightInd/>
        <w:snapToGrid/>
        <w:spacing w:line="360" w:lineRule="auto"/>
        <w:ind w:firstLine="420" w:firstLineChars="200"/>
        <w:textAlignment w:val="auto"/>
        <w:rPr>
          <w:rFonts w:hAnsi="宋体"/>
          <w:color w:val="auto"/>
          <w:highlight w:val="none"/>
        </w:rPr>
      </w:pPr>
      <w:r>
        <w:rPr>
          <w:rFonts w:hint="eastAsia" w:hAnsi="宋体"/>
          <w:color w:val="auto"/>
          <w:highlight w:val="none"/>
        </w:rPr>
        <w:t>3.2.3.5线路工程：建设单位供应的实物不计入投标报价，建设单位提供的实物价格，供投标人用于测算间接费等费用的基数；由投标人采购的材料，其费用列入投标报价；建设单位向中标单位供应实物量供应到投标人设置的中心材料站；中标单位每标段设置一个中心材料站，所设的中心材料站应具备汽车送达、吊车作业的条件；对建设单位送达的材料，中标单位负责进行卸车、清点、质量验收和保管，所发生的卸车保管费按不超过：</w:t>
      </w:r>
      <w:r>
        <w:rPr>
          <w:rFonts w:hint="eastAsia" w:hAnsi="宋体"/>
          <w:b w:val="0"/>
          <w:bCs/>
          <w:color w:val="auto"/>
          <w:highlight w:val="none"/>
        </w:rPr>
        <w:t>甲供材料费×1%、甲供设备费×0.5%计</w:t>
      </w:r>
      <w:r>
        <w:rPr>
          <w:rFonts w:hint="eastAsia" w:hAnsi="宋体"/>
          <w:color w:val="auto"/>
          <w:highlight w:val="none"/>
        </w:rPr>
        <w:t>，列入报价，且结算时不予调整。</w:t>
      </w:r>
    </w:p>
    <w:p>
      <w:pPr>
        <w:pStyle w:val="6"/>
        <w:spacing w:line="360" w:lineRule="auto"/>
        <w:ind w:firstLine="420" w:firstLineChars="200"/>
        <w:rPr>
          <w:rFonts w:hint="eastAsia" w:hAnsi="宋体"/>
          <w:color w:val="auto"/>
          <w:highlight w:val="none"/>
        </w:rPr>
      </w:pPr>
      <w:r>
        <w:rPr>
          <w:rFonts w:hint="eastAsia" w:hAnsi="宋体"/>
          <w:color w:val="auto"/>
          <w:highlight w:val="none"/>
        </w:rPr>
        <w:t>3.2.3.6工程中间检查、竣工验收</w:t>
      </w:r>
      <w:r>
        <w:rPr>
          <w:rFonts w:hint="eastAsia" w:hAnsi="宋体"/>
          <w:color w:val="auto"/>
          <w:highlight w:val="none"/>
          <w:lang w:eastAsia="zh-CN"/>
        </w:rPr>
        <w:t>（定额内已包含的除外）</w:t>
      </w:r>
      <w:r>
        <w:rPr>
          <w:rFonts w:hint="eastAsia" w:hAnsi="宋体"/>
          <w:color w:val="auto"/>
          <w:highlight w:val="none"/>
        </w:rPr>
        <w:t>等发生的费用，均计入风险包干费中。投标单位认为在工程建设期间可能发生的其他费用也可计入风险包干费。</w:t>
      </w:r>
    </w:p>
    <w:p>
      <w:pPr>
        <w:pStyle w:val="6"/>
        <w:spacing w:line="360" w:lineRule="auto"/>
        <w:ind w:firstLine="420" w:firstLineChars="200"/>
        <w:rPr>
          <w:rFonts w:hint="eastAsia" w:hAnsi="宋体"/>
          <w:color w:val="auto"/>
          <w:highlight w:val="none"/>
          <w:shd w:val="clear" w:color="auto" w:fill="auto"/>
          <w:lang w:eastAsia="zh-CN"/>
        </w:rPr>
      </w:pPr>
      <w:r>
        <w:rPr>
          <w:rFonts w:hint="eastAsia" w:hAnsi="宋体"/>
          <w:color w:val="auto"/>
          <w:highlight w:val="none"/>
          <w:shd w:val="clear" w:color="auto" w:fill="auto"/>
        </w:rPr>
        <w:t>3.2.3.7架空线路工程</w:t>
      </w:r>
      <w:r>
        <w:rPr>
          <w:rFonts w:hint="eastAsia" w:hAnsi="宋体"/>
          <w:color w:val="auto"/>
          <w:highlight w:val="none"/>
          <w:shd w:val="clear" w:color="auto" w:fill="auto"/>
          <w:lang w:eastAsia="zh-CN"/>
        </w:rPr>
        <w:t>（有</w:t>
      </w:r>
      <w:r>
        <w:rPr>
          <w:rFonts w:hint="eastAsia" w:hAnsi="宋体"/>
          <w:color w:val="auto"/>
          <w:highlight w:val="none"/>
          <w:shd w:val="clear" w:color="auto" w:fill="auto"/>
          <w:lang w:eastAsia="zh-CN"/>
        </w:rPr>
        <w:sym w:font="Wingdings 2" w:char="00A3"/>
      </w:r>
      <w:r>
        <w:rPr>
          <w:rFonts w:hint="eastAsia" w:hAnsi="宋体"/>
          <w:color w:val="auto"/>
          <w:highlight w:val="none"/>
          <w:shd w:val="clear" w:color="auto" w:fill="auto"/>
          <w:lang w:eastAsia="zh-CN"/>
        </w:rPr>
        <w:t>的项目，</w:t>
      </w:r>
      <w:r>
        <w:rPr>
          <w:rFonts w:hint="eastAsia" w:hAnsi="宋体"/>
          <w:color w:val="auto"/>
          <w:highlight w:val="none"/>
          <w:shd w:val="clear" w:color="auto" w:fill="auto"/>
          <w:lang w:val="en-US" w:eastAsia="zh-CN"/>
        </w:rPr>
        <w:t>按照</w:t>
      </w:r>
      <w:r>
        <w:rPr>
          <w:rFonts w:hint="eastAsia" w:hAnsi="宋体"/>
          <w:color w:val="auto"/>
          <w:highlight w:val="none"/>
          <w:shd w:val="clear" w:color="auto" w:fill="auto"/>
          <w:lang w:eastAsia="zh-CN"/>
        </w:rPr>
        <w:sym w:font="Wingdings 2" w:char="00A3"/>
      </w:r>
      <w:r>
        <w:rPr>
          <w:rFonts w:hint="eastAsia" w:hAnsi="宋体"/>
          <w:color w:val="auto"/>
          <w:highlight w:val="none"/>
          <w:shd w:val="clear" w:color="auto" w:fill="auto"/>
          <w:lang w:val="en-US" w:eastAsia="zh-CN"/>
        </w:rPr>
        <w:t>内</w:t>
      </w:r>
      <w:r>
        <w:rPr>
          <w:rFonts w:hint="eastAsia" w:hAnsi="宋体"/>
          <w:color w:val="auto"/>
          <w:highlight w:val="none"/>
          <w:shd w:val="clear" w:color="auto" w:fill="auto"/>
          <w:lang w:eastAsia="zh-CN"/>
        </w:rPr>
        <w:t>打√的</w:t>
      </w:r>
      <w:r>
        <w:rPr>
          <w:rFonts w:hint="eastAsia" w:hAnsi="宋体"/>
          <w:color w:val="auto"/>
          <w:highlight w:val="none"/>
          <w:shd w:val="clear" w:color="auto" w:fill="auto"/>
          <w:lang w:val="en-US" w:eastAsia="zh-CN"/>
        </w:rPr>
        <w:t>执行</w:t>
      </w:r>
      <w:r>
        <w:rPr>
          <w:rFonts w:hint="eastAsia" w:hAnsi="宋体"/>
          <w:color w:val="auto"/>
          <w:highlight w:val="none"/>
          <w:shd w:val="clear" w:color="auto" w:fill="auto"/>
          <w:lang w:eastAsia="zh-CN"/>
        </w:rPr>
        <w:t>）：</w:t>
      </w:r>
    </w:p>
    <w:p>
      <w:pPr>
        <w:pStyle w:val="6"/>
        <w:spacing w:line="360" w:lineRule="auto"/>
        <w:ind w:firstLine="420" w:firstLineChars="200"/>
        <w:rPr>
          <w:rFonts w:hint="eastAsia" w:hAnsi="宋体"/>
          <w:color w:val="auto"/>
          <w:highlight w:val="none"/>
          <w:shd w:val="clear" w:color="auto" w:fill="auto"/>
          <w:lang w:eastAsia="zh-CN"/>
        </w:rPr>
      </w:pPr>
      <w:r>
        <w:rPr>
          <w:rFonts w:hint="eastAsia" w:ascii="宋体" w:hAnsi="宋体"/>
          <w:color w:val="auto"/>
          <w:highlight w:val="none"/>
          <w:shd w:val="clear" w:color="auto" w:fill="auto"/>
        </w:rPr>
        <w:t>（1</w:t>
      </w:r>
      <w:r>
        <w:rPr>
          <w:rFonts w:ascii="宋体" w:hAnsi="宋体"/>
          <w:color w:val="auto"/>
          <w:highlight w:val="none"/>
          <w:shd w:val="clear" w:color="auto" w:fill="auto"/>
        </w:rPr>
        <w:t>）</w:t>
      </w:r>
      <w:r>
        <w:rPr>
          <w:rFonts w:hint="eastAsia" w:hAnsi="宋体"/>
          <w:color w:val="auto"/>
          <w:highlight w:val="none"/>
          <w:shd w:val="clear" w:color="auto" w:fill="auto"/>
        </w:rPr>
        <w:t>架线</w:t>
      </w:r>
      <w:r>
        <w:rPr>
          <w:rFonts w:hint="eastAsia" w:hAnsi="宋体"/>
          <w:color w:val="auto"/>
          <w:szCs w:val="21"/>
          <w:highlight w:val="none"/>
          <w:shd w:val="clear" w:color="auto" w:fill="auto"/>
        </w:rPr>
        <w:t>（或拆除</w:t>
      </w:r>
      <w:r>
        <w:rPr>
          <w:rFonts w:hint="eastAsia" w:hAnsi="宋体"/>
          <w:color w:val="auto"/>
          <w:szCs w:val="21"/>
          <w:highlight w:val="none"/>
          <w:shd w:val="clear" w:color="auto" w:fill="auto"/>
          <w:lang w:val="en-US" w:eastAsia="zh-CN"/>
        </w:rPr>
        <w:t>导线</w:t>
      </w:r>
      <w:r>
        <w:rPr>
          <w:rFonts w:hint="eastAsia" w:hAnsi="宋体"/>
          <w:color w:val="auto"/>
          <w:szCs w:val="21"/>
          <w:highlight w:val="none"/>
          <w:shd w:val="clear" w:color="auto" w:fill="auto"/>
        </w:rPr>
        <w:t>）</w:t>
      </w:r>
      <w:r>
        <w:rPr>
          <w:rFonts w:hint="eastAsia" w:hAnsi="宋体"/>
          <w:color w:val="auto"/>
          <w:szCs w:val="21"/>
          <w:highlight w:val="none"/>
          <w:shd w:val="clear" w:color="auto" w:fill="auto"/>
          <w:lang w:val="en-US" w:eastAsia="zh-CN"/>
        </w:rPr>
        <w:t>施工及</w:t>
      </w:r>
      <w:r>
        <w:rPr>
          <w:rFonts w:hint="eastAsia" w:hAnsi="宋体"/>
          <w:color w:val="auto"/>
          <w:highlight w:val="none"/>
          <w:shd w:val="clear" w:color="auto" w:fill="auto"/>
        </w:rPr>
        <w:t>跨越电力线（是否需带电跨越应依据设计方案或本招标文件要求执行</w:t>
      </w:r>
      <w:r>
        <w:rPr>
          <w:rFonts w:hint="eastAsia" w:hAnsi="宋体"/>
          <w:color w:val="auto"/>
          <w:highlight w:val="none"/>
          <w:shd w:val="clear" w:color="auto" w:fill="auto"/>
          <w:lang w:eastAsia="zh-CN"/>
        </w:rPr>
        <w:t>，</w:t>
      </w:r>
      <w:r>
        <w:rPr>
          <w:rFonts w:hint="eastAsia" w:hAnsi="宋体"/>
          <w:color w:val="auto"/>
          <w:highlight w:val="none"/>
          <w:shd w:val="clear" w:color="auto" w:fill="auto"/>
          <w:lang w:val="en-US" w:eastAsia="zh-CN"/>
        </w:rPr>
        <w:t>工程建设期如发包人需调整，按照相关管理规定执行</w:t>
      </w:r>
      <w:r>
        <w:rPr>
          <w:rFonts w:hint="eastAsia" w:hAnsi="宋体"/>
          <w:color w:val="auto"/>
          <w:highlight w:val="none"/>
          <w:shd w:val="clear" w:color="auto" w:fill="auto"/>
        </w:rPr>
        <w:t>）</w:t>
      </w:r>
      <w:r>
        <w:rPr>
          <w:rFonts w:hint="eastAsia" w:hAnsi="宋体"/>
          <w:color w:val="auto"/>
          <w:highlight w:val="none"/>
          <w:shd w:val="clear" w:color="auto" w:fill="auto"/>
          <w:lang w:eastAsia="zh-CN"/>
        </w:rPr>
        <w:t>：</w:t>
      </w:r>
    </w:p>
    <w:p>
      <w:pPr>
        <w:pStyle w:val="6"/>
        <w:spacing w:line="360" w:lineRule="auto"/>
        <w:ind w:firstLine="420" w:firstLineChars="200"/>
        <w:rPr>
          <w:rFonts w:hint="eastAsia" w:hAnsi="宋体"/>
          <w:color w:val="auto"/>
          <w:highlight w:val="none"/>
          <w:shd w:val="clear" w:color="auto" w:fill="auto"/>
        </w:rPr>
      </w:pPr>
      <w:r>
        <w:rPr>
          <w:rFonts w:hint="eastAsia" w:hAnsi="宋体" w:cs="宋体"/>
          <w:b w:val="0"/>
          <w:bCs w:val="0"/>
          <w:snapToGrid w:val="0"/>
          <w:color w:val="auto"/>
          <w:kern w:val="0"/>
          <w:sz w:val="21"/>
          <w:szCs w:val="21"/>
          <w:highlight w:val="none"/>
          <w:u w:val="none"/>
          <w:lang w:val="en-US" w:eastAsia="zh-CN"/>
        </w:rPr>
        <w:t>☑</w:t>
      </w:r>
      <w:r>
        <w:rPr>
          <w:rFonts w:hint="eastAsia" w:hAnsi="宋体" w:eastAsia="宋体" w:cs="宋体"/>
          <w:color w:val="auto"/>
          <w:highlight w:val="none"/>
          <w:shd w:val="clear" w:color="auto" w:fill="auto"/>
          <w:lang w:val="en-US" w:eastAsia="zh-CN"/>
        </w:rPr>
        <w:t>施工、</w:t>
      </w:r>
      <w:r>
        <w:rPr>
          <w:rFonts w:hint="eastAsia" w:hAnsi="宋体"/>
          <w:color w:val="auto"/>
          <w:highlight w:val="none"/>
          <w:shd w:val="clear" w:color="auto" w:fill="auto"/>
        </w:rPr>
        <w:t>措施</w:t>
      </w:r>
      <w:r>
        <w:rPr>
          <w:rFonts w:hint="eastAsia" w:hAnsi="宋体"/>
          <w:color w:val="auto"/>
          <w:highlight w:val="none"/>
          <w:shd w:val="clear" w:color="auto" w:fill="auto"/>
          <w:lang w:val="en-US" w:eastAsia="zh-CN"/>
        </w:rPr>
        <w:t>费</w:t>
      </w:r>
      <w:r>
        <w:rPr>
          <w:rFonts w:hint="eastAsia" w:hAnsi="宋体"/>
          <w:color w:val="auto"/>
          <w:highlight w:val="none"/>
          <w:shd w:val="clear" w:color="auto" w:fill="auto"/>
        </w:rPr>
        <w:t>及其施工申请手续均由中标单位负责办理及支付。上述工作如需发生费用，</w:t>
      </w:r>
      <w:r>
        <w:rPr>
          <w:rFonts w:hint="eastAsia" w:hAnsi="宋体"/>
          <w:b/>
          <w:bCs/>
          <w:color w:val="auto"/>
          <w:highlight w:val="none"/>
          <w:shd w:val="clear" w:color="auto" w:fill="auto"/>
        </w:rPr>
        <w:t>投标人按现场情况及施工方案自行报价</w:t>
      </w:r>
      <w:r>
        <w:rPr>
          <w:rFonts w:hint="eastAsia" w:hAnsi="宋体"/>
          <w:color w:val="auto"/>
          <w:highlight w:val="none"/>
          <w:shd w:val="clear" w:color="auto" w:fill="auto"/>
        </w:rPr>
        <w:t>。</w:t>
      </w:r>
    </w:p>
    <w:p>
      <w:pPr>
        <w:pStyle w:val="6"/>
        <w:spacing w:line="360" w:lineRule="auto"/>
        <w:ind w:firstLine="420" w:firstLineChars="200"/>
        <w:rPr>
          <w:rFonts w:hint="eastAsia" w:hAnsi="宋体" w:eastAsia="宋体"/>
          <w:color w:val="auto"/>
          <w:highlight w:val="none"/>
          <w:shd w:val="clear" w:color="auto" w:fill="auto"/>
          <w:lang w:val="en-US" w:eastAsia="zh-CN"/>
        </w:rPr>
      </w:pPr>
      <w:r>
        <w:rPr>
          <w:rFonts w:hint="eastAsia" w:ascii="宋体" w:hAnsi="宋体" w:eastAsia="宋体" w:cs="宋体"/>
          <w:color w:val="auto"/>
          <w:highlight w:val="none"/>
          <w:shd w:val="clear" w:color="auto" w:fill="auto"/>
        </w:rPr>
        <w:sym w:font="Wingdings 2" w:char="00A3"/>
      </w:r>
      <w:r>
        <w:rPr>
          <w:rFonts w:hint="eastAsia" w:hAnsi="宋体"/>
          <w:color w:val="auto"/>
          <w:highlight w:val="none"/>
          <w:shd w:val="clear" w:color="auto" w:fill="auto"/>
          <w:lang w:val="en-US" w:eastAsia="zh-CN"/>
        </w:rPr>
        <w:t>施工及措施费</w:t>
      </w:r>
      <w:r>
        <w:rPr>
          <w:rFonts w:hint="eastAsia" w:hAnsi="宋体"/>
          <w:color w:val="auto"/>
          <w:highlight w:val="none"/>
          <w:shd w:val="clear" w:color="auto" w:fill="auto"/>
        </w:rPr>
        <w:t>由中标单位负责，其施工申请手续</w:t>
      </w:r>
      <w:r>
        <w:rPr>
          <w:rFonts w:hint="eastAsia" w:hAnsi="宋体"/>
          <w:color w:val="auto"/>
          <w:highlight w:val="none"/>
          <w:shd w:val="clear" w:color="auto" w:fill="auto"/>
          <w:lang w:val="en-US" w:eastAsia="zh-CN"/>
        </w:rPr>
        <w:t>费</w:t>
      </w:r>
      <w:r>
        <w:rPr>
          <w:rFonts w:hint="eastAsia" w:hAnsi="宋体"/>
          <w:color w:val="auto"/>
          <w:highlight w:val="none"/>
          <w:shd w:val="clear" w:color="auto" w:fill="auto"/>
        </w:rPr>
        <w:t>由中标单位负责办理及支付，</w:t>
      </w:r>
      <w:r>
        <w:rPr>
          <w:rFonts w:hint="eastAsia" w:hAnsi="宋体"/>
          <w:b/>
          <w:bCs/>
          <w:color w:val="auto"/>
          <w:highlight w:val="none"/>
          <w:shd w:val="clear" w:color="auto" w:fill="auto"/>
          <w:lang w:val="en-US" w:eastAsia="zh-CN"/>
        </w:rPr>
        <w:t>35kV及以上</w:t>
      </w:r>
      <w:r>
        <w:rPr>
          <w:rFonts w:hint="eastAsia" w:hAnsi="宋体"/>
          <w:b/>
          <w:color w:val="auto"/>
          <w:highlight w:val="none"/>
          <w:shd w:val="clear" w:color="auto" w:fill="auto"/>
          <w:lang w:val="en-US" w:eastAsia="zh-CN"/>
        </w:rPr>
        <w:t>带电跨越</w:t>
      </w:r>
      <w:r>
        <w:rPr>
          <w:rFonts w:hint="eastAsia" w:hAnsi="宋体"/>
          <w:b/>
          <w:color w:val="auto"/>
          <w:highlight w:val="none"/>
          <w:shd w:val="clear" w:color="auto" w:fill="auto"/>
        </w:rPr>
        <w:t>措施费用不计入投标报价，</w:t>
      </w:r>
      <w:r>
        <w:rPr>
          <w:rFonts w:hint="eastAsia" w:hAnsi="宋体" w:cs="宋体"/>
          <w:color w:val="auto"/>
          <w:kern w:val="2"/>
          <w:highlight w:val="none"/>
          <w:shd w:val="clear" w:color="auto" w:fill="auto"/>
          <w:lang w:val="en-US" w:eastAsia="zh-CN"/>
        </w:rPr>
        <w:t>实际发生时</w:t>
      </w:r>
      <w:r>
        <w:rPr>
          <w:rFonts w:hint="eastAsia" w:ascii="宋体" w:hAnsi="宋体" w:cs="宋体"/>
          <w:color w:val="auto"/>
          <w:kern w:val="2"/>
          <w:highlight w:val="none"/>
          <w:shd w:val="clear" w:color="auto" w:fill="auto"/>
        </w:rPr>
        <w:t>根据</w:t>
      </w:r>
      <w:r>
        <w:rPr>
          <w:rFonts w:hint="eastAsia" w:hAnsi="宋体"/>
          <w:color w:val="auto"/>
          <w:highlight w:val="none"/>
          <w:shd w:val="clear" w:color="auto" w:fill="auto"/>
        </w:rPr>
        <w:t>3.2.3.2投标报价</w:t>
      </w:r>
      <w:r>
        <w:rPr>
          <w:rFonts w:hint="eastAsia" w:hAnsi="宋体"/>
          <w:color w:val="auto"/>
          <w:highlight w:val="none"/>
          <w:shd w:val="clear" w:color="auto" w:fill="auto"/>
          <w:lang w:val="en-US" w:eastAsia="zh-CN"/>
        </w:rPr>
        <w:t>原则</w:t>
      </w:r>
      <w:r>
        <w:rPr>
          <w:rFonts w:hint="eastAsia" w:ascii="宋体" w:hAnsi="宋体" w:cs="宋体"/>
          <w:color w:val="auto"/>
          <w:kern w:val="2"/>
          <w:highlight w:val="none"/>
          <w:shd w:val="clear" w:color="auto" w:fill="auto"/>
        </w:rPr>
        <w:t>进行结算</w:t>
      </w:r>
      <w:r>
        <w:rPr>
          <w:rFonts w:hint="eastAsia" w:hAnsi="宋体" w:cs="宋体"/>
          <w:color w:val="auto"/>
          <w:kern w:val="2"/>
          <w:highlight w:val="none"/>
          <w:shd w:val="clear" w:color="auto" w:fill="auto"/>
          <w:lang w:eastAsia="zh-CN"/>
        </w:rPr>
        <w:t>。</w:t>
      </w:r>
    </w:p>
    <w:p>
      <w:pPr>
        <w:pStyle w:val="6"/>
        <w:spacing w:line="360" w:lineRule="auto"/>
        <w:ind w:firstLine="420" w:firstLineChars="200"/>
        <w:rPr>
          <w:rFonts w:hint="eastAsia" w:hAnsi="宋体"/>
          <w:b/>
          <w:bCs/>
          <w:color w:val="auto"/>
          <w:highlight w:val="none"/>
          <w:u w:val="single"/>
        </w:rPr>
      </w:pPr>
      <w:r>
        <w:rPr>
          <w:rFonts w:hint="eastAsia" w:hAnsi="宋体"/>
          <w:color w:val="auto"/>
          <w:highlight w:val="none"/>
          <w:shd w:val="clear" w:color="auto" w:fill="auto"/>
          <w:lang w:eastAsia="zh-CN"/>
        </w:rPr>
        <w:sym w:font="Wingdings 2" w:char="00A3"/>
      </w:r>
      <w:r>
        <w:rPr>
          <w:rFonts w:hint="eastAsia" w:hAnsi="宋体"/>
          <w:color w:val="auto"/>
          <w:highlight w:val="none"/>
          <w:shd w:val="clear" w:color="auto" w:fill="auto"/>
          <w:lang w:val="en-US" w:eastAsia="zh-CN"/>
        </w:rPr>
        <w:t>其他：</w:t>
      </w:r>
      <w:r>
        <w:rPr>
          <w:rFonts w:hint="eastAsia" w:hAnsi="宋体"/>
          <w:color w:val="auto"/>
          <w:highlight w:val="none"/>
          <w:u w:val="single"/>
          <w:shd w:val="clear" w:color="auto" w:fill="auto"/>
          <w:lang w:val="en-US" w:eastAsia="zh-CN"/>
        </w:rPr>
        <w:t xml:space="preserve">                                                        </w:t>
      </w:r>
    </w:p>
    <w:p>
      <w:pPr>
        <w:pStyle w:val="6"/>
        <w:spacing w:line="360" w:lineRule="auto"/>
        <w:ind w:firstLine="420" w:firstLineChars="200"/>
        <w:rPr>
          <w:rFonts w:hint="eastAsia" w:hAnsi="宋体"/>
          <w:color w:val="auto"/>
          <w:highlight w:val="none"/>
          <w:shd w:val="clear" w:color="auto" w:fill="auto"/>
          <w:lang w:eastAsia="zh-CN"/>
        </w:rPr>
      </w:pPr>
      <w:r>
        <w:rPr>
          <w:rFonts w:hint="eastAsia" w:hAnsi="宋体"/>
          <w:color w:val="auto"/>
          <w:highlight w:val="none"/>
          <w:shd w:val="clear" w:color="auto" w:fill="auto"/>
          <w:lang w:eastAsia="zh-CN"/>
        </w:rPr>
        <w:t>（</w:t>
      </w:r>
      <w:r>
        <w:rPr>
          <w:rFonts w:hint="eastAsia" w:hAnsi="宋体"/>
          <w:color w:val="auto"/>
          <w:highlight w:val="none"/>
          <w:shd w:val="clear" w:color="auto" w:fill="auto"/>
          <w:lang w:val="en-US" w:eastAsia="zh-CN"/>
        </w:rPr>
        <w:t>2</w:t>
      </w:r>
      <w:r>
        <w:rPr>
          <w:rFonts w:hint="eastAsia" w:hAnsi="宋体"/>
          <w:color w:val="auto"/>
          <w:highlight w:val="none"/>
          <w:shd w:val="clear" w:color="auto" w:fill="auto"/>
          <w:lang w:eastAsia="zh-CN"/>
        </w:rPr>
        <w:t>）</w:t>
      </w:r>
      <w:r>
        <w:rPr>
          <w:rFonts w:hint="eastAsia" w:hAnsi="宋体"/>
          <w:color w:val="auto"/>
          <w:highlight w:val="none"/>
          <w:shd w:val="clear" w:color="auto" w:fill="auto"/>
        </w:rPr>
        <w:t>通讯线</w:t>
      </w:r>
      <w:r>
        <w:rPr>
          <w:rFonts w:hint="eastAsia" w:hAnsi="宋体"/>
          <w:color w:val="auto"/>
          <w:highlight w:val="none"/>
          <w:shd w:val="clear" w:color="auto" w:fill="auto"/>
          <w:lang w:val="en-US" w:eastAsia="zh-CN"/>
        </w:rPr>
        <w:t>迁移</w:t>
      </w:r>
      <w:r>
        <w:rPr>
          <w:rFonts w:hint="eastAsia" w:hAnsi="宋体"/>
          <w:color w:val="auto"/>
          <w:highlight w:val="none"/>
          <w:shd w:val="clear" w:color="auto" w:fill="auto"/>
        </w:rPr>
        <w:t>、铁路、公路、河流及堤防、水库附近基础</w:t>
      </w:r>
      <w:r>
        <w:rPr>
          <w:rFonts w:hint="eastAsia" w:hAnsi="宋体"/>
          <w:color w:val="auto"/>
          <w:highlight w:val="none"/>
          <w:shd w:val="clear" w:color="auto" w:fill="auto"/>
          <w:lang w:val="en-US" w:eastAsia="zh-CN"/>
        </w:rPr>
        <w:t>措施费用</w:t>
      </w:r>
      <w:r>
        <w:rPr>
          <w:rFonts w:hint="eastAsia" w:hAnsi="宋体"/>
          <w:color w:val="auto"/>
          <w:highlight w:val="none"/>
          <w:shd w:val="clear" w:color="auto" w:fill="auto"/>
          <w:lang w:eastAsia="zh-CN"/>
        </w:rPr>
        <w:t>：</w:t>
      </w:r>
    </w:p>
    <w:p>
      <w:pPr>
        <w:pStyle w:val="6"/>
        <w:spacing w:line="360" w:lineRule="auto"/>
        <w:ind w:firstLine="420" w:firstLineChars="200"/>
        <w:rPr>
          <w:rFonts w:hint="eastAsia" w:hAnsi="宋体"/>
          <w:color w:val="auto"/>
          <w:highlight w:val="none"/>
          <w:shd w:val="clear" w:color="auto" w:fill="auto"/>
        </w:rPr>
      </w:pPr>
      <w:r>
        <w:rPr>
          <w:rFonts w:hint="eastAsia" w:ascii="宋体" w:hAnsi="宋体" w:eastAsia="宋体" w:cs="宋体"/>
          <w:color w:val="auto"/>
          <w:highlight w:val="none"/>
          <w:shd w:val="clear" w:color="auto" w:fill="auto"/>
        </w:rPr>
        <w:sym w:font="Wingdings 2" w:char="00A3"/>
      </w:r>
      <w:r>
        <w:rPr>
          <w:rFonts w:hint="eastAsia" w:hAnsi="宋体" w:eastAsia="宋体" w:cs="宋体"/>
          <w:color w:val="auto"/>
          <w:highlight w:val="none"/>
          <w:shd w:val="clear" w:color="auto" w:fill="auto"/>
          <w:lang w:val="en-US" w:eastAsia="zh-CN"/>
        </w:rPr>
        <w:t>施工、</w:t>
      </w:r>
      <w:r>
        <w:rPr>
          <w:rFonts w:hint="eastAsia" w:hAnsi="宋体"/>
          <w:color w:val="auto"/>
          <w:highlight w:val="none"/>
          <w:shd w:val="clear" w:color="auto" w:fill="auto"/>
        </w:rPr>
        <w:t>措施费及其施工申请手续均由中标单位负责办理及支付。上述工作如需发生费用，</w:t>
      </w:r>
      <w:r>
        <w:rPr>
          <w:rFonts w:hint="eastAsia" w:hAnsi="宋体"/>
          <w:b/>
          <w:bCs/>
          <w:color w:val="auto"/>
          <w:highlight w:val="none"/>
          <w:shd w:val="clear" w:color="auto" w:fill="auto"/>
        </w:rPr>
        <w:t>投标人按现场情况及施工方案自行报价</w:t>
      </w:r>
      <w:r>
        <w:rPr>
          <w:rFonts w:hint="eastAsia" w:hAnsi="宋体"/>
          <w:color w:val="auto"/>
          <w:highlight w:val="none"/>
          <w:shd w:val="clear" w:color="auto" w:fill="auto"/>
        </w:rPr>
        <w:t>。</w:t>
      </w:r>
    </w:p>
    <w:p>
      <w:pPr>
        <w:pStyle w:val="6"/>
        <w:spacing w:line="360" w:lineRule="auto"/>
        <w:ind w:firstLine="420" w:firstLineChars="200"/>
        <w:rPr>
          <w:rFonts w:hint="eastAsia" w:hAnsi="宋体"/>
          <w:color w:val="auto"/>
          <w:highlight w:val="none"/>
          <w:shd w:val="clear" w:color="auto" w:fill="auto"/>
          <w:lang w:eastAsia="zh-CN"/>
        </w:rPr>
      </w:pPr>
      <w:r>
        <w:rPr>
          <w:rFonts w:hint="eastAsia" w:ascii="宋体" w:hAnsi="宋体" w:eastAsia="宋体" w:cs="宋体"/>
          <w:color w:val="auto"/>
          <w:highlight w:val="none"/>
          <w:shd w:val="clear" w:color="auto" w:fill="auto"/>
        </w:rPr>
        <w:sym w:font="Wingdings 2" w:char="00A3"/>
      </w:r>
      <w:r>
        <w:rPr>
          <w:rFonts w:hint="eastAsia" w:hAnsi="宋体"/>
          <w:color w:val="auto"/>
          <w:highlight w:val="none"/>
          <w:shd w:val="clear" w:color="auto" w:fill="auto"/>
          <w:lang w:val="en-US" w:eastAsia="zh-CN"/>
        </w:rPr>
        <w:t>施工</w:t>
      </w:r>
      <w:r>
        <w:rPr>
          <w:rFonts w:hint="eastAsia" w:hAnsi="宋体"/>
          <w:color w:val="auto"/>
          <w:highlight w:val="none"/>
          <w:shd w:val="clear" w:color="auto" w:fill="auto"/>
        </w:rPr>
        <w:t>均由中标单位负责，其施工申请手续</w:t>
      </w:r>
      <w:r>
        <w:rPr>
          <w:rFonts w:hint="eastAsia" w:hAnsi="宋体"/>
          <w:color w:val="auto"/>
          <w:highlight w:val="none"/>
          <w:shd w:val="clear" w:color="auto" w:fill="auto"/>
          <w:lang w:val="en-US" w:eastAsia="zh-CN"/>
        </w:rPr>
        <w:t>费</w:t>
      </w:r>
      <w:r>
        <w:rPr>
          <w:rFonts w:hint="eastAsia" w:hAnsi="宋体"/>
          <w:color w:val="auto"/>
          <w:highlight w:val="none"/>
          <w:shd w:val="clear" w:color="auto" w:fill="auto"/>
        </w:rPr>
        <w:t>由中标单位负责办理及支付，</w:t>
      </w:r>
      <w:r>
        <w:rPr>
          <w:rFonts w:hint="eastAsia" w:hAnsi="宋体"/>
          <w:b/>
          <w:bCs/>
          <w:color w:val="auto"/>
          <w:highlight w:val="none"/>
          <w:shd w:val="clear" w:color="auto" w:fill="auto"/>
        </w:rPr>
        <w:t>其中</w:t>
      </w:r>
      <w:r>
        <w:rPr>
          <w:rFonts w:hint="eastAsia" w:hAnsi="宋体"/>
          <w:b/>
          <w:color w:val="auto"/>
          <w:highlight w:val="none"/>
          <w:shd w:val="clear" w:color="auto" w:fill="auto"/>
        </w:rPr>
        <w:t>通航河流封航、高速公路、铁路跨越</w:t>
      </w:r>
      <w:r>
        <w:rPr>
          <w:rFonts w:hint="eastAsia" w:hAnsi="宋体"/>
          <w:b/>
          <w:color w:val="auto"/>
          <w:highlight w:val="none"/>
          <w:shd w:val="clear" w:color="auto" w:fill="auto"/>
          <w:lang w:val="en-US" w:eastAsia="zh-CN"/>
        </w:rPr>
        <w:t>及</w:t>
      </w:r>
      <w:r>
        <w:rPr>
          <w:rFonts w:hint="eastAsia" w:hAnsi="宋体"/>
          <w:b/>
          <w:color w:val="auto"/>
          <w:highlight w:val="none"/>
          <w:shd w:val="clear" w:color="auto" w:fill="auto"/>
        </w:rPr>
        <w:t>措施费用</w:t>
      </w:r>
      <w:r>
        <w:rPr>
          <w:rFonts w:hint="eastAsia" w:hAnsi="宋体"/>
          <w:b/>
          <w:color w:val="auto"/>
          <w:highlight w:val="none"/>
          <w:shd w:val="clear" w:color="auto" w:fill="auto"/>
          <w:lang w:val="en-US" w:eastAsia="zh-CN"/>
        </w:rPr>
        <w:t>及手续费</w:t>
      </w:r>
      <w:r>
        <w:rPr>
          <w:rFonts w:hint="eastAsia" w:hAnsi="宋体"/>
          <w:b/>
          <w:color w:val="auto"/>
          <w:highlight w:val="none"/>
          <w:shd w:val="clear" w:color="auto" w:fill="auto"/>
        </w:rPr>
        <w:t>不计入投标报价，按实际发生的费用（经发包人确认）结算</w:t>
      </w:r>
      <w:r>
        <w:rPr>
          <w:rFonts w:hint="eastAsia" w:hAnsi="宋体"/>
          <w:color w:val="auto"/>
          <w:highlight w:val="none"/>
          <w:shd w:val="clear" w:color="auto" w:fill="auto"/>
          <w:lang w:eastAsia="zh-CN"/>
        </w:rPr>
        <w:t>。</w:t>
      </w:r>
    </w:p>
    <w:p>
      <w:pPr>
        <w:pStyle w:val="6"/>
        <w:spacing w:line="360" w:lineRule="auto"/>
        <w:ind w:firstLine="420" w:firstLineChars="200"/>
        <w:rPr>
          <w:rFonts w:hint="default" w:hAnsi="宋体"/>
          <w:bCs/>
          <w:color w:val="auto"/>
          <w:szCs w:val="21"/>
          <w:highlight w:val="none"/>
          <w:u w:val="single"/>
          <w:shd w:val="clear" w:color="auto" w:fill="auto"/>
          <w:lang w:val="en-US"/>
        </w:rPr>
      </w:pPr>
      <w:r>
        <w:rPr>
          <w:rFonts w:hint="eastAsia" w:hAnsi="宋体"/>
          <w:color w:val="auto"/>
          <w:highlight w:val="none"/>
          <w:shd w:val="clear" w:color="auto" w:fill="auto"/>
          <w:lang w:eastAsia="zh-CN"/>
        </w:rPr>
        <w:sym w:font="Wingdings 2" w:char="00A3"/>
      </w:r>
      <w:r>
        <w:rPr>
          <w:rFonts w:hint="eastAsia" w:hAnsi="宋体"/>
          <w:color w:val="auto"/>
          <w:highlight w:val="none"/>
          <w:shd w:val="clear" w:color="auto" w:fill="auto"/>
          <w:lang w:val="en-US" w:eastAsia="zh-CN"/>
        </w:rPr>
        <w:t>其他：</w:t>
      </w:r>
      <w:r>
        <w:rPr>
          <w:rFonts w:hint="eastAsia" w:hAnsi="宋体"/>
          <w:color w:val="auto"/>
          <w:highlight w:val="none"/>
          <w:u w:val="single"/>
          <w:shd w:val="clear" w:color="auto" w:fill="auto"/>
          <w:lang w:val="en-US" w:eastAsia="zh-CN"/>
        </w:rPr>
        <w:t xml:space="preserve">                                                      </w:t>
      </w:r>
    </w:p>
    <w:p>
      <w:pPr>
        <w:pStyle w:val="6"/>
        <w:spacing w:line="360" w:lineRule="auto"/>
        <w:ind w:firstLine="420" w:firstLineChars="200"/>
        <w:rPr>
          <w:rFonts w:hint="eastAsia" w:hAnsi="宋体" w:eastAsia="宋体"/>
          <w:color w:val="auto"/>
          <w:highlight w:val="none"/>
          <w:shd w:val="clear" w:color="auto" w:fill="auto"/>
          <w:lang w:val="en-US" w:eastAsia="zh-CN"/>
        </w:rPr>
      </w:pPr>
      <w:r>
        <w:rPr>
          <w:rFonts w:hint="eastAsia" w:hAnsi="宋体"/>
          <w:color w:val="auto"/>
          <w:highlight w:val="none"/>
          <w:shd w:val="clear" w:color="auto" w:fill="auto"/>
          <w:lang w:eastAsia="zh-CN"/>
        </w:rPr>
        <w:t>（</w:t>
      </w:r>
      <w:r>
        <w:rPr>
          <w:rFonts w:hint="eastAsia" w:hAnsi="宋体"/>
          <w:color w:val="auto"/>
          <w:highlight w:val="none"/>
          <w:shd w:val="clear" w:color="auto" w:fill="auto"/>
          <w:lang w:val="en-US" w:eastAsia="zh-CN"/>
        </w:rPr>
        <w:t>3</w:t>
      </w:r>
      <w:r>
        <w:rPr>
          <w:rFonts w:hint="eastAsia" w:hAnsi="宋体"/>
          <w:color w:val="auto"/>
          <w:highlight w:val="none"/>
          <w:shd w:val="clear" w:color="auto" w:fill="auto"/>
          <w:lang w:eastAsia="zh-CN"/>
        </w:rPr>
        <w:t>）</w:t>
      </w:r>
      <w:r>
        <w:rPr>
          <w:rFonts w:hint="eastAsia" w:hAnsi="宋体"/>
          <w:bCs/>
          <w:color w:val="auto"/>
          <w:szCs w:val="21"/>
          <w:highlight w:val="none"/>
          <w:shd w:val="clear" w:color="auto" w:fill="auto"/>
        </w:rPr>
        <w:t>耐张线夹</w:t>
      </w:r>
      <w:r>
        <w:rPr>
          <w:rFonts w:hAnsi="宋体"/>
          <w:bCs/>
          <w:color w:val="auto"/>
          <w:szCs w:val="21"/>
          <w:highlight w:val="none"/>
          <w:shd w:val="clear" w:color="auto" w:fill="auto"/>
        </w:rPr>
        <w:t>X</w:t>
      </w:r>
      <w:r>
        <w:rPr>
          <w:rFonts w:hint="eastAsia" w:hAnsi="宋体"/>
          <w:bCs/>
          <w:color w:val="auto"/>
          <w:szCs w:val="21"/>
          <w:highlight w:val="none"/>
          <w:shd w:val="clear" w:color="auto" w:fill="auto"/>
        </w:rPr>
        <w:t>光检测</w:t>
      </w:r>
      <w:r>
        <w:rPr>
          <w:rFonts w:hint="eastAsia" w:hAnsi="宋体"/>
          <w:bCs/>
          <w:color w:val="auto"/>
          <w:szCs w:val="21"/>
          <w:highlight w:val="none"/>
          <w:shd w:val="clear" w:color="auto" w:fill="auto"/>
          <w:lang w:eastAsia="zh-CN"/>
        </w:rPr>
        <w:t>：</w:t>
      </w:r>
    </w:p>
    <w:p>
      <w:pPr>
        <w:pStyle w:val="6"/>
        <w:spacing w:line="360" w:lineRule="auto"/>
        <w:ind w:firstLine="420" w:firstLineChars="200"/>
        <w:rPr>
          <w:rFonts w:hint="eastAsia" w:hAnsi="宋体"/>
          <w:color w:val="auto"/>
          <w:highlight w:val="none"/>
          <w:shd w:val="clear" w:color="auto" w:fill="auto"/>
        </w:rPr>
      </w:pPr>
      <w:r>
        <w:rPr>
          <w:rFonts w:hint="eastAsia" w:hAnsi="宋体" w:cs="宋体"/>
          <w:b w:val="0"/>
          <w:bCs w:val="0"/>
          <w:snapToGrid w:val="0"/>
          <w:color w:val="auto"/>
          <w:kern w:val="0"/>
          <w:sz w:val="21"/>
          <w:szCs w:val="21"/>
          <w:highlight w:val="none"/>
          <w:u w:val="none"/>
          <w:lang w:val="en-US" w:eastAsia="zh-CN"/>
        </w:rPr>
        <w:t>☑</w:t>
      </w:r>
      <w:r>
        <w:rPr>
          <w:rFonts w:hint="eastAsia" w:hAnsi="宋体" w:eastAsia="宋体" w:cs="宋体"/>
          <w:color w:val="auto"/>
          <w:highlight w:val="none"/>
          <w:shd w:val="clear" w:color="auto" w:fill="auto"/>
          <w:lang w:val="en-US" w:eastAsia="zh-CN"/>
        </w:rPr>
        <w:t>不包含</w:t>
      </w:r>
      <w:r>
        <w:rPr>
          <w:rFonts w:hint="eastAsia" w:hAnsi="宋体" w:eastAsia="宋体"/>
          <w:color w:val="auto"/>
          <w:highlight w:val="none"/>
          <w:shd w:val="clear" w:color="auto" w:fill="auto"/>
          <w:lang w:eastAsia="zh-CN"/>
        </w:rPr>
        <w:t>，</w:t>
      </w:r>
      <w:r>
        <w:rPr>
          <w:rFonts w:hAnsi="宋体"/>
          <w:bCs/>
          <w:color w:val="auto"/>
          <w:szCs w:val="21"/>
          <w:highlight w:val="none"/>
          <w:shd w:val="clear" w:color="auto" w:fill="auto"/>
        </w:rPr>
        <w:t>X</w:t>
      </w:r>
      <w:r>
        <w:rPr>
          <w:rFonts w:hint="eastAsia" w:hAnsi="宋体"/>
          <w:bCs/>
          <w:color w:val="auto"/>
          <w:szCs w:val="21"/>
          <w:highlight w:val="none"/>
          <w:shd w:val="clear" w:color="auto" w:fill="auto"/>
        </w:rPr>
        <w:t>光检测由</w:t>
      </w:r>
      <w:r>
        <w:rPr>
          <w:rFonts w:hint="eastAsia" w:hAnsi="宋体"/>
          <w:bCs/>
          <w:color w:val="auto"/>
          <w:szCs w:val="21"/>
          <w:highlight w:val="none"/>
          <w:shd w:val="clear" w:color="auto" w:fill="auto"/>
          <w:lang w:val="en-US" w:eastAsia="zh-CN"/>
        </w:rPr>
        <w:t>发包人</w:t>
      </w:r>
      <w:r>
        <w:rPr>
          <w:rFonts w:hint="eastAsia" w:hAnsi="宋体"/>
          <w:bCs/>
          <w:color w:val="auto"/>
          <w:szCs w:val="21"/>
          <w:highlight w:val="none"/>
          <w:shd w:val="clear" w:color="auto" w:fill="auto"/>
        </w:rPr>
        <w:t>委托第三方开展。</w:t>
      </w:r>
    </w:p>
    <w:p>
      <w:pPr>
        <w:pStyle w:val="6"/>
        <w:spacing w:line="360" w:lineRule="auto"/>
        <w:ind w:firstLine="420" w:firstLineChars="200"/>
        <w:rPr>
          <w:rFonts w:hint="default" w:hAnsi="宋体" w:eastAsia="宋体"/>
          <w:color w:val="auto"/>
          <w:szCs w:val="21"/>
          <w:highlight w:val="none"/>
          <w:shd w:val="clear" w:color="auto" w:fill="auto"/>
          <w:lang w:val="en-US" w:eastAsia="zh-CN"/>
        </w:rPr>
      </w:pPr>
      <w:r>
        <w:rPr>
          <w:rFonts w:hint="eastAsia" w:ascii="宋体" w:hAnsi="宋体" w:eastAsia="宋体" w:cs="宋体"/>
          <w:color w:val="auto"/>
          <w:highlight w:val="none"/>
          <w:shd w:val="clear" w:color="auto" w:fill="auto"/>
        </w:rPr>
        <w:sym w:font="Wingdings 2" w:char="00A3"/>
      </w:r>
      <w:r>
        <w:rPr>
          <w:rFonts w:hint="eastAsia" w:hAnsi="宋体" w:eastAsia="宋体" w:cs="宋体"/>
          <w:color w:val="auto"/>
          <w:highlight w:val="none"/>
          <w:shd w:val="clear" w:color="auto" w:fill="auto"/>
          <w:lang w:val="en-US" w:eastAsia="zh-CN"/>
        </w:rPr>
        <w:t>包含，</w:t>
      </w:r>
      <w:r>
        <w:rPr>
          <w:rFonts w:hAnsi="宋体"/>
          <w:bCs/>
          <w:color w:val="auto"/>
          <w:szCs w:val="21"/>
          <w:highlight w:val="none"/>
          <w:shd w:val="clear" w:color="auto" w:fill="auto"/>
        </w:rPr>
        <w:t>X</w:t>
      </w:r>
      <w:r>
        <w:rPr>
          <w:rFonts w:hint="eastAsia" w:hAnsi="宋体"/>
          <w:bCs/>
          <w:color w:val="auto"/>
          <w:szCs w:val="21"/>
          <w:highlight w:val="none"/>
          <w:shd w:val="clear" w:color="auto" w:fill="auto"/>
        </w:rPr>
        <w:t>光检测</w:t>
      </w:r>
      <w:r>
        <w:rPr>
          <w:rFonts w:hint="eastAsia" w:hAnsi="宋体"/>
          <w:bCs/>
          <w:color w:val="auto"/>
          <w:szCs w:val="21"/>
          <w:highlight w:val="none"/>
          <w:shd w:val="clear" w:color="auto" w:fill="auto"/>
          <w:lang w:val="en-US" w:eastAsia="zh-CN"/>
        </w:rPr>
        <w:t>由中标单位委托，</w:t>
      </w:r>
      <w:r>
        <w:rPr>
          <w:rFonts w:hint="eastAsia" w:hAnsi="宋体"/>
          <w:bCs/>
          <w:color w:val="auto"/>
          <w:szCs w:val="21"/>
          <w:highlight w:val="none"/>
          <w:shd w:val="clear" w:color="auto" w:fill="auto"/>
        </w:rPr>
        <w:t>投标人自行报价。</w:t>
      </w:r>
    </w:p>
    <w:p>
      <w:pPr>
        <w:pStyle w:val="6"/>
        <w:spacing w:line="360" w:lineRule="auto"/>
        <w:ind w:firstLine="420" w:firstLineChars="200"/>
        <w:rPr>
          <w:rFonts w:hAnsi="宋体"/>
          <w:color w:val="auto"/>
          <w:highlight w:val="none"/>
          <w:shd w:val="clear" w:color="auto" w:fill="auto"/>
        </w:rPr>
      </w:pPr>
      <w:r>
        <w:rPr>
          <w:rFonts w:hint="eastAsia" w:hAnsi="宋体"/>
          <w:color w:val="auto"/>
          <w:highlight w:val="none"/>
          <w:shd w:val="clear" w:color="auto" w:fill="auto"/>
        </w:rPr>
        <w:t>3.2.3.8电缆工程</w:t>
      </w:r>
      <w:r>
        <w:rPr>
          <w:rFonts w:hint="eastAsia" w:hAnsi="宋体"/>
          <w:color w:val="auto"/>
          <w:highlight w:val="none"/>
          <w:shd w:val="clear" w:color="auto" w:fill="auto"/>
          <w:lang w:eastAsia="zh-CN"/>
        </w:rPr>
        <w:t>（有□的项目，</w:t>
      </w:r>
      <w:r>
        <w:rPr>
          <w:rFonts w:hint="eastAsia" w:hAnsi="宋体"/>
          <w:color w:val="auto"/>
          <w:highlight w:val="none"/>
          <w:shd w:val="clear" w:color="auto" w:fill="auto"/>
          <w:lang w:val="en-US" w:eastAsia="zh-CN"/>
        </w:rPr>
        <w:t>按照</w:t>
      </w:r>
      <w:r>
        <w:rPr>
          <w:rFonts w:hint="eastAsia" w:hAnsi="宋体"/>
          <w:color w:val="auto"/>
          <w:highlight w:val="none"/>
          <w:shd w:val="clear" w:color="auto" w:fill="auto"/>
          <w:lang w:eastAsia="zh-CN"/>
        </w:rPr>
        <w:sym w:font="Wingdings 2" w:char="00A3"/>
      </w:r>
      <w:r>
        <w:rPr>
          <w:rFonts w:hint="eastAsia" w:hAnsi="宋体"/>
          <w:color w:val="auto"/>
          <w:highlight w:val="none"/>
          <w:shd w:val="clear" w:color="auto" w:fill="auto"/>
          <w:lang w:val="en-US" w:eastAsia="zh-CN"/>
        </w:rPr>
        <w:t>内</w:t>
      </w:r>
      <w:r>
        <w:rPr>
          <w:rFonts w:hint="eastAsia" w:hAnsi="宋体"/>
          <w:color w:val="auto"/>
          <w:highlight w:val="none"/>
          <w:shd w:val="clear" w:color="auto" w:fill="auto"/>
          <w:lang w:eastAsia="zh-CN"/>
        </w:rPr>
        <w:t>打√的</w:t>
      </w:r>
      <w:r>
        <w:rPr>
          <w:rFonts w:hint="eastAsia" w:hAnsi="宋体"/>
          <w:color w:val="auto"/>
          <w:highlight w:val="none"/>
          <w:shd w:val="clear" w:color="auto" w:fill="auto"/>
          <w:lang w:val="en-US" w:eastAsia="zh-CN"/>
        </w:rPr>
        <w:t>执行</w:t>
      </w:r>
      <w:r>
        <w:rPr>
          <w:rFonts w:hint="eastAsia" w:hAnsi="宋体"/>
          <w:color w:val="auto"/>
          <w:highlight w:val="none"/>
          <w:shd w:val="clear" w:color="auto" w:fill="auto"/>
          <w:lang w:eastAsia="zh-CN"/>
        </w:rPr>
        <w:t>）</w:t>
      </w:r>
      <w:r>
        <w:rPr>
          <w:rFonts w:hint="eastAsia" w:hAnsi="宋体"/>
          <w:color w:val="auto"/>
          <w:highlight w:val="none"/>
          <w:shd w:val="clear" w:color="auto" w:fill="auto"/>
        </w:rPr>
        <w:t>：</w:t>
      </w:r>
    </w:p>
    <w:p>
      <w:pPr>
        <w:pStyle w:val="6"/>
        <w:spacing w:line="360" w:lineRule="auto"/>
        <w:ind w:firstLine="420" w:firstLineChars="200"/>
        <w:rPr>
          <w:rFonts w:hAnsi="宋体"/>
          <w:color w:val="auto"/>
          <w:highlight w:val="none"/>
          <w:shd w:val="clear" w:color="auto" w:fill="auto"/>
        </w:rPr>
      </w:pPr>
      <w:r>
        <w:rPr>
          <w:rFonts w:hint="eastAsia" w:hAnsi="宋体" w:cs="宋体"/>
          <w:b w:val="0"/>
          <w:bCs w:val="0"/>
          <w:snapToGrid w:val="0"/>
          <w:color w:val="auto"/>
          <w:kern w:val="0"/>
          <w:sz w:val="21"/>
          <w:szCs w:val="21"/>
          <w:highlight w:val="none"/>
          <w:u w:val="none"/>
          <w:lang w:val="en-US" w:eastAsia="zh-CN"/>
        </w:rPr>
        <w:t>☑</w:t>
      </w:r>
      <w:r>
        <w:rPr>
          <w:rFonts w:hint="eastAsia" w:hAnsi="宋体"/>
          <w:color w:val="auto"/>
          <w:highlight w:val="none"/>
          <w:shd w:val="clear" w:color="auto" w:fill="auto"/>
        </w:rPr>
        <w:t>施工期间道路临时占用、路面破复、人行道修理、地下市政下水道水井、通信管道、旧电缆迁移、绿化树木赔偿等工作均由中标承包方负责完成；其中地下市政下水道水井、通信管道迁移费用不计入投标报价，</w:t>
      </w:r>
      <w:r>
        <w:rPr>
          <w:rFonts w:hint="eastAsia" w:hAnsi="宋体"/>
          <w:b/>
          <w:bCs/>
          <w:color w:val="auto"/>
          <w:highlight w:val="none"/>
          <w:shd w:val="clear" w:color="auto" w:fill="auto"/>
        </w:rPr>
        <w:t>按项目实际发生的费用（经发包人确认）结算</w:t>
      </w:r>
      <w:r>
        <w:rPr>
          <w:rFonts w:hint="eastAsia" w:hAnsi="宋体"/>
          <w:color w:val="auto"/>
          <w:highlight w:val="none"/>
          <w:shd w:val="clear" w:color="auto" w:fill="auto"/>
        </w:rPr>
        <w:t>。</w:t>
      </w:r>
    </w:p>
    <w:p>
      <w:pPr>
        <w:pStyle w:val="6"/>
        <w:spacing w:line="360" w:lineRule="auto"/>
        <w:ind w:firstLine="420" w:firstLineChars="200"/>
        <w:rPr>
          <w:rFonts w:hAnsi="宋体"/>
          <w:color w:val="auto"/>
          <w:highlight w:val="none"/>
          <w:shd w:val="clear" w:color="auto" w:fill="auto"/>
        </w:rPr>
      </w:pPr>
      <w:r>
        <w:rPr>
          <w:rFonts w:hint="eastAsia" w:hAnsi="宋体"/>
          <w:color w:val="auto"/>
          <w:highlight w:val="none"/>
          <w:shd w:val="clear" w:color="auto" w:fill="auto"/>
          <w:lang w:eastAsia="zh-CN"/>
        </w:rPr>
        <w:sym w:font="Wingdings 2" w:char="00A3"/>
      </w:r>
      <w:r>
        <w:rPr>
          <w:rFonts w:hint="eastAsia" w:hAnsi="宋体"/>
          <w:color w:val="auto"/>
          <w:highlight w:val="none"/>
          <w:shd w:val="clear" w:color="auto" w:fill="auto"/>
        </w:rPr>
        <w:t>施工期间道路临时占用、路面破复、人行道修理、地下市政下水道水井、通信管道、旧电缆迁移、绿化树木赔偿等工作均由中标承包方负责完成，上述工作如需发生费用</w:t>
      </w:r>
      <w:r>
        <w:rPr>
          <w:rFonts w:hint="eastAsia" w:hAnsi="宋体"/>
          <w:b/>
          <w:bCs/>
          <w:color w:val="auto"/>
          <w:highlight w:val="none"/>
          <w:shd w:val="clear" w:color="auto" w:fill="auto"/>
        </w:rPr>
        <w:t>，投标人应按现场情况及施工方案自行报价</w:t>
      </w:r>
      <w:r>
        <w:rPr>
          <w:rFonts w:hint="eastAsia" w:hAnsi="宋体"/>
          <w:color w:val="auto"/>
          <w:highlight w:val="none"/>
          <w:shd w:val="clear" w:color="auto" w:fill="auto"/>
        </w:rPr>
        <w:t>。</w:t>
      </w:r>
    </w:p>
    <w:p>
      <w:pPr>
        <w:pStyle w:val="6"/>
        <w:spacing w:line="360" w:lineRule="auto"/>
        <w:ind w:firstLine="420" w:firstLineChars="200"/>
        <w:rPr>
          <w:rFonts w:hint="default" w:ascii="宋体" w:hAnsi="宋体" w:eastAsia="宋体" w:cs="Times New Roman"/>
          <w:color w:val="auto"/>
          <w:highlight w:val="none"/>
          <w:u w:val="single"/>
          <w:shd w:val="clear" w:color="auto" w:fill="auto"/>
          <w:lang w:val="en-US" w:eastAsia="zh-CN"/>
        </w:rPr>
      </w:pPr>
      <w:r>
        <w:rPr>
          <w:rFonts w:hint="eastAsia" w:hAnsi="宋体" w:cs="宋体"/>
          <w:b w:val="0"/>
          <w:bCs w:val="0"/>
          <w:snapToGrid w:val="0"/>
          <w:color w:val="auto"/>
          <w:kern w:val="0"/>
          <w:sz w:val="21"/>
          <w:szCs w:val="21"/>
          <w:highlight w:val="none"/>
          <w:u w:val="none"/>
          <w:lang w:val="en-US" w:eastAsia="zh-CN"/>
        </w:rPr>
        <w:t>□</w:t>
      </w:r>
      <w:r>
        <w:rPr>
          <w:rFonts w:hint="eastAsia" w:hAnsi="宋体"/>
          <w:color w:val="auto"/>
          <w:highlight w:val="none"/>
          <w:shd w:val="clear" w:color="auto" w:fill="auto"/>
          <w:lang w:val="en-US" w:eastAsia="zh-CN"/>
        </w:rPr>
        <w:t>其他：</w:t>
      </w:r>
      <w:r>
        <w:rPr>
          <w:rFonts w:hint="eastAsia" w:hAnsi="宋体"/>
          <w:color w:val="auto"/>
          <w:highlight w:val="none"/>
          <w:u w:val="single"/>
          <w:shd w:val="clear" w:color="auto" w:fill="auto"/>
          <w:lang w:val="en-US" w:eastAsia="zh-CN"/>
        </w:rPr>
        <w:t xml:space="preserve">                </w:t>
      </w:r>
    </w:p>
    <w:p>
      <w:pPr>
        <w:pStyle w:val="6"/>
        <w:spacing w:line="360" w:lineRule="auto"/>
        <w:ind w:firstLine="420" w:firstLineChars="200"/>
        <w:rPr>
          <w:rFonts w:hAnsi="宋体"/>
          <w:color w:val="auto"/>
          <w:highlight w:val="none"/>
          <w:shd w:val="clear" w:color="auto" w:fill="auto"/>
        </w:rPr>
      </w:pPr>
      <w:r>
        <w:rPr>
          <w:rFonts w:hint="eastAsia" w:hAnsi="宋体"/>
          <w:color w:val="auto"/>
          <w:highlight w:val="none"/>
          <w:shd w:val="clear" w:color="auto" w:fill="auto"/>
        </w:rPr>
        <w:t>3.2.3.</w:t>
      </w:r>
      <w:r>
        <w:rPr>
          <w:rFonts w:hint="eastAsia" w:hAnsi="宋体"/>
          <w:color w:val="auto"/>
          <w:highlight w:val="none"/>
          <w:shd w:val="clear" w:color="auto" w:fill="auto"/>
          <w:lang w:val="en-US" w:eastAsia="zh-CN"/>
        </w:rPr>
        <w:t>9其他费用</w:t>
      </w:r>
      <w:r>
        <w:rPr>
          <w:rFonts w:hint="eastAsia" w:hAnsi="宋体"/>
          <w:color w:val="auto"/>
          <w:highlight w:val="none"/>
          <w:shd w:val="clear" w:color="auto" w:fill="auto"/>
          <w:lang w:eastAsia="zh-CN"/>
        </w:rPr>
        <w:t>（有</w:t>
      </w:r>
      <w:r>
        <w:rPr>
          <w:rFonts w:hint="eastAsia" w:hAnsi="宋体"/>
          <w:color w:val="auto"/>
          <w:highlight w:val="none"/>
          <w:shd w:val="clear" w:color="auto" w:fill="auto"/>
          <w:lang w:eastAsia="zh-CN"/>
        </w:rPr>
        <w:sym w:font="Wingdings 2" w:char="00A3"/>
      </w:r>
      <w:r>
        <w:rPr>
          <w:rFonts w:hint="eastAsia" w:hAnsi="宋体"/>
          <w:color w:val="auto"/>
          <w:highlight w:val="none"/>
          <w:shd w:val="clear" w:color="auto" w:fill="auto"/>
          <w:lang w:eastAsia="zh-CN"/>
        </w:rPr>
        <w:t>的项目，</w:t>
      </w:r>
      <w:r>
        <w:rPr>
          <w:rFonts w:hint="eastAsia" w:hAnsi="宋体"/>
          <w:color w:val="auto"/>
          <w:highlight w:val="none"/>
          <w:shd w:val="clear" w:color="auto" w:fill="auto"/>
          <w:lang w:val="en-US" w:eastAsia="zh-CN"/>
        </w:rPr>
        <w:t>按照</w:t>
      </w:r>
      <w:r>
        <w:rPr>
          <w:rFonts w:hint="eastAsia" w:hAnsi="宋体"/>
          <w:color w:val="auto"/>
          <w:highlight w:val="none"/>
          <w:shd w:val="clear" w:color="auto" w:fill="auto"/>
          <w:lang w:eastAsia="zh-CN"/>
        </w:rPr>
        <w:sym w:font="Wingdings 2" w:char="00A3"/>
      </w:r>
      <w:r>
        <w:rPr>
          <w:rFonts w:hint="eastAsia" w:hAnsi="宋体"/>
          <w:color w:val="auto"/>
          <w:highlight w:val="none"/>
          <w:shd w:val="clear" w:color="auto" w:fill="auto"/>
          <w:lang w:val="en-US" w:eastAsia="zh-CN"/>
        </w:rPr>
        <w:t>内</w:t>
      </w:r>
      <w:r>
        <w:rPr>
          <w:rFonts w:hint="eastAsia" w:hAnsi="宋体"/>
          <w:color w:val="auto"/>
          <w:highlight w:val="none"/>
          <w:shd w:val="clear" w:color="auto" w:fill="auto"/>
          <w:lang w:eastAsia="zh-CN"/>
        </w:rPr>
        <w:t>打√的</w:t>
      </w:r>
      <w:r>
        <w:rPr>
          <w:rFonts w:hint="eastAsia" w:hAnsi="宋体"/>
          <w:color w:val="auto"/>
          <w:highlight w:val="none"/>
          <w:shd w:val="clear" w:color="auto" w:fill="auto"/>
          <w:lang w:val="en-US" w:eastAsia="zh-CN"/>
        </w:rPr>
        <w:t>执行</w:t>
      </w:r>
      <w:r>
        <w:rPr>
          <w:rFonts w:hint="eastAsia" w:hAnsi="宋体"/>
          <w:color w:val="auto"/>
          <w:highlight w:val="none"/>
          <w:shd w:val="clear" w:color="auto" w:fill="auto"/>
          <w:lang w:eastAsia="zh-CN"/>
        </w:rPr>
        <w:t>）</w:t>
      </w:r>
      <w:r>
        <w:rPr>
          <w:rFonts w:hint="eastAsia" w:hAnsi="宋体"/>
          <w:color w:val="auto"/>
          <w:highlight w:val="none"/>
          <w:shd w:val="clear" w:color="auto" w:fill="auto"/>
          <w:lang w:val="en-US" w:eastAsia="zh-CN"/>
        </w:rPr>
        <w:t>：</w:t>
      </w:r>
    </w:p>
    <w:p>
      <w:pPr>
        <w:pStyle w:val="6"/>
        <w:spacing w:line="360" w:lineRule="auto"/>
        <w:ind w:firstLine="420" w:firstLineChars="200"/>
        <w:rPr>
          <w:rFonts w:hint="eastAsia" w:hAnsi="宋体" w:eastAsia="宋体"/>
          <w:b/>
          <w:bCs/>
          <w:color w:val="auto"/>
          <w:szCs w:val="21"/>
          <w:highlight w:val="none"/>
          <w:shd w:val="clear" w:color="auto" w:fill="auto"/>
          <w:lang w:eastAsia="zh-CN"/>
        </w:rPr>
      </w:pPr>
      <w:r>
        <w:rPr>
          <w:rFonts w:hint="eastAsia" w:hAnsi="宋体"/>
          <w:color w:val="auto"/>
          <w:highlight w:val="none"/>
          <w:shd w:val="clear" w:color="auto" w:fill="auto"/>
          <w:lang w:eastAsia="zh-CN"/>
        </w:rPr>
        <w:sym w:font="Wingdings 2" w:char="00A3"/>
      </w:r>
      <w:r>
        <w:rPr>
          <w:rFonts w:hint="eastAsia" w:hAnsi="宋体"/>
          <w:bCs/>
          <w:color w:val="auto"/>
          <w:szCs w:val="21"/>
          <w:highlight w:val="none"/>
          <w:shd w:val="clear" w:color="auto" w:fill="auto"/>
        </w:rPr>
        <w:t>工程建设场地征用及清理由</w:t>
      </w:r>
      <w:r>
        <w:rPr>
          <w:rFonts w:hint="eastAsia" w:hAnsi="宋体"/>
          <w:bCs/>
          <w:color w:val="auto"/>
          <w:szCs w:val="21"/>
          <w:highlight w:val="none"/>
          <w:shd w:val="clear" w:color="auto" w:fill="auto"/>
          <w:lang w:val="en-US" w:eastAsia="zh-CN"/>
        </w:rPr>
        <w:t>中标</w:t>
      </w:r>
      <w:r>
        <w:rPr>
          <w:rFonts w:hint="eastAsia" w:hAnsi="宋体"/>
          <w:bCs/>
          <w:color w:val="auto"/>
          <w:szCs w:val="21"/>
          <w:highlight w:val="none"/>
          <w:shd w:val="clear" w:color="auto" w:fill="auto"/>
        </w:rPr>
        <w:t>单位负责，包括塔基</w:t>
      </w:r>
      <w:r>
        <w:rPr>
          <w:rFonts w:hint="eastAsia" w:hAnsi="宋体"/>
          <w:bCs/>
          <w:color w:val="auto"/>
          <w:szCs w:val="21"/>
          <w:highlight w:val="none"/>
          <w:shd w:val="clear" w:color="auto" w:fill="auto"/>
          <w:lang w:val="en-US" w:eastAsia="zh-CN"/>
        </w:rPr>
        <w:t>永久占地补偿</w:t>
      </w:r>
      <w:r>
        <w:rPr>
          <w:rFonts w:hint="eastAsia" w:hAnsi="宋体"/>
          <w:bCs/>
          <w:color w:val="auto"/>
          <w:szCs w:val="21"/>
          <w:highlight w:val="none"/>
          <w:shd w:val="clear" w:color="auto" w:fill="auto"/>
        </w:rPr>
        <w:t>及青赔费用、</w:t>
      </w:r>
      <w:r>
        <w:rPr>
          <w:rFonts w:hint="eastAsia" w:ascii="宋体" w:hAnsi="宋体" w:cs="宋体"/>
          <w:color w:val="auto"/>
          <w:kern w:val="2"/>
          <w:highlight w:val="none"/>
          <w:shd w:val="clear" w:color="auto" w:fill="auto"/>
        </w:rPr>
        <w:t>送电</w:t>
      </w:r>
      <w:r>
        <w:rPr>
          <w:rFonts w:hint="eastAsia" w:hAnsi="宋体"/>
          <w:bCs/>
          <w:color w:val="auto"/>
          <w:szCs w:val="21"/>
          <w:highlight w:val="none"/>
          <w:shd w:val="clear" w:color="auto" w:fill="auto"/>
        </w:rPr>
        <w:t>线路通道林木砍伐赔偿费用和构、建筑物拆迁补偿等</w:t>
      </w:r>
      <w:r>
        <w:rPr>
          <w:rFonts w:hint="eastAsia" w:hAnsi="宋体"/>
          <w:color w:val="auto"/>
          <w:szCs w:val="21"/>
          <w:highlight w:val="none"/>
          <w:shd w:val="clear" w:color="auto" w:fill="auto"/>
        </w:rPr>
        <w:t>均由中标单位负责办理及支付</w:t>
      </w:r>
      <w:r>
        <w:rPr>
          <w:rFonts w:hint="eastAsia" w:hAnsi="宋体"/>
          <w:color w:val="auto"/>
          <w:szCs w:val="21"/>
          <w:highlight w:val="none"/>
          <w:shd w:val="clear" w:color="auto" w:fill="auto"/>
          <w:lang w:eastAsia="zh-CN"/>
        </w:rPr>
        <w:t>，</w:t>
      </w:r>
      <w:r>
        <w:rPr>
          <w:rFonts w:hint="eastAsia" w:hAnsi="宋体"/>
          <w:color w:val="auto"/>
          <w:highlight w:val="none"/>
          <w:shd w:val="clear" w:color="auto" w:fill="auto"/>
        </w:rPr>
        <w:t>费用不计入投标报价</w:t>
      </w:r>
      <w:r>
        <w:rPr>
          <w:rFonts w:hint="eastAsia" w:hAnsi="宋体"/>
          <w:color w:val="auto"/>
          <w:highlight w:val="none"/>
          <w:shd w:val="clear" w:color="auto" w:fill="auto"/>
          <w:lang w:eastAsia="zh-CN"/>
        </w:rPr>
        <w:t>，</w:t>
      </w:r>
      <w:r>
        <w:rPr>
          <w:rFonts w:hint="eastAsia" w:hAnsi="宋体"/>
          <w:b/>
          <w:bCs/>
          <w:color w:val="auto"/>
          <w:szCs w:val="21"/>
          <w:highlight w:val="none"/>
          <w:shd w:val="clear" w:color="auto" w:fill="auto"/>
        </w:rPr>
        <w:t>按项目实际发生的费用（经发包人确认）结算</w:t>
      </w:r>
      <w:r>
        <w:rPr>
          <w:rFonts w:hint="eastAsia" w:hAnsi="宋体"/>
          <w:b/>
          <w:bCs/>
          <w:color w:val="auto"/>
          <w:szCs w:val="21"/>
          <w:highlight w:val="none"/>
          <w:shd w:val="clear" w:color="auto" w:fill="auto"/>
          <w:lang w:eastAsia="zh-CN"/>
        </w:rPr>
        <w:t>。</w:t>
      </w:r>
    </w:p>
    <w:p>
      <w:pPr>
        <w:pStyle w:val="6"/>
        <w:spacing w:line="360" w:lineRule="auto"/>
        <w:ind w:firstLine="420" w:firstLineChars="200"/>
        <w:rPr>
          <w:rFonts w:hint="eastAsia" w:hAnsi="宋体"/>
          <w:bCs/>
          <w:color w:val="auto"/>
          <w:szCs w:val="21"/>
          <w:highlight w:val="none"/>
          <w:shd w:val="clear" w:color="auto" w:fill="auto"/>
        </w:rPr>
      </w:pPr>
      <w:r>
        <w:rPr>
          <w:rFonts w:hint="eastAsia" w:hAnsi="宋体"/>
          <w:color w:val="auto"/>
          <w:highlight w:val="none"/>
          <w:shd w:val="clear" w:color="auto" w:fill="auto"/>
          <w:lang w:eastAsia="zh-CN"/>
        </w:rPr>
        <w:sym w:font="Wingdings 2" w:char="00A3"/>
      </w:r>
      <w:r>
        <w:rPr>
          <w:rFonts w:hint="eastAsia" w:hAnsi="宋体"/>
          <w:bCs/>
          <w:color w:val="auto"/>
          <w:szCs w:val="21"/>
          <w:highlight w:val="none"/>
          <w:shd w:val="clear" w:color="auto" w:fill="auto"/>
        </w:rPr>
        <w:t>工程建设场地征用及清理由</w:t>
      </w:r>
      <w:r>
        <w:rPr>
          <w:rFonts w:hint="eastAsia" w:hAnsi="宋体"/>
          <w:bCs/>
          <w:color w:val="auto"/>
          <w:szCs w:val="21"/>
          <w:highlight w:val="none"/>
          <w:shd w:val="clear" w:color="auto" w:fill="auto"/>
          <w:lang w:val="en-US" w:eastAsia="zh-CN"/>
        </w:rPr>
        <w:t>中标</w:t>
      </w:r>
      <w:r>
        <w:rPr>
          <w:rFonts w:hint="eastAsia" w:hAnsi="宋体"/>
          <w:bCs/>
          <w:color w:val="auto"/>
          <w:szCs w:val="21"/>
          <w:highlight w:val="none"/>
          <w:shd w:val="clear" w:color="auto" w:fill="auto"/>
        </w:rPr>
        <w:t>单位负责，包括塔基</w:t>
      </w:r>
      <w:r>
        <w:rPr>
          <w:rFonts w:hint="eastAsia" w:hAnsi="宋体"/>
          <w:bCs/>
          <w:color w:val="auto"/>
          <w:szCs w:val="21"/>
          <w:highlight w:val="none"/>
          <w:shd w:val="clear" w:color="auto" w:fill="auto"/>
          <w:lang w:val="en-US" w:eastAsia="zh-CN"/>
        </w:rPr>
        <w:t>永久占地补偿</w:t>
      </w:r>
      <w:r>
        <w:rPr>
          <w:rFonts w:hint="eastAsia" w:hAnsi="宋体"/>
          <w:bCs/>
          <w:color w:val="auto"/>
          <w:szCs w:val="21"/>
          <w:highlight w:val="none"/>
          <w:shd w:val="clear" w:color="auto" w:fill="auto"/>
        </w:rPr>
        <w:t>及青赔费用、</w:t>
      </w:r>
      <w:r>
        <w:rPr>
          <w:rFonts w:hint="eastAsia" w:ascii="宋体" w:hAnsi="宋体" w:cs="宋体"/>
          <w:color w:val="auto"/>
          <w:kern w:val="2"/>
          <w:highlight w:val="none"/>
          <w:shd w:val="clear" w:color="auto" w:fill="auto"/>
        </w:rPr>
        <w:t>送电</w:t>
      </w:r>
      <w:r>
        <w:rPr>
          <w:rFonts w:hint="eastAsia" w:hAnsi="宋体"/>
          <w:bCs/>
          <w:color w:val="auto"/>
          <w:szCs w:val="21"/>
          <w:highlight w:val="none"/>
          <w:shd w:val="clear" w:color="auto" w:fill="auto"/>
        </w:rPr>
        <w:t>线路通道林木砍伐赔偿费用和构、建筑物拆迁补偿等</w:t>
      </w:r>
      <w:r>
        <w:rPr>
          <w:rFonts w:hint="eastAsia" w:hAnsi="宋体"/>
          <w:color w:val="auto"/>
          <w:szCs w:val="21"/>
          <w:highlight w:val="none"/>
          <w:shd w:val="clear" w:color="auto" w:fill="auto"/>
        </w:rPr>
        <w:t>由</w:t>
      </w:r>
      <w:r>
        <w:rPr>
          <w:rFonts w:hint="eastAsia" w:hAnsi="宋体"/>
          <w:color w:val="auto"/>
          <w:szCs w:val="21"/>
          <w:highlight w:val="none"/>
          <w:shd w:val="clear" w:color="auto" w:fill="auto"/>
          <w:lang w:val="en-US" w:eastAsia="zh-CN"/>
        </w:rPr>
        <w:t>中标单位</w:t>
      </w:r>
      <w:r>
        <w:rPr>
          <w:rFonts w:hint="eastAsia" w:hAnsi="宋体"/>
          <w:color w:val="auto"/>
          <w:szCs w:val="21"/>
          <w:highlight w:val="none"/>
          <w:shd w:val="clear" w:color="auto" w:fill="auto"/>
        </w:rPr>
        <w:t>负责办理及支付</w:t>
      </w:r>
      <w:r>
        <w:rPr>
          <w:rFonts w:hint="eastAsia" w:hAnsi="宋体"/>
          <w:color w:val="auto"/>
          <w:szCs w:val="21"/>
          <w:highlight w:val="none"/>
          <w:shd w:val="clear" w:color="auto" w:fill="auto"/>
          <w:lang w:eastAsia="zh-CN"/>
        </w:rPr>
        <w:t>，</w:t>
      </w:r>
      <w:r>
        <w:rPr>
          <w:rFonts w:hint="eastAsia" w:hAnsi="宋体"/>
          <w:b/>
          <w:bCs/>
          <w:color w:val="auto"/>
          <w:szCs w:val="21"/>
          <w:highlight w:val="none"/>
          <w:shd w:val="clear" w:color="auto" w:fill="auto"/>
          <w:lang w:val="en-US" w:eastAsia="zh-CN"/>
        </w:rPr>
        <w:t>相关费用</w:t>
      </w:r>
      <w:r>
        <w:rPr>
          <w:rFonts w:hint="eastAsia" w:ascii="宋体" w:hAnsi="宋体" w:cs="宋体"/>
          <w:b/>
          <w:bCs/>
          <w:color w:val="auto"/>
          <w:kern w:val="2"/>
          <w:highlight w:val="none"/>
          <w:shd w:val="clear" w:color="auto" w:fill="auto"/>
        </w:rPr>
        <w:t>由投标人自行测定</w:t>
      </w:r>
      <w:r>
        <w:rPr>
          <w:rFonts w:hint="eastAsia" w:hAnsi="宋体"/>
          <w:b/>
          <w:bCs/>
          <w:color w:val="auto"/>
          <w:szCs w:val="21"/>
          <w:highlight w:val="none"/>
          <w:shd w:val="clear" w:color="auto" w:fill="auto"/>
          <w:lang w:val="en-US" w:eastAsia="zh-CN"/>
        </w:rPr>
        <w:t>计入投标报价</w:t>
      </w:r>
      <w:r>
        <w:rPr>
          <w:rFonts w:hint="eastAsia" w:hAnsi="宋体"/>
          <w:bCs/>
          <w:color w:val="auto"/>
          <w:szCs w:val="21"/>
          <w:highlight w:val="none"/>
          <w:shd w:val="clear" w:color="auto" w:fill="auto"/>
        </w:rPr>
        <w:t>。</w:t>
      </w:r>
    </w:p>
    <w:p>
      <w:pPr>
        <w:pStyle w:val="6"/>
        <w:spacing w:line="360" w:lineRule="auto"/>
        <w:ind w:firstLine="420" w:firstLineChars="200"/>
        <w:rPr>
          <w:rFonts w:hint="eastAsia" w:hAnsi="宋体"/>
          <w:bCs/>
          <w:color w:val="auto"/>
          <w:szCs w:val="21"/>
          <w:highlight w:val="none"/>
          <w:shd w:val="clear" w:color="auto" w:fill="auto"/>
        </w:rPr>
      </w:pPr>
      <w:r>
        <w:rPr>
          <w:rFonts w:hint="eastAsia" w:hAnsi="宋体"/>
          <w:color w:val="auto"/>
          <w:highlight w:val="none"/>
          <w:shd w:val="clear" w:color="auto" w:fill="auto"/>
          <w:lang w:eastAsia="zh-CN"/>
        </w:rPr>
        <w:sym w:font="Wingdings 2" w:char="00A3"/>
      </w:r>
      <w:r>
        <w:rPr>
          <w:rFonts w:hint="eastAsia" w:hAnsi="宋体"/>
          <w:bCs/>
          <w:color w:val="auto"/>
          <w:szCs w:val="21"/>
          <w:highlight w:val="none"/>
          <w:shd w:val="clear" w:color="auto" w:fill="auto"/>
        </w:rPr>
        <w:t>工程建设场地征用及清理由</w:t>
      </w:r>
      <w:r>
        <w:rPr>
          <w:rFonts w:hint="eastAsia" w:hAnsi="宋体"/>
          <w:bCs/>
          <w:color w:val="auto"/>
          <w:szCs w:val="21"/>
          <w:highlight w:val="none"/>
          <w:shd w:val="clear" w:color="auto" w:fill="auto"/>
          <w:lang w:val="en-US" w:eastAsia="zh-CN"/>
        </w:rPr>
        <w:t>发包人</w:t>
      </w:r>
      <w:r>
        <w:rPr>
          <w:rFonts w:hint="eastAsia" w:hAnsi="宋体"/>
          <w:bCs/>
          <w:color w:val="auto"/>
          <w:szCs w:val="21"/>
          <w:highlight w:val="none"/>
          <w:shd w:val="clear" w:color="auto" w:fill="auto"/>
        </w:rPr>
        <w:t>负责，包括塔基</w:t>
      </w:r>
      <w:r>
        <w:rPr>
          <w:rFonts w:hint="eastAsia" w:hAnsi="宋体"/>
          <w:bCs/>
          <w:color w:val="auto"/>
          <w:szCs w:val="21"/>
          <w:highlight w:val="none"/>
          <w:shd w:val="clear" w:color="auto" w:fill="auto"/>
          <w:lang w:val="en-US" w:eastAsia="zh-CN"/>
        </w:rPr>
        <w:t>永久占地补偿</w:t>
      </w:r>
      <w:r>
        <w:rPr>
          <w:rFonts w:hint="eastAsia" w:hAnsi="宋体"/>
          <w:bCs/>
          <w:color w:val="auto"/>
          <w:szCs w:val="21"/>
          <w:highlight w:val="none"/>
          <w:shd w:val="clear" w:color="auto" w:fill="auto"/>
        </w:rPr>
        <w:t>及青赔费用、</w:t>
      </w:r>
      <w:r>
        <w:rPr>
          <w:rFonts w:hint="eastAsia" w:ascii="宋体" w:hAnsi="宋体" w:cs="宋体"/>
          <w:color w:val="auto"/>
          <w:kern w:val="2"/>
          <w:highlight w:val="none"/>
          <w:shd w:val="clear" w:color="auto" w:fill="auto"/>
        </w:rPr>
        <w:t>送电</w:t>
      </w:r>
      <w:r>
        <w:rPr>
          <w:rFonts w:hint="eastAsia" w:hAnsi="宋体"/>
          <w:bCs/>
          <w:color w:val="auto"/>
          <w:szCs w:val="21"/>
          <w:highlight w:val="none"/>
          <w:shd w:val="clear" w:color="auto" w:fill="auto"/>
        </w:rPr>
        <w:t>线路通道林木砍伐赔偿费用和构、建筑物拆迁补偿等</w:t>
      </w:r>
      <w:r>
        <w:rPr>
          <w:rFonts w:hint="eastAsia" w:hAnsi="宋体"/>
          <w:color w:val="auto"/>
          <w:szCs w:val="21"/>
          <w:highlight w:val="none"/>
          <w:shd w:val="clear" w:color="auto" w:fill="auto"/>
        </w:rPr>
        <w:t>由</w:t>
      </w:r>
      <w:r>
        <w:rPr>
          <w:rFonts w:hint="eastAsia" w:hAnsi="宋体"/>
          <w:color w:val="auto"/>
          <w:szCs w:val="21"/>
          <w:highlight w:val="none"/>
          <w:shd w:val="clear" w:color="auto" w:fill="auto"/>
          <w:lang w:val="en-US" w:eastAsia="zh-CN"/>
        </w:rPr>
        <w:t>发包人</w:t>
      </w:r>
      <w:r>
        <w:rPr>
          <w:rFonts w:hint="eastAsia" w:hAnsi="宋体"/>
          <w:color w:val="auto"/>
          <w:szCs w:val="21"/>
          <w:highlight w:val="none"/>
          <w:shd w:val="clear" w:color="auto" w:fill="auto"/>
        </w:rPr>
        <w:t>负责办理及支付</w:t>
      </w:r>
      <w:r>
        <w:rPr>
          <w:rFonts w:hint="eastAsia" w:hAnsi="宋体"/>
          <w:bCs/>
          <w:color w:val="auto"/>
          <w:szCs w:val="21"/>
          <w:highlight w:val="none"/>
          <w:shd w:val="clear" w:color="auto" w:fill="auto"/>
        </w:rPr>
        <w:t>。</w:t>
      </w:r>
    </w:p>
    <w:p>
      <w:pPr>
        <w:pStyle w:val="6"/>
        <w:spacing w:line="360" w:lineRule="auto"/>
        <w:ind w:firstLine="420" w:firstLineChars="200"/>
        <w:rPr>
          <w:rFonts w:hint="default" w:hAnsi="宋体"/>
          <w:bCs/>
          <w:color w:val="auto"/>
          <w:szCs w:val="21"/>
          <w:highlight w:val="none"/>
          <w:u w:val="single"/>
          <w:shd w:val="clear" w:color="auto" w:fill="auto"/>
          <w:lang w:val="en-US"/>
        </w:rPr>
      </w:pPr>
      <w:r>
        <w:rPr>
          <w:rFonts w:hint="eastAsia" w:hAnsi="宋体"/>
          <w:color w:val="auto"/>
          <w:highlight w:val="none"/>
          <w:shd w:val="clear" w:color="auto" w:fill="auto"/>
          <w:lang w:eastAsia="zh-CN"/>
        </w:rPr>
        <w:sym w:font="Wingdings 2" w:char="00A3"/>
      </w:r>
      <w:r>
        <w:rPr>
          <w:rFonts w:hint="eastAsia" w:hAnsi="宋体"/>
          <w:color w:val="auto"/>
          <w:highlight w:val="none"/>
          <w:shd w:val="clear" w:color="auto" w:fill="auto"/>
          <w:lang w:val="en-US" w:eastAsia="zh-CN"/>
        </w:rPr>
        <w:t>其他：</w:t>
      </w:r>
      <w:r>
        <w:rPr>
          <w:rFonts w:hint="eastAsia" w:hAnsi="宋体"/>
          <w:color w:val="auto"/>
          <w:highlight w:val="none"/>
          <w:u w:val="single"/>
          <w:shd w:val="clear" w:color="auto" w:fill="auto"/>
          <w:lang w:val="en-US" w:eastAsia="zh-CN"/>
        </w:rPr>
        <w:t xml:space="preserve">                                                                    </w:t>
      </w:r>
    </w:p>
    <w:p>
      <w:pPr>
        <w:pStyle w:val="6"/>
        <w:spacing w:line="360" w:lineRule="auto"/>
        <w:ind w:firstLine="420" w:firstLineChars="200"/>
        <w:rPr>
          <w:rFonts w:hint="eastAsia" w:hAnsi="宋体"/>
          <w:color w:val="auto"/>
          <w:highlight w:val="none"/>
        </w:rPr>
      </w:pPr>
      <w:r>
        <w:rPr>
          <w:rFonts w:hint="eastAsia" w:hAnsi="宋体"/>
          <w:color w:val="auto"/>
          <w:highlight w:val="none"/>
        </w:rPr>
        <w:t>3.2.3.</w:t>
      </w:r>
      <w:r>
        <w:rPr>
          <w:rFonts w:hint="eastAsia" w:hAnsi="宋体"/>
          <w:color w:val="auto"/>
          <w:highlight w:val="none"/>
          <w:lang w:val="en-US" w:eastAsia="zh-CN"/>
        </w:rPr>
        <w:t>10</w:t>
      </w:r>
      <w:r>
        <w:rPr>
          <w:rFonts w:hint="eastAsia" w:hAnsi="宋体"/>
          <w:color w:val="auto"/>
          <w:highlight w:val="none"/>
        </w:rPr>
        <w:t>架空线路工程的临时施工用地由发包人根据施工场地标准工作面提供；超出施工场地标准工作面（含牵张场地）的租用及其青苗赔偿费用由中标单位承担。现场安全文明施工措施不足导致的前期青赔费用的增加或引发的其他经济纠纷均由中标单位承担。具体标准规范详见《广州供电局输变电项目前期补偿工作业务说明书（暂行）》。</w:t>
      </w:r>
    </w:p>
    <w:p>
      <w:pPr>
        <w:pStyle w:val="6"/>
        <w:spacing w:line="360" w:lineRule="auto"/>
        <w:ind w:firstLine="420" w:firstLineChars="200"/>
        <w:rPr>
          <w:rFonts w:hint="eastAsia" w:hAnsi="宋体"/>
          <w:color w:val="auto"/>
          <w:highlight w:val="none"/>
        </w:rPr>
      </w:pPr>
      <w:r>
        <w:rPr>
          <w:rFonts w:hint="eastAsia" w:hAnsi="宋体"/>
          <w:color w:val="auto"/>
          <w:highlight w:val="none"/>
        </w:rPr>
        <w:t>3.2.3.</w:t>
      </w:r>
      <w:r>
        <w:rPr>
          <w:rFonts w:hint="eastAsia" w:hAnsi="宋体"/>
          <w:color w:val="auto"/>
          <w:highlight w:val="none"/>
          <w:lang w:val="en-US" w:eastAsia="zh-CN"/>
        </w:rPr>
        <w:t>11</w:t>
      </w:r>
      <w:r>
        <w:rPr>
          <w:rFonts w:hint="eastAsia" w:hAnsi="宋体"/>
          <w:color w:val="auto"/>
          <w:highlight w:val="none"/>
        </w:rPr>
        <w:t>与当地城规、市政、园林、交警、城监、公路等部门联系办理施工许可手续，均由中标单位负责办理，上述工作如需发生费用（如行政许可、市政收费等有收费文件规定的费用），由建设单位负责。</w:t>
      </w:r>
    </w:p>
    <w:p>
      <w:pPr>
        <w:pStyle w:val="6"/>
        <w:spacing w:line="360" w:lineRule="auto"/>
        <w:ind w:firstLine="420" w:firstLineChars="200"/>
        <w:rPr>
          <w:rFonts w:hint="eastAsia" w:hAnsi="宋体"/>
          <w:color w:val="auto"/>
          <w:highlight w:val="none"/>
        </w:rPr>
      </w:pPr>
      <w:r>
        <w:rPr>
          <w:rFonts w:hint="eastAsia" w:hAnsi="宋体"/>
          <w:color w:val="auto"/>
          <w:highlight w:val="none"/>
        </w:rPr>
        <w:t>3.2.3.</w:t>
      </w:r>
      <w:r>
        <w:rPr>
          <w:rFonts w:hint="eastAsia" w:hAnsi="宋体"/>
          <w:color w:val="auto"/>
          <w:highlight w:val="none"/>
          <w:lang w:val="en-US" w:eastAsia="zh-CN"/>
        </w:rPr>
        <w:t>12</w:t>
      </w:r>
      <w:r>
        <w:rPr>
          <w:rFonts w:hint="eastAsia" w:hAnsi="宋体"/>
          <w:color w:val="auto"/>
          <w:highlight w:val="none"/>
        </w:rPr>
        <w:t>工程建设过程中，中标单位对外的交涉与纠纷，以及所造成的损失，除招标书中有明确规定者外，均由中标单位自行解决。如确需建设单位进行协调时，协调解决问题所发生的一切费用仍由中标单位承担。</w:t>
      </w:r>
    </w:p>
    <w:p>
      <w:pPr>
        <w:pStyle w:val="6"/>
        <w:spacing w:line="360" w:lineRule="auto"/>
        <w:ind w:firstLine="420" w:firstLineChars="200"/>
        <w:rPr>
          <w:rFonts w:hint="eastAsia" w:hAnsi="宋体"/>
          <w:color w:val="auto"/>
          <w:highlight w:val="none"/>
        </w:rPr>
      </w:pPr>
      <w:r>
        <w:rPr>
          <w:rFonts w:hint="eastAsia" w:hAnsi="宋体"/>
          <w:color w:val="auto"/>
          <w:highlight w:val="none"/>
        </w:rPr>
        <w:t>3.2.3.1</w:t>
      </w:r>
      <w:r>
        <w:rPr>
          <w:rFonts w:hint="eastAsia" w:hAnsi="宋体"/>
          <w:color w:val="auto"/>
          <w:highlight w:val="none"/>
          <w:lang w:val="en-US" w:eastAsia="zh-CN"/>
        </w:rPr>
        <w:t>3</w:t>
      </w:r>
      <w:r>
        <w:rPr>
          <w:rFonts w:hint="eastAsia" w:hAnsi="宋体"/>
          <w:color w:val="auto"/>
          <w:highlight w:val="none"/>
        </w:rPr>
        <w:t>请在报价文件中考虑包括但不限于以下项目，费用应含在总报价中：</w:t>
      </w:r>
    </w:p>
    <w:p>
      <w:pPr>
        <w:pStyle w:val="6"/>
        <w:spacing w:line="360" w:lineRule="auto"/>
        <w:ind w:firstLine="420" w:firstLineChars="200"/>
        <w:rPr>
          <w:rFonts w:hint="eastAsia" w:hAnsi="宋体"/>
          <w:color w:val="auto"/>
          <w:highlight w:val="none"/>
        </w:rPr>
      </w:pPr>
      <w:r>
        <w:rPr>
          <w:rFonts w:hint="eastAsia" w:hAnsi="宋体"/>
          <w:color w:val="auto"/>
          <w:highlight w:val="none"/>
        </w:rPr>
        <w:t>①投标人自行调查设备、材料、机具等市场情况，并自行承担相应的市场风险责任；</w:t>
      </w:r>
    </w:p>
    <w:p>
      <w:pPr>
        <w:pStyle w:val="6"/>
        <w:spacing w:line="360" w:lineRule="auto"/>
        <w:ind w:firstLine="420" w:firstLineChars="200"/>
        <w:rPr>
          <w:rFonts w:hint="eastAsia" w:hAnsi="宋体"/>
          <w:color w:val="auto"/>
          <w:highlight w:val="none"/>
        </w:rPr>
      </w:pPr>
      <w:r>
        <w:rPr>
          <w:rFonts w:hint="eastAsia" w:hAnsi="宋体"/>
          <w:color w:val="auto"/>
          <w:highlight w:val="none"/>
        </w:rPr>
        <w:t>②按南网项目管理和质量实体样板要求所需相应的措施费；</w:t>
      </w:r>
    </w:p>
    <w:p>
      <w:pPr>
        <w:pStyle w:val="6"/>
        <w:spacing w:line="360" w:lineRule="auto"/>
        <w:ind w:firstLine="420" w:firstLineChars="200"/>
        <w:rPr>
          <w:rFonts w:hint="eastAsia" w:hAnsi="宋体"/>
          <w:color w:val="auto"/>
          <w:highlight w:val="none"/>
        </w:rPr>
      </w:pPr>
      <w:r>
        <w:rPr>
          <w:rFonts w:hint="eastAsia" w:hAnsi="宋体"/>
          <w:color w:val="auto"/>
          <w:highlight w:val="none"/>
        </w:rPr>
        <w:t>③全面开展标准建设工作；</w:t>
      </w:r>
    </w:p>
    <w:p>
      <w:pPr>
        <w:pStyle w:val="6"/>
        <w:spacing w:line="360" w:lineRule="auto"/>
        <w:ind w:firstLine="420" w:firstLineChars="200"/>
        <w:rPr>
          <w:rFonts w:hint="eastAsia" w:hAnsi="宋体"/>
          <w:color w:val="auto"/>
          <w:highlight w:val="none"/>
        </w:rPr>
      </w:pPr>
      <w:r>
        <w:rPr>
          <w:rFonts w:hint="eastAsia" w:hAnsi="宋体"/>
          <w:color w:val="auto"/>
          <w:highlight w:val="none"/>
        </w:rPr>
        <w:t>④道路通行及维护、场地移交、场地物资堆放及二次倒运等工作；</w:t>
      </w:r>
    </w:p>
    <w:p>
      <w:pPr>
        <w:pStyle w:val="6"/>
        <w:spacing w:line="360" w:lineRule="auto"/>
        <w:ind w:firstLine="420" w:firstLineChars="200"/>
        <w:rPr>
          <w:rFonts w:hint="eastAsia" w:hAnsi="宋体"/>
          <w:color w:val="auto"/>
          <w:highlight w:val="none"/>
        </w:rPr>
      </w:pPr>
      <w:r>
        <w:rPr>
          <w:rFonts w:hint="eastAsia" w:hAnsi="宋体"/>
          <w:color w:val="auto"/>
          <w:highlight w:val="none"/>
        </w:rPr>
        <w:t>⑤施工期间国家政策调整（含行业计价标准调整）和物价指数变化的影响；</w:t>
      </w:r>
    </w:p>
    <w:p>
      <w:pPr>
        <w:pStyle w:val="6"/>
        <w:spacing w:line="360" w:lineRule="auto"/>
        <w:ind w:firstLine="420" w:firstLineChars="200"/>
        <w:rPr>
          <w:rFonts w:hint="eastAsia" w:hAnsi="宋体"/>
          <w:color w:val="auto"/>
          <w:highlight w:val="none"/>
        </w:rPr>
      </w:pPr>
      <w:r>
        <w:rPr>
          <w:rFonts w:hint="eastAsia" w:hAnsi="宋体"/>
          <w:color w:val="auto"/>
          <w:highlight w:val="none"/>
        </w:rPr>
        <w:t>⑥施工期间做好水土保持工作，负责施工废弃物、噪音及扬尘污染、道路通行及损毁修补、强夯、爆破等对周边居民生产生活及建构筑物的影响处理，负责协调和处理此类施工问题造成的纠纷、阻工等；</w:t>
      </w:r>
    </w:p>
    <w:p>
      <w:pPr>
        <w:pStyle w:val="6"/>
        <w:spacing w:line="360" w:lineRule="auto"/>
        <w:ind w:firstLine="420" w:firstLineChars="200"/>
        <w:rPr>
          <w:rFonts w:hint="eastAsia" w:hAnsi="宋体"/>
          <w:color w:val="auto"/>
          <w:highlight w:val="none"/>
        </w:rPr>
      </w:pPr>
      <w:r>
        <w:rPr>
          <w:rFonts w:hint="eastAsia" w:hAnsi="宋体"/>
          <w:color w:val="auto"/>
          <w:highlight w:val="none"/>
        </w:rPr>
        <w:t>⑦施工现场照明，采用节能照明灯具的比率大于80％；</w:t>
      </w:r>
    </w:p>
    <w:p>
      <w:pPr>
        <w:pStyle w:val="6"/>
        <w:spacing w:line="360" w:lineRule="auto"/>
        <w:ind w:firstLine="420" w:firstLineChars="200"/>
        <w:rPr>
          <w:rFonts w:hint="eastAsia" w:hAnsi="宋体"/>
          <w:color w:val="auto"/>
          <w:highlight w:val="none"/>
        </w:rPr>
      </w:pPr>
      <w:r>
        <w:rPr>
          <w:rFonts w:hint="eastAsia" w:hAnsi="宋体"/>
          <w:color w:val="auto"/>
          <w:highlight w:val="none"/>
        </w:rPr>
        <w:t>⑧地方政府向承包人收取的相关费用；</w:t>
      </w:r>
    </w:p>
    <w:p>
      <w:pPr>
        <w:pStyle w:val="6"/>
        <w:spacing w:line="360" w:lineRule="auto"/>
        <w:ind w:firstLine="420" w:firstLineChars="200"/>
        <w:rPr>
          <w:rFonts w:hint="eastAsia" w:hAnsi="宋体"/>
          <w:color w:val="auto"/>
          <w:highlight w:val="none"/>
        </w:rPr>
      </w:pPr>
      <w:r>
        <w:rPr>
          <w:rFonts w:hint="eastAsia" w:hAnsi="宋体"/>
          <w:color w:val="auto"/>
          <w:highlight w:val="none"/>
        </w:rPr>
        <w:t>⑨现场办公临建建设，承包人支付有关的用水、用电、通信、排污等费用，并负责维护工作，并在建设单位要求时负责拆除、及恢复场地；</w:t>
      </w:r>
    </w:p>
    <w:p>
      <w:pPr>
        <w:pStyle w:val="6"/>
        <w:spacing w:line="360" w:lineRule="auto"/>
        <w:ind w:firstLine="420" w:firstLineChars="200"/>
        <w:rPr>
          <w:rFonts w:hint="eastAsia" w:hAnsi="宋体"/>
          <w:color w:val="auto"/>
          <w:highlight w:val="none"/>
        </w:rPr>
      </w:pPr>
      <w:r>
        <w:rPr>
          <w:rFonts w:hint="eastAsia" w:hAnsi="宋体"/>
          <w:color w:val="auto"/>
          <w:highlight w:val="none"/>
        </w:rPr>
        <w:t>⑩负责投产或移交前工程实体等相关维护工作；</w:t>
      </w:r>
    </w:p>
    <w:p>
      <w:pPr>
        <w:pStyle w:val="6"/>
        <w:spacing w:line="360" w:lineRule="auto"/>
        <w:ind w:firstLine="420" w:firstLineChars="200"/>
        <w:rPr>
          <w:rFonts w:hint="eastAsia" w:hAnsi="宋体"/>
          <w:color w:val="auto"/>
          <w:highlight w:val="none"/>
        </w:rPr>
      </w:pPr>
      <w:r>
        <w:rPr>
          <w:rFonts w:hint="eastAsia" w:hAnsi="宋体"/>
          <w:color w:val="auto"/>
          <w:highlight w:val="none"/>
        </w:rPr>
        <w:t xml:space="preserve">⑪配合建设单位各类检查、检测、监测、验收、评审、协调、评优、安风体系建设等工作； </w:t>
      </w:r>
    </w:p>
    <w:p>
      <w:pPr>
        <w:pStyle w:val="6"/>
        <w:spacing w:line="360" w:lineRule="auto"/>
        <w:ind w:firstLine="420" w:firstLineChars="200"/>
        <w:rPr>
          <w:rFonts w:hint="eastAsia" w:hAnsi="宋体"/>
          <w:color w:val="auto"/>
          <w:highlight w:val="none"/>
        </w:rPr>
      </w:pPr>
      <w:r>
        <w:rPr>
          <w:rFonts w:hint="eastAsia" w:hAnsi="宋体"/>
          <w:color w:val="auto"/>
          <w:highlight w:val="none"/>
        </w:rPr>
        <w:t>⑫竣工验收前办理并提供相关行政主管部门出具的无欠薪证明、无重大安全事故证明等材料；</w:t>
      </w:r>
    </w:p>
    <w:p>
      <w:pPr>
        <w:pStyle w:val="6"/>
        <w:spacing w:line="360" w:lineRule="auto"/>
        <w:ind w:firstLine="420" w:firstLineChars="200"/>
        <w:rPr>
          <w:rFonts w:hint="eastAsia" w:hAnsi="宋体"/>
          <w:color w:val="auto"/>
          <w:highlight w:val="none"/>
        </w:rPr>
      </w:pPr>
      <w:r>
        <w:rPr>
          <w:rFonts w:hint="eastAsia" w:hAnsi="宋体"/>
          <w:color w:val="auto"/>
          <w:highlight w:val="none"/>
        </w:rPr>
        <w:t>⑬自行考虑冬、雨季施工措施费用和影响；</w:t>
      </w:r>
    </w:p>
    <w:p>
      <w:pPr>
        <w:pStyle w:val="6"/>
        <w:spacing w:line="360" w:lineRule="auto"/>
        <w:ind w:firstLine="420" w:firstLineChars="200"/>
        <w:rPr>
          <w:rFonts w:hint="eastAsia" w:hAnsi="宋体"/>
          <w:color w:val="auto"/>
          <w:highlight w:val="none"/>
        </w:rPr>
      </w:pPr>
      <w:r>
        <w:rPr>
          <w:rFonts w:hint="eastAsia" w:hAnsi="宋体"/>
          <w:color w:val="auto"/>
          <w:highlight w:val="none"/>
        </w:rPr>
        <w:t>⑭及时应用和填报南网基建一体化信息系统；</w:t>
      </w:r>
    </w:p>
    <w:p>
      <w:pPr>
        <w:pStyle w:val="6"/>
        <w:spacing w:line="360" w:lineRule="auto"/>
        <w:ind w:firstLine="420" w:firstLineChars="200"/>
        <w:rPr>
          <w:rFonts w:hint="default" w:hAnsi="宋体"/>
          <w:bCs/>
          <w:color w:val="auto"/>
          <w:szCs w:val="21"/>
          <w:highlight w:val="none"/>
          <w:u w:val="single"/>
          <w:shd w:val="clear" w:color="auto" w:fill="auto"/>
          <w:lang w:val="en-US"/>
        </w:rPr>
      </w:pPr>
      <w:r>
        <w:rPr>
          <w:rFonts w:hint="eastAsia" w:hAnsi="宋体"/>
          <w:color w:val="auto"/>
          <w:highlight w:val="none"/>
          <w:lang w:val="en-US" w:eastAsia="zh-CN"/>
        </w:rPr>
        <w:t>⑮其他在</w:t>
      </w:r>
      <w:r>
        <w:rPr>
          <w:rFonts w:hint="eastAsia" w:hAnsi="宋体"/>
          <w:color w:val="auto"/>
          <w:highlight w:val="none"/>
        </w:rPr>
        <w:t>图纸</w:t>
      </w:r>
      <w:r>
        <w:rPr>
          <w:rFonts w:hint="eastAsia" w:hAnsi="宋体"/>
          <w:color w:val="auto"/>
          <w:highlight w:val="none"/>
          <w:lang w:val="en-US" w:eastAsia="zh-CN"/>
        </w:rPr>
        <w:t>中</w:t>
      </w:r>
      <w:r>
        <w:rPr>
          <w:rFonts w:hint="eastAsia" w:hAnsi="宋体"/>
          <w:color w:val="auto"/>
          <w:highlight w:val="none"/>
        </w:rPr>
        <w:t>未列项或描述，但根据招标文件和合同要求应由投标人负责的工作。</w:t>
      </w:r>
    </w:p>
    <w:p>
      <w:pPr>
        <w:rPr>
          <w:rFonts w:hint="eastAsia" w:ascii="宋体" w:hAnsi="宋体"/>
          <w:b/>
          <w:iCs/>
          <w:color w:val="auto"/>
          <w:kern w:val="0"/>
          <w:sz w:val="28"/>
          <w:szCs w:val="28"/>
          <w:highlight w:val="none"/>
          <w:shd w:val="clear" w:color="auto" w:fill="auto"/>
        </w:rPr>
      </w:pPr>
      <w:r>
        <w:rPr>
          <w:rFonts w:hint="eastAsia" w:ascii="宋体" w:hAnsi="宋体"/>
          <w:b/>
          <w:iCs/>
          <w:color w:val="auto"/>
          <w:kern w:val="0"/>
          <w:sz w:val="28"/>
          <w:szCs w:val="28"/>
          <w:highlight w:val="none"/>
          <w:shd w:val="clear" w:color="auto" w:fill="auto"/>
        </w:rPr>
        <w:br w:type="page"/>
      </w:r>
    </w:p>
    <w:p>
      <w:pPr>
        <w:spacing w:line="360" w:lineRule="auto"/>
        <w:outlineLvl w:val="1"/>
        <w:rPr>
          <w:rFonts w:ascii="宋体" w:hAnsi="宋体" w:eastAsia="宋体"/>
          <w:iCs/>
          <w:color w:val="auto"/>
          <w:szCs w:val="28"/>
          <w:highlight w:val="none"/>
          <w:shd w:val="clear" w:color="auto" w:fill="auto"/>
        </w:rPr>
      </w:pPr>
      <w:r>
        <w:rPr>
          <w:rFonts w:hint="eastAsia" w:ascii="宋体" w:hAnsi="宋体"/>
          <w:b/>
          <w:iCs/>
          <w:color w:val="auto"/>
          <w:kern w:val="0"/>
          <w:sz w:val="28"/>
          <w:szCs w:val="28"/>
          <w:highlight w:val="none"/>
          <w:shd w:val="clear" w:color="auto" w:fill="auto"/>
        </w:rPr>
        <w:t>二、合同文本</w:t>
      </w:r>
      <w:r>
        <w:rPr>
          <w:rFonts w:hint="eastAsia" w:ascii="宋体" w:hAnsi="宋体"/>
          <w:b/>
          <w:iCs/>
          <w:color w:val="auto"/>
          <w:kern w:val="0"/>
          <w:sz w:val="28"/>
          <w:szCs w:val="28"/>
          <w:highlight w:val="none"/>
          <w:shd w:val="clear" w:color="auto" w:fill="auto"/>
          <w:lang w:val="en-US" w:eastAsia="zh-CN"/>
        </w:rPr>
        <w:t>条款</w:t>
      </w:r>
      <w:r>
        <w:rPr>
          <w:rFonts w:hint="eastAsia" w:ascii="宋体" w:hAnsi="宋体"/>
          <w:b/>
          <w:iCs/>
          <w:color w:val="auto"/>
          <w:kern w:val="0"/>
          <w:sz w:val="28"/>
          <w:szCs w:val="28"/>
          <w:highlight w:val="none"/>
          <w:shd w:val="clear" w:color="auto" w:fill="auto"/>
        </w:rPr>
        <w:t>差异说明</w:t>
      </w:r>
    </w:p>
    <w:p>
      <w:pPr>
        <w:pStyle w:val="13"/>
        <w:spacing w:after="0"/>
        <w:ind w:left="0" w:leftChars="0" w:firstLine="482" w:firstLineChars="200"/>
        <w:jc w:val="center"/>
        <w:rPr>
          <w:rFonts w:hint="eastAsia" w:ascii="宋体"/>
          <w:color w:val="auto"/>
          <w:sz w:val="24"/>
          <w:szCs w:val="24"/>
          <w:highlight w:val="none"/>
        </w:rPr>
      </w:pPr>
      <w:r>
        <w:rPr>
          <w:rFonts w:hint="eastAsia" w:ascii="宋体"/>
          <w:color w:val="auto"/>
          <w:sz w:val="24"/>
          <w:szCs w:val="24"/>
          <w:highlight w:val="none"/>
        </w:rPr>
        <w:t>第一节 合同协议书</w:t>
      </w:r>
    </w:p>
    <w:p>
      <w:pPr>
        <w:pStyle w:val="13"/>
        <w:spacing w:after="0"/>
        <w:ind w:left="0" w:leftChars="0" w:firstLine="422" w:firstLineChars="200"/>
        <w:rPr>
          <w:rFonts w:ascii="宋体"/>
          <w:color w:val="auto"/>
          <w:highlight w:val="none"/>
        </w:rPr>
      </w:pPr>
      <w:r>
        <w:rPr>
          <w:rFonts w:hint="eastAsia" w:ascii="宋体"/>
          <w:color w:val="auto"/>
          <w:highlight w:val="none"/>
        </w:rPr>
        <w:t>替换以下内容</w:t>
      </w:r>
      <w:r>
        <w:rPr>
          <w:rFonts w:hint="eastAsia" w:ascii="宋体"/>
          <w:color w:val="auto"/>
          <w:highlight w:val="none"/>
          <w:lang w:eastAsia="zh-CN"/>
        </w:rPr>
        <w:t>到</w:t>
      </w:r>
      <w:r>
        <w:rPr>
          <w:rFonts w:hint="eastAsia" w:ascii="宋体"/>
          <w:color w:val="auto"/>
          <w:highlight w:val="none"/>
        </w:rPr>
        <w:t>第</w:t>
      </w:r>
      <w:r>
        <w:rPr>
          <w:rFonts w:hint="eastAsia" w:ascii="宋体"/>
          <w:color w:val="auto"/>
          <w:highlight w:val="none"/>
          <w:lang w:val="en-US" w:eastAsia="zh-CN"/>
        </w:rPr>
        <w:t>6</w:t>
      </w:r>
      <w:r>
        <w:rPr>
          <w:rFonts w:hint="eastAsia" w:ascii="宋体"/>
          <w:color w:val="auto"/>
          <w:highlight w:val="none"/>
        </w:rPr>
        <w:t>款：</w:t>
      </w:r>
    </w:p>
    <w:p>
      <w:pPr>
        <w:pStyle w:val="13"/>
        <w:spacing w:after="0"/>
        <w:ind w:left="0" w:leftChars="0" w:firstLine="422" w:firstLineChars="200"/>
        <w:rPr>
          <w:rFonts w:ascii="宋体"/>
          <w:color w:val="auto"/>
          <w:highlight w:val="none"/>
        </w:rPr>
      </w:pPr>
      <w:r>
        <w:rPr>
          <w:rFonts w:ascii="宋体"/>
          <w:color w:val="auto"/>
          <w:highlight w:val="none"/>
        </w:rPr>
        <w:t>6</w:t>
      </w:r>
      <w:r>
        <w:rPr>
          <w:rFonts w:hint="eastAsia" w:ascii="宋体"/>
          <w:color w:val="auto"/>
          <w:highlight w:val="none"/>
        </w:rPr>
        <w:t xml:space="preserve"> 合同价格及支付条件</w:t>
      </w:r>
    </w:p>
    <w:p>
      <w:pPr>
        <w:tabs>
          <w:tab w:val="left" w:pos="0"/>
        </w:tabs>
        <w:spacing w:after="120" w:line="360" w:lineRule="auto"/>
        <w:ind w:firstLine="420" w:firstLineChars="200"/>
        <w:rPr>
          <w:rFonts w:ascii="宋体" w:hAnsi="宋体" w:cs="宋体"/>
          <w:color w:val="auto"/>
          <w:szCs w:val="21"/>
          <w:highlight w:val="none"/>
        </w:rPr>
      </w:pPr>
      <w:r>
        <w:rPr>
          <w:rFonts w:ascii="宋体" w:hAnsi="宋体"/>
          <w:color w:val="auto"/>
          <w:szCs w:val="21"/>
          <w:highlight w:val="none"/>
        </w:rPr>
        <w:t>6</w:t>
      </w:r>
      <w:r>
        <w:rPr>
          <w:rFonts w:hint="eastAsia" w:ascii="宋体" w:hAnsi="宋体"/>
          <w:color w:val="auto"/>
          <w:szCs w:val="21"/>
          <w:highlight w:val="none"/>
        </w:rPr>
        <w:t>.1 合同总价为人民币（大写）【  】（</w:t>
      </w:r>
      <w:r>
        <w:rPr>
          <w:rFonts w:ascii="宋体" w:hAnsi="宋体"/>
          <w:color w:val="auto"/>
          <w:szCs w:val="21"/>
          <w:highlight w:val="none"/>
        </w:rPr>
        <w:t>¥</w:t>
      </w:r>
      <w:r>
        <w:rPr>
          <w:rFonts w:hint="eastAsia" w:ascii="宋体" w:hAnsi="宋体"/>
          <w:color w:val="auto"/>
          <w:szCs w:val="21"/>
          <w:highlight w:val="none"/>
        </w:rPr>
        <w:t>【   】元)（含税），其中，不含税价人民币¥【     】（大写【     】)，增值税税率【     】。其中安全文明施工费含税价人民币（大写）</w:t>
      </w:r>
      <w:r>
        <w:rPr>
          <w:rFonts w:hint="eastAsia" w:hAnsi="宋体"/>
          <w:color w:val="auto"/>
          <w:szCs w:val="21"/>
          <w:highlight w:val="none"/>
        </w:rPr>
        <w:t xml:space="preserve">【   </w:t>
      </w:r>
      <w:r>
        <w:rPr>
          <w:rFonts w:hAnsi="宋体"/>
          <w:color w:val="auto"/>
          <w:szCs w:val="21"/>
          <w:highlight w:val="none"/>
        </w:rPr>
        <w:t xml:space="preserve">              </w:t>
      </w:r>
      <w:r>
        <w:rPr>
          <w:rFonts w:hint="eastAsia" w:hAnsi="宋体"/>
          <w:color w:val="auto"/>
          <w:szCs w:val="21"/>
          <w:highlight w:val="none"/>
        </w:rPr>
        <w:t xml:space="preserve"> 】</w:t>
      </w:r>
      <w:r>
        <w:rPr>
          <w:rFonts w:hint="eastAsia" w:ascii="宋体" w:hAnsi="宋体"/>
          <w:color w:val="auto"/>
          <w:szCs w:val="21"/>
          <w:highlight w:val="none"/>
        </w:rPr>
        <w:t>（</w:t>
      </w:r>
      <w:r>
        <w:rPr>
          <w:rFonts w:ascii="宋体" w:hAnsi="宋体"/>
          <w:color w:val="auto"/>
          <w:szCs w:val="21"/>
          <w:highlight w:val="none"/>
        </w:rPr>
        <w:t>¥</w:t>
      </w:r>
      <w:r>
        <w:rPr>
          <w:rFonts w:hint="eastAsia" w:hAnsi="宋体"/>
          <w:color w:val="auto"/>
          <w:szCs w:val="21"/>
          <w:highlight w:val="none"/>
        </w:rPr>
        <w:t xml:space="preserve">【   </w:t>
      </w:r>
      <w:r>
        <w:rPr>
          <w:rFonts w:hAnsi="宋体"/>
          <w:color w:val="auto"/>
          <w:szCs w:val="21"/>
          <w:highlight w:val="none"/>
        </w:rPr>
        <w:t xml:space="preserve"> </w:t>
      </w:r>
      <w:r>
        <w:rPr>
          <w:rFonts w:hint="eastAsia" w:hAnsi="宋体"/>
          <w:color w:val="auto"/>
          <w:szCs w:val="21"/>
          <w:highlight w:val="none"/>
        </w:rPr>
        <w:t xml:space="preserve"> 】</w:t>
      </w:r>
      <w:r>
        <w:rPr>
          <w:rFonts w:hint="eastAsia" w:ascii="宋体" w:hAnsi="宋体"/>
          <w:color w:val="auto"/>
          <w:szCs w:val="21"/>
          <w:highlight w:val="none"/>
        </w:rPr>
        <w:t>元）。当合同约定的税率与国家税法规定及税务机关认定的税率不一致时，以国家税法规定及税务机关认定的税率为准进行调整，调整时以不含税价为基准，执行国家法规规定及税务机关规定的税率。</w:t>
      </w:r>
    </w:p>
    <w:p>
      <w:pPr>
        <w:pStyle w:val="13"/>
        <w:spacing w:after="0"/>
        <w:ind w:left="0" w:leftChars="0" w:firstLine="482" w:firstLineChars="200"/>
        <w:jc w:val="center"/>
        <w:rPr>
          <w:rFonts w:hint="eastAsia" w:ascii="宋体"/>
          <w:color w:val="auto"/>
          <w:sz w:val="24"/>
          <w:szCs w:val="24"/>
          <w:highlight w:val="none"/>
        </w:rPr>
      </w:pPr>
      <w:r>
        <w:rPr>
          <w:rFonts w:hint="eastAsia" w:ascii="宋体"/>
          <w:color w:val="auto"/>
          <w:sz w:val="24"/>
          <w:szCs w:val="24"/>
          <w:highlight w:val="none"/>
        </w:rPr>
        <w:t>第三节 专用合同条款</w:t>
      </w:r>
    </w:p>
    <w:p>
      <w:pPr>
        <w:pStyle w:val="13"/>
        <w:spacing w:after="0"/>
        <w:ind w:left="0" w:leftChars="0" w:firstLine="422" w:firstLineChars="200"/>
        <w:jc w:val="both"/>
        <w:rPr>
          <w:rFonts w:hint="eastAsia" w:ascii="宋体" w:eastAsia="宋体"/>
          <w:color w:val="auto"/>
          <w:szCs w:val="24"/>
          <w:highlight w:val="none"/>
          <w:shd w:val="clear" w:color="auto" w:fill="auto"/>
          <w:lang w:val="en-US" w:eastAsia="zh-CN"/>
        </w:rPr>
      </w:pPr>
      <w:r>
        <w:rPr>
          <w:rFonts w:hint="eastAsia" w:ascii="宋体" w:eastAsia="宋体"/>
          <w:color w:val="auto"/>
          <w:szCs w:val="24"/>
          <w:highlight w:val="none"/>
          <w:shd w:val="clear" w:color="auto" w:fill="auto"/>
          <w:lang w:val="en-US" w:eastAsia="zh-CN"/>
        </w:rPr>
        <w:t>1. 一般约定</w:t>
      </w:r>
    </w:p>
    <w:p>
      <w:pPr>
        <w:pStyle w:val="13"/>
        <w:spacing w:after="0"/>
        <w:ind w:left="0" w:leftChars="0" w:firstLine="422" w:firstLineChars="200"/>
        <w:jc w:val="both"/>
        <w:rPr>
          <w:rFonts w:hint="eastAsia" w:ascii="宋体" w:eastAsia="宋体"/>
          <w:color w:val="auto"/>
          <w:szCs w:val="24"/>
          <w:highlight w:val="none"/>
          <w:shd w:val="clear" w:color="auto" w:fill="auto"/>
          <w:lang w:val="en-US" w:eastAsia="zh-CN"/>
        </w:rPr>
      </w:pPr>
      <w:r>
        <w:rPr>
          <w:rFonts w:hint="eastAsia" w:ascii="宋体" w:eastAsia="宋体"/>
          <w:color w:val="auto"/>
          <w:szCs w:val="24"/>
          <w:highlight w:val="none"/>
          <w:shd w:val="clear" w:color="auto" w:fill="auto"/>
          <w:lang w:val="en-US" w:eastAsia="zh-CN"/>
        </w:rPr>
        <w:t>1.1 定义</w:t>
      </w:r>
    </w:p>
    <w:p>
      <w:pPr>
        <w:pStyle w:val="5"/>
        <w:spacing w:after="0" w:line="360" w:lineRule="auto"/>
        <w:ind w:left="0" w:leftChars="0" w:firstLine="422" w:firstLineChars="200"/>
        <w:rPr>
          <w:rFonts w:hint="eastAsia" w:ascii="宋体" w:hAnsi="宋体"/>
          <w:b/>
          <w:bCs/>
          <w:color w:val="auto"/>
          <w:szCs w:val="21"/>
          <w:highlight w:val="none"/>
        </w:rPr>
      </w:pPr>
      <w:r>
        <w:rPr>
          <w:rFonts w:hint="eastAsia" w:ascii="宋体" w:hAnsi="宋体"/>
          <w:b/>
          <w:bCs/>
          <w:color w:val="auto"/>
          <w:szCs w:val="21"/>
          <w:highlight w:val="none"/>
        </w:rPr>
        <w:t>增加以下内容到1.1.2款：</w:t>
      </w:r>
    </w:p>
    <w:p>
      <w:pPr>
        <w:pStyle w:val="5"/>
        <w:spacing w:after="0" w:line="360" w:lineRule="auto"/>
        <w:ind w:left="0" w:leftChars="0" w:firstLine="420" w:firstLineChars="200"/>
        <w:rPr>
          <w:rFonts w:hint="eastAsia" w:ascii="宋体" w:hAnsi="宋体"/>
          <w:color w:val="auto"/>
          <w:szCs w:val="21"/>
          <w:highlight w:val="none"/>
        </w:rPr>
      </w:pPr>
      <w:r>
        <w:rPr>
          <w:rFonts w:hint="eastAsia" w:ascii="宋体" w:hAnsi="宋体"/>
          <w:color w:val="auto"/>
          <w:szCs w:val="21"/>
          <w:highlight w:val="none"/>
        </w:rPr>
        <w:t>1.1.2.1</w:t>
      </w:r>
      <w:r>
        <w:rPr>
          <w:rFonts w:hint="eastAsia" w:ascii="宋体" w:hAnsi="宋体"/>
          <w:color w:val="auto"/>
          <w:szCs w:val="21"/>
          <w:highlight w:val="none"/>
          <w:lang w:val="en-US" w:eastAsia="zh-CN"/>
        </w:rPr>
        <w:t>7</w:t>
      </w:r>
      <w:r>
        <w:rPr>
          <w:rFonts w:hint="eastAsia" w:ascii="宋体" w:hAnsi="宋体"/>
          <w:color w:val="auto"/>
          <w:szCs w:val="21"/>
          <w:highlight w:val="none"/>
        </w:rPr>
        <w:t>“农民工”指为承包人及分包单位提供劳动的农村居民。</w:t>
      </w:r>
    </w:p>
    <w:p>
      <w:pPr>
        <w:pStyle w:val="5"/>
        <w:spacing w:after="0" w:line="360" w:lineRule="auto"/>
        <w:ind w:left="0" w:leftChars="0" w:firstLine="420" w:firstLineChars="200"/>
        <w:rPr>
          <w:rFonts w:hint="default" w:ascii="宋体" w:hAnsi="宋体" w:eastAsia="宋体"/>
          <w:color w:val="auto"/>
          <w:szCs w:val="21"/>
          <w:highlight w:val="none"/>
          <w:lang w:val="en-US" w:eastAsia="zh-CN"/>
        </w:rPr>
      </w:pPr>
      <w:r>
        <w:rPr>
          <w:rFonts w:hint="eastAsia" w:ascii="宋体" w:hAnsi="宋体"/>
          <w:color w:val="auto"/>
          <w:szCs w:val="21"/>
          <w:highlight w:val="none"/>
          <w:lang w:val="en-US" w:eastAsia="zh-CN"/>
        </w:rPr>
        <w:t>1.1.2.18“农民工工资支付保证金”指承包人在银行设立账户并按照工程施工合同额的一定比例存储，专项用于支付为所承包工程提供劳动的农民工被拖欠工资的专项资金。</w:t>
      </w:r>
    </w:p>
    <w:p>
      <w:pPr>
        <w:pStyle w:val="5"/>
        <w:spacing w:after="0" w:line="360" w:lineRule="auto"/>
        <w:ind w:left="0" w:leftChars="0" w:firstLine="420" w:firstLineChars="200"/>
        <w:rPr>
          <w:rFonts w:hint="eastAsia" w:ascii="宋体" w:hAnsi="宋体"/>
          <w:color w:val="auto"/>
          <w:szCs w:val="21"/>
          <w:highlight w:val="none"/>
        </w:rPr>
      </w:pPr>
      <w:r>
        <w:rPr>
          <w:rFonts w:hint="eastAsia" w:ascii="宋体" w:hAnsi="宋体"/>
          <w:color w:val="auto"/>
          <w:szCs w:val="21"/>
          <w:highlight w:val="none"/>
        </w:rPr>
        <w:t>1.1.2.1</w:t>
      </w:r>
      <w:r>
        <w:rPr>
          <w:rFonts w:hint="eastAsia" w:ascii="宋体" w:hAnsi="宋体"/>
          <w:color w:val="auto"/>
          <w:szCs w:val="21"/>
          <w:highlight w:val="none"/>
          <w:lang w:val="en-US" w:eastAsia="zh-CN"/>
        </w:rPr>
        <w:t>9</w:t>
      </w:r>
      <w:r>
        <w:rPr>
          <w:rFonts w:hint="eastAsia" w:ascii="宋体" w:hAnsi="宋体"/>
          <w:color w:val="auto"/>
          <w:szCs w:val="21"/>
          <w:highlight w:val="none"/>
        </w:rPr>
        <w:t>“工程款支付担保”指为保证履行合同约定的工程款支付义务，由担保人为建设单位向施工单位提供的保证支付工程款的担保。</w:t>
      </w:r>
    </w:p>
    <w:p>
      <w:pPr>
        <w:pStyle w:val="5"/>
        <w:spacing w:after="0" w:line="360" w:lineRule="auto"/>
        <w:ind w:left="0" w:leftChars="0" w:firstLine="422" w:firstLineChars="200"/>
        <w:rPr>
          <w:rFonts w:hint="eastAsia" w:ascii="宋体" w:hAnsi="宋体"/>
          <w:b/>
          <w:bCs/>
          <w:color w:val="auto"/>
          <w:szCs w:val="21"/>
          <w:highlight w:val="none"/>
        </w:rPr>
      </w:pPr>
      <w:r>
        <w:rPr>
          <w:rFonts w:hint="eastAsia" w:ascii="宋体" w:hAnsi="宋体"/>
          <w:b/>
          <w:bCs/>
          <w:color w:val="auto"/>
          <w:szCs w:val="21"/>
          <w:highlight w:val="none"/>
        </w:rPr>
        <w:t>增加以下内容到1.1.5.9款：</w:t>
      </w:r>
    </w:p>
    <w:p>
      <w:pPr>
        <w:pStyle w:val="5"/>
        <w:spacing w:after="0" w:line="360" w:lineRule="auto"/>
        <w:ind w:left="0" w:leftChars="0" w:firstLine="420" w:firstLineChars="200"/>
        <w:rPr>
          <w:rFonts w:ascii="宋体" w:hAnsi="宋体"/>
          <w:color w:val="auto"/>
          <w:szCs w:val="21"/>
          <w:highlight w:val="none"/>
        </w:rPr>
      </w:pPr>
      <w:r>
        <w:rPr>
          <w:rFonts w:hint="eastAsia" w:ascii="宋体" w:hAnsi="宋体"/>
          <w:color w:val="auto"/>
          <w:szCs w:val="21"/>
          <w:highlight w:val="none"/>
        </w:rPr>
        <w:t>永久占地：指专用合同条款中指明为实施合同工程需永久占用的土地，包括但不限于：红线范围内的占用地、塔基以及极址中心（如有）、电缆沟、井（导流井、观测井等）占地等。</w:t>
      </w:r>
    </w:p>
    <w:p>
      <w:pPr>
        <w:pStyle w:val="5"/>
        <w:spacing w:after="0" w:line="360" w:lineRule="auto"/>
        <w:ind w:left="0" w:leftChars="0" w:firstLine="420" w:firstLineChars="200"/>
        <w:rPr>
          <w:rFonts w:hint="eastAsia" w:ascii="宋体" w:hAnsi="宋体"/>
          <w:color w:val="auto"/>
          <w:szCs w:val="21"/>
          <w:highlight w:val="none"/>
        </w:rPr>
      </w:pPr>
      <w:r>
        <w:rPr>
          <w:rFonts w:hint="eastAsia" w:ascii="宋体" w:hAnsi="宋体"/>
          <w:color w:val="auto"/>
          <w:szCs w:val="21"/>
          <w:highlight w:val="none"/>
        </w:rPr>
        <w:t>临时占地：指专用合同条款中指明为实施合同工程需临时占用的土地。</w:t>
      </w:r>
    </w:p>
    <w:p>
      <w:pPr>
        <w:pStyle w:val="5"/>
        <w:spacing w:after="0" w:line="360" w:lineRule="auto"/>
        <w:ind w:left="0" w:leftChars="0" w:firstLine="422" w:firstLineChars="200"/>
        <w:rPr>
          <w:rFonts w:hint="eastAsia" w:ascii="宋体" w:hAnsi="宋体"/>
          <w:b/>
          <w:bCs/>
          <w:color w:val="auto"/>
          <w:szCs w:val="21"/>
          <w:highlight w:val="none"/>
        </w:rPr>
      </w:pPr>
      <w:r>
        <w:rPr>
          <w:rFonts w:hint="eastAsia" w:ascii="宋体" w:hAnsi="宋体"/>
          <w:b/>
          <w:bCs/>
          <w:color w:val="auto"/>
          <w:szCs w:val="21"/>
          <w:highlight w:val="none"/>
        </w:rPr>
        <w:t>增加以下内容到1.10款：</w:t>
      </w:r>
    </w:p>
    <w:p>
      <w:pPr>
        <w:pStyle w:val="5"/>
        <w:spacing w:after="0" w:line="360" w:lineRule="auto"/>
        <w:ind w:left="0" w:leftChars="0" w:firstLine="420" w:firstLineChars="200"/>
        <w:rPr>
          <w:rFonts w:ascii="宋体" w:hAnsi="宋体"/>
          <w:color w:val="auto"/>
          <w:szCs w:val="21"/>
          <w:highlight w:val="none"/>
        </w:rPr>
      </w:pPr>
      <w:r>
        <w:rPr>
          <w:rFonts w:ascii="宋体" w:hAnsi="宋体"/>
          <w:color w:val="auto"/>
          <w:szCs w:val="21"/>
          <w:highlight w:val="none"/>
        </w:rPr>
        <w:t>（d）对</w:t>
      </w:r>
      <w:r>
        <w:rPr>
          <w:rFonts w:hint="eastAsia" w:ascii="宋体" w:hAnsi="宋体"/>
          <w:color w:val="auto"/>
          <w:szCs w:val="21"/>
          <w:highlight w:val="none"/>
        </w:rPr>
        <w:t>承包人自行</w:t>
      </w:r>
      <w:r>
        <w:rPr>
          <w:rFonts w:ascii="宋体" w:hAnsi="宋体"/>
          <w:color w:val="auto"/>
          <w:szCs w:val="21"/>
          <w:highlight w:val="none"/>
        </w:rPr>
        <w:t>基于工程开展的科技开发所产生的专利和“四新”等科技成果，应告知发包</w:t>
      </w:r>
      <w:r>
        <w:rPr>
          <w:rFonts w:hint="eastAsia" w:ascii="宋体" w:hAnsi="宋体"/>
          <w:color w:val="auto"/>
          <w:szCs w:val="21"/>
          <w:highlight w:val="none"/>
        </w:rPr>
        <w:t>人</w:t>
      </w:r>
      <w:r>
        <w:rPr>
          <w:rFonts w:ascii="宋体" w:hAnsi="宋体"/>
          <w:color w:val="auto"/>
          <w:szCs w:val="21"/>
          <w:highlight w:val="none"/>
        </w:rPr>
        <w:t>，并与发包</w:t>
      </w:r>
      <w:r>
        <w:rPr>
          <w:rFonts w:hint="eastAsia" w:ascii="宋体" w:hAnsi="宋体"/>
          <w:color w:val="auto"/>
          <w:szCs w:val="21"/>
          <w:highlight w:val="none"/>
        </w:rPr>
        <w:t>人</w:t>
      </w:r>
      <w:r>
        <w:rPr>
          <w:rFonts w:ascii="宋体" w:hAnsi="宋体"/>
          <w:color w:val="auto"/>
          <w:szCs w:val="21"/>
          <w:highlight w:val="none"/>
        </w:rPr>
        <w:t>共同拥有。</w:t>
      </w:r>
    </w:p>
    <w:p>
      <w:pPr>
        <w:pStyle w:val="13"/>
        <w:numPr>
          <w:ilvl w:val="0"/>
          <w:numId w:val="1"/>
        </w:numPr>
        <w:spacing w:after="0" w:line="240" w:lineRule="auto"/>
        <w:ind w:left="0" w:leftChars="0" w:firstLine="422" w:firstLineChars="200"/>
        <w:outlineLvl w:val="2"/>
        <w:rPr>
          <w:rFonts w:hint="eastAsia" w:ascii="宋体"/>
          <w:color w:val="auto"/>
          <w:highlight w:val="none"/>
        </w:rPr>
      </w:pPr>
      <w:r>
        <w:rPr>
          <w:rFonts w:hint="eastAsia" w:ascii="宋体"/>
          <w:color w:val="auto"/>
          <w:highlight w:val="none"/>
        </w:rPr>
        <w:t>发包人</w:t>
      </w:r>
    </w:p>
    <w:p>
      <w:pPr>
        <w:pStyle w:val="5"/>
        <w:shd w:val="clear" w:color="auto" w:fill="auto"/>
        <w:spacing w:after="0" w:line="360" w:lineRule="auto"/>
        <w:ind w:left="0" w:leftChars="0" w:firstLine="420" w:firstLineChars="200"/>
        <w:rPr>
          <w:rFonts w:hint="default" w:ascii="宋体" w:hAnsi="宋体"/>
          <w:color w:val="auto"/>
          <w:szCs w:val="21"/>
          <w:highlight w:val="none"/>
          <w:shd w:val="clear" w:color="auto" w:fill="auto"/>
          <w:lang w:val="en-US" w:eastAsia="zh-CN"/>
        </w:rPr>
      </w:pPr>
    </w:p>
    <w:p>
      <w:pPr>
        <w:pStyle w:val="5"/>
        <w:spacing w:after="0" w:line="360" w:lineRule="auto"/>
        <w:ind w:left="0" w:leftChars="0" w:firstLine="422" w:firstLineChars="200"/>
        <w:rPr>
          <w:rFonts w:hint="eastAsia" w:ascii="宋体" w:hAnsi="宋体"/>
          <w:b/>
          <w:bCs/>
          <w:color w:val="auto"/>
          <w:szCs w:val="21"/>
          <w:highlight w:val="none"/>
          <w:shd w:val="clear" w:color="auto" w:fill="auto"/>
          <w:lang w:val="en-US" w:eastAsia="zh-CN"/>
        </w:rPr>
      </w:pPr>
      <w:r>
        <w:rPr>
          <w:rFonts w:hint="eastAsia" w:ascii="宋体" w:hAnsi="宋体"/>
          <w:b/>
          <w:bCs/>
          <w:color w:val="auto"/>
          <w:szCs w:val="21"/>
          <w:highlight w:val="none"/>
          <w:shd w:val="clear" w:color="auto" w:fill="auto"/>
          <w:lang w:val="en-US" w:eastAsia="zh-CN"/>
        </w:rPr>
        <w:t>增加以下内容到</w:t>
      </w:r>
      <w:r>
        <w:rPr>
          <w:rFonts w:hint="eastAsia" w:ascii="宋体" w:hAnsi="宋体"/>
          <w:b/>
          <w:bCs/>
          <w:color w:val="auto"/>
          <w:szCs w:val="21"/>
          <w:highlight w:val="none"/>
          <w:lang w:val="en-US" w:eastAsia="zh-CN"/>
        </w:rPr>
        <w:t>2.6.1.5</w:t>
      </w:r>
      <w:r>
        <w:rPr>
          <w:rFonts w:hint="eastAsia" w:ascii="宋体" w:hAnsi="宋体"/>
          <w:b/>
          <w:bCs/>
          <w:color w:val="auto"/>
          <w:szCs w:val="21"/>
          <w:highlight w:val="none"/>
          <w:shd w:val="clear" w:color="auto" w:fill="auto"/>
          <w:lang w:val="en-US" w:eastAsia="zh-CN"/>
        </w:rPr>
        <w:t>款：</w:t>
      </w:r>
    </w:p>
    <w:p>
      <w:pPr>
        <w:pStyle w:val="5"/>
        <w:ind w:left="0" w:leftChars="0" w:firstLine="420" w:firstLineChars="200"/>
        <w:rPr>
          <w:rFonts w:ascii="宋体" w:hAnsi="宋体"/>
          <w:color w:val="auto"/>
          <w:highlight w:val="none"/>
        </w:rPr>
      </w:pPr>
      <w:r>
        <w:rPr>
          <w:rFonts w:hint="eastAsia" w:ascii="宋体" w:hAnsi="宋体"/>
          <w:color w:val="auto"/>
          <w:highlight w:val="none"/>
        </w:rPr>
        <w:t>2.6.1.5 承包人</w:t>
      </w:r>
      <w:r>
        <w:rPr>
          <w:rFonts w:ascii="宋体" w:hAnsi="宋体"/>
          <w:color w:val="auto"/>
          <w:highlight w:val="none"/>
        </w:rPr>
        <w:t>考核</w:t>
      </w:r>
    </w:p>
    <w:p>
      <w:pPr>
        <w:pStyle w:val="5"/>
        <w:ind w:left="0" w:leftChars="0" w:firstLine="420" w:firstLineChars="200"/>
        <w:rPr>
          <w:rFonts w:hint="eastAsia" w:ascii="宋体" w:hAnsi="宋体"/>
          <w:color w:val="auto"/>
          <w:highlight w:val="none"/>
        </w:rPr>
      </w:pPr>
      <w:r>
        <w:rPr>
          <w:rFonts w:hint="eastAsia" w:ascii="宋体" w:hAnsi="宋体"/>
          <w:color w:val="auto"/>
          <w:highlight w:val="none"/>
        </w:rPr>
        <w:t>（</w:t>
      </w:r>
      <w:r>
        <w:rPr>
          <w:rFonts w:hint="eastAsia" w:ascii="宋体" w:hAnsi="宋体"/>
          <w:color w:val="auto"/>
          <w:highlight w:val="none"/>
          <w:lang w:val="en-US" w:eastAsia="zh-CN"/>
        </w:rPr>
        <w:t>10</w:t>
      </w:r>
      <w:r>
        <w:rPr>
          <w:rFonts w:hint="eastAsia" w:ascii="宋体" w:hAnsi="宋体"/>
          <w:color w:val="auto"/>
          <w:highlight w:val="none"/>
        </w:rPr>
        <w:t>）承包人经济处罚</w:t>
      </w:r>
    </w:p>
    <w:p>
      <w:pPr>
        <w:pStyle w:val="5"/>
        <w:ind w:left="0" w:leftChars="0" w:firstLine="420" w:firstLineChars="200"/>
        <w:rPr>
          <w:rFonts w:hint="eastAsia" w:ascii="宋体" w:hAnsi="宋体"/>
          <w:color w:val="auto"/>
          <w:highlight w:val="none"/>
        </w:rPr>
      </w:pPr>
      <w:r>
        <w:rPr>
          <w:rFonts w:hint="eastAsia" w:ascii="宋体" w:hAnsi="宋体"/>
          <w:color w:val="auto"/>
          <w:highlight w:val="none"/>
        </w:rPr>
        <w:t>双方约定，发生以下安全事故事件或安全管理问题，发包人有权以一定比例的合同</w:t>
      </w:r>
      <w:r>
        <w:rPr>
          <w:rFonts w:hint="eastAsia" w:ascii="宋体" w:hAnsi="宋体"/>
          <w:color w:val="auto"/>
          <w:highlight w:val="none"/>
          <w:lang w:eastAsia="zh-CN"/>
        </w:rPr>
        <w:t>中标</w:t>
      </w:r>
      <w:r>
        <w:rPr>
          <w:rFonts w:hint="eastAsia" w:ascii="宋体" w:hAnsi="宋体"/>
          <w:color w:val="auto"/>
          <w:highlight w:val="none"/>
        </w:rPr>
        <w:t>金额作为基数，按照发生事件的严重程度划分等级进行处罚。</w:t>
      </w:r>
    </w:p>
    <w:p>
      <w:pPr>
        <w:pStyle w:val="5"/>
        <w:spacing w:before="156" w:beforeLines="50" w:beforeAutospacing="0"/>
        <w:ind w:left="0" w:leftChars="0" w:firstLine="420" w:firstLineChars="200"/>
        <w:rPr>
          <w:rFonts w:hint="eastAsia" w:ascii="宋体" w:hAnsi="宋体"/>
          <w:b w:val="0"/>
          <w:bCs w:val="0"/>
          <w:color w:val="auto"/>
          <w:highlight w:val="none"/>
        </w:rPr>
      </w:pPr>
      <w:r>
        <w:rPr>
          <w:rFonts w:hint="eastAsia" w:ascii="宋体" w:hAnsi="宋体"/>
          <w:b w:val="0"/>
          <w:bCs w:val="0"/>
          <w:color w:val="auto"/>
          <w:highlight w:val="none"/>
        </w:rPr>
        <w:t>A、扣罚金额基数（K）的设定：</w:t>
      </w:r>
    </w:p>
    <w:p>
      <w:pPr>
        <w:pStyle w:val="5"/>
        <w:spacing w:before="0" w:beforeAutospacing="0"/>
        <w:rPr>
          <w:rFonts w:hint="eastAsia" w:ascii="宋体" w:hAnsi="宋体"/>
          <w:b w:val="0"/>
          <w:bCs w:val="0"/>
          <w:color w:val="auto"/>
          <w:highlight w:val="none"/>
        </w:rPr>
      </w:pPr>
      <w:r>
        <w:rPr>
          <w:rFonts w:hint="eastAsia" w:ascii="宋体" w:hAnsi="宋体" w:cs="宋体"/>
          <w:b w:val="0"/>
          <w:bCs w:val="0"/>
          <w:color w:val="auto"/>
          <w:highlight w:val="none"/>
        </w:rPr>
        <w:t>①</w:t>
      </w:r>
      <w:r>
        <w:rPr>
          <w:rFonts w:hint="eastAsia" w:ascii="宋体" w:hAnsi="宋体"/>
          <w:b w:val="0"/>
          <w:bCs w:val="0"/>
          <w:color w:val="auto"/>
          <w:highlight w:val="none"/>
        </w:rPr>
        <w:t>合同</w:t>
      </w:r>
      <w:r>
        <w:rPr>
          <w:rFonts w:hint="eastAsia" w:ascii="宋体" w:hAnsi="宋体"/>
          <w:color w:val="auto"/>
          <w:highlight w:val="none"/>
          <w:lang w:eastAsia="zh-CN"/>
        </w:rPr>
        <w:t>中标</w:t>
      </w:r>
      <w:r>
        <w:rPr>
          <w:rFonts w:hint="eastAsia" w:ascii="宋体" w:hAnsi="宋体"/>
          <w:b w:val="0"/>
          <w:bCs w:val="0"/>
          <w:color w:val="auto"/>
          <w:highlight w:val="none"/>
        </w:rPr>
        <w:t>金额1000万以下的，K为合同</w:t>
      </w:r>
      <w:r>
        <w:rPr>
          <w:rFonts w:hint="eastAsia" w:ascii="宋体" w:hAnsi="宋体"/>
          <w:color w:val="auto"/>
          <w:highlight w:val="none"/>
          <w:lang w:eastAsia="zh-CN"/>
        </w:rPr>
        <w:t>中标</w:t>
      </w:r>
      <w:r>
        <w:rPr>
          <w:rFonts w:hint="eastAsia" w:ascii="宋体" w:hAnsi="宋体"/>
          <w:b w:val="0"/>
          <w:bCs w:val="0"/>
          <w:color w:val="auto"/>
          <w:highlight w:val="none"/>
        </w:rPr>
        <w:t>金额的5%；</w:t>
      </w:r>
    </w:p>
    <w:p>
      <w:pPr>
        <w:pStyle w:val="5"/>
        <w:spacing w:before="0" w:beforeAutospacing="0"/>
        <w:rPr>
          <w:rFonts w:hint="eastAsia" w:ascii="宋体" w:hAnsi="宋体"/>
          <w:b w:val="0"/>
          <w:bCs w:val="0"/>
          <w:color w:val="auto"/>
          <w:highlight w:val="none"/>
        </w:rPr>
      </w:pPr>
      <w:r>
        <w:rPr>
          <w:rFonts w:hint="eastAsia" w:ascii="宋体" w:hAnsi="宋体" w:cs="宋体"/>
          <w:b w:val="0"/>
          <w:bCs w:val="0"/>
          <w:color w:val="auto"/>
          <w:highlight w:val="none"/>
        </w:rPr>
        <w:t>②</w:t>
      </w:r>
      <w:r>
        <w:rPr>
          <w:rFonts w:hint="eastAsia" w:ascii="宋体" w:hAnsi="宋体"/>
          <w:b w:val="0"/>
          <w:bCs w:val="0"/>
          <w:color w:val="auto"/>
          <w:highlight w:val="none"/>
        </w:rPr>
        <w:t>合同</w:t>
      </w:r>
      <w:r>
        <w:rPr>
          <w:rFonts w:hint="eastAsia" w:ascii="宋体" w:hAnsi="宋体"/>
          <w:color w:val="auto"/>
          <w:highlight w:val="none"/>
          <w:lang w:eastAsia="zh-CN"/>
        </w:rPr>
        <w:t>中标</w:t>
      </w:r>
      <w:r>
        <w:rPr>
          <w:rFonts w:hint="eastAsia" w:ascii="宋体" w:hAnsi="宋体"/>
          <w:b w:val="0"/>
          <w:bCs w:val="0"/>
          <w:color w:val="auto"/>
          <w:highlight w:val="none"/>
        </w:rPr>
        <w:t>金额1000万—1250万的，K为50万元；</w:t>
      </w:r>
    </w:p>
    <w:p>
      <w:pPr>
        <w:pStyle w:val="5"/>
        <w:spacing w:before="0" w:beforeAutospacing="0"/>
        <w:rPr>
          <w:rFonts w:hint="eastAsia" w:ascii="宋体" w:hAnsi="宋体"/>
          <w:b w:val="0"/>
          <w:bCs w:val="0"/>
          <w:color w:val="auto"/>
          <w:highlight w:val="none"/>
        </w:rPr>
      </w:pPr>
      <w:r>
        <w:rPr>
          <w:rFonts w:hint="eastAsia" w:ascii="宋体" w:hAnsi="宋体" w:cs="宋体"/>
          <w:b w:val="0"/>
          <w:bCs w:val="0"/>
          <w:color w:val="auto"/>
          <w:highlight w:val="none"/>
        </w:rPr>
        <w:t>③</w:t>
      </w:r>
      <w:r>
        <w:rPr>
          <w:rFonts w:hint="eastAsia" w:ascii="宋体" w:hAnsi="宋体"/>
          <w:b w:val="0"/>
          <w:bCs w:val="0"/>
          <w:color w:val="auto"/>
          <w:highlight w:val="none"/>
        </w:rPr>
        <w:t>合同</w:t>
      </w:r>
      <w:r>
        <w:rPr>
          <w:rFonts w:hint="eastAsia" w:ascii="宋体" w:hAnsi="宋体"/>
          <w:color w:val="auto"/>
          <w:highlight w:val="none"/>
          <w:lang w:eastAsia="zh-CN"/>
        </w:rPr>
        <w:t>中标</w:t>
      </w:r>
      <w:r>
        <w:rPr>
          <w:rFonts w:hint="eastAsia" w:ascii="宋体" w:hAnsi="宋体"/>
          <w:b w:val="0"/>
          <w:bCs w:val="0"/>
          <w:color w:val="auto"/>
          <w:highlight w:val="none"/>
        </w:rPr>
        <w:t>金额1250万以上的，K为合同</w:t>
      </w:r>
      <w:r>
        <w:rPr>
          <w:rFonts w:hint="eastAsia" w:ascii="宋体" w:hAnsi="宋体"/>
          <w:color w:val="auto"/>
          <w:highlight w:val="none"/>
          <w:lang w:eastAsia="zh-CN"/>
        </w:rPr>
        <w:t>中标</w:t>
      </w:r>
      <w:r>
        <w:rPr>
          <w:rFonts w:hint="eastAsia" w:ascii="宋体" w:hAnsi="宋体"/>
          <w:b w:val="0"/>
          <w:bCs w:val="0"/>
          <w:color w:val="auto"/>
          <w:highlight w:val="none"/>
        </w:rPr>
        <w:t>金额的4%，最高不超过100万；</w:t>
      </w:r>
    </w:p>
    <w:p>
      <w:pPr>
        <w:pStyle w:val="5"/>
        <w:spacing w:before="0" w:beforeAutospacing="0"/>
        <w:rPr>
          <w:rFonts w:hint="eastAsia" w:ascii="宋体" w:hAnsi="宋体" w:cs="宋体"/>
          <w:b w:val="0"/>
          <w:bCs w:val="0"/>
          <w:color w:val="auto"/>
          <w:szCs w:val="21"/>
          <w:highlight w:val="none"/>
          <w:lang w:bidi="ar"/>
        </w:rPr>
      </w:pPr>
      <w:r>
        <w:rPr>
          <w:rFonts w:hint="eastAsia" w:ascii="宋体" w:hAnsi="宋体" w:cs="宋体"/>
          <w:b w:val="0"/>
          <w:bCs w:val="0"/>
          <w:color w:val="auto"/>
          <w:highlight w:val="none"/>
        </w:rPr>
        <w:t>④</w:t>
      </w:r>
      <w:r>
        <w:rPr>
          <w:rFonts w:hint="eastAsia" w:ascii="宋体" w:hAnsi="宋体" w:cs="宋体"/>
          <w:b w:val="0"/>
          <w:bCs w:val="0"/>
          <w:color w:val="auto"/>
          <w:szCs w:val="21"/>
          <w:highlight w:val="none"/>
          <w:lang w:bidi="ar"/>
        </w:rPr>
        <w:t>同一合同包含多个单项工程的，按发生事故或问题对应的单项合同</w:t>
      </w:r>
      <w:r>
        <w:rPr>
          <w:rFonts w:hint="eastAsia" w:ascii="宋体" w:hAnsi="宋体"/>
          <w:color w:val="auto"/>
          <w:highlight w:val="none"/>
          <w:lang w:eastAsia="zh-CN"/>
        </w:rPr>
        <w:t>中标</w:t>
      </w:r>
      <w:r>
        <w:rPr>
          <w:rFonts w:hint="eastAsia" w:ascii="宋体" w:hAnsi="宋体" w:cs="宋体"/>
          <w:b w:val="0"/>
          <w:bCs w:val="0"/>
          <w:color w:val="auto"/>
          <w:szCs w:val="21"/>
          <w:highlight w:val="none"/>
          <w:lang w:bidi="ar"/>
        </w:rPr>
        <w:t>金额计算。</w:t>
      </w:r>
    </w:p>
    <w:p>
      <w:pPr>
        <w:pStyle w:val="5"/>
        <w:spacing w:before="156" w:beforeLines="50" w:beforeAutospacing="0"/>
        <w:rPr>
          <w:rFonts w:hint="eastAsia" w:ascii="宋体" w:hAnsi="宋体" w:cs="宋体"/>
          <w:b w:val="0"/>
          <w:bCs w:val="0"/>
          <w:color w:val="auto"/>
          <w:szCs w:val="21"/>
          <w:highlight w:val="none"/>
          <w:lang w:bidi="ar"/>
        </w:rPr>
      </w:pPr>
      <w:r>
        <w:rPr>
          <w:rFonts w:hint="eastAsia" w:ascii="宋体" w:hAnsi="宋体" w:cs="宋体"/>
          <w:b w:val="0"/>
          <w:bCs w:val="0"/>
          <w:color w:val="auto"/>
          <w:szCs w:val="21"/>
          <w:highlight w:val="none"/>
          <w:lang w:bidi="ar"/>
        </w:rPr>
        <w:t>B、扣罚原则：</w:t>
      </w:r>
    </w:p>
    <w:p>
      <w:pPr>
        <w:pStyle w:val="5"/>
        <w:spacing w:before="0" w:beforeAutospacing="0"/>
        <w:ind w:left="0" w:leftChars="0" w:firstLine="420" w:firstLineChars="200"/>
        <w:rPr>
          <w:rFonts w:hint="eastAsia" w:ascii="宋体" w:hAnsi="宋体"/>
          <w:b w:val="0"/>
          <w:bCs w:val="0"/>
          <w:color w:val="auto"/>
          <w:highlight w:val="none"/>
        </w:rPr>
      </w:pPr>
      <w:r>
        <w:rPr>
          <w:rFonts w:hint="eastAsia" w:ascii="宋体" w:hAnsi="宋体"/>
          <w:b w:val="0"/>
          <w:bCs w:val="0"/>
          <w:color w:val="auto"/>
          <w:highlight w:val="none"/>
        </w:rPr>
        <w:t>①　发生电力人身事故、电力设备事故、发生电力安全事故，扣罚基数（K）的100%；</w:t>
      </w:r>
    </w:p>
    <w:p>
      <w:pPr>
        <w:pStyle w:val="5"/>
        <w:spacing w:before="0" w:beforeAutospacing="0"/>
        <w:ind w:left="0" w:leftChars="0" w:firstLine="420" w:firstLineChars="200"/>
        <w:rPr>
          <w:rFonts w:hint="eastAsia" w:ascii="宋体" w:hAnsi="宋体"/>
          <w:b w:val="0"/>
          <w:bCs w:val="0"/>
          <w:color w:val="auto"/>
          <w:highlight w:val="none"/>
        </w:rPr>
      </w:pPr>
      <w:r>
        <w:rPr>
          <w:rFonts w:hint="eastAsia" w:ascii="宋体" w:hAnsi="宋体"/>
          <w:b w:val="0"/>
          <w:bCs w:val="0"/>
          <w:color w:val="auto"/>
          <w:highlight w:val="none"/>
        </w:rPr>
        <w:t>②　发生一级电力人身事件、电力设备事件、电力安全事件，扣罚基数（K）的80%；</w:t>
      </w:r>
    </w:p>
    <w:p>
      <w:pPr>
        <w:pStyle w:val="5"/>
        <w:spacing w:before="0" w:beforeAutospacing="0"/>
        <w:ind w:left="0" w:leftChars="0" w:firstLine="420" w:firstLineChars="200"/>
        <w:rPr>
          <w:rFonts w:hint="eastAsia" w:ascii="宋体" w:hAnsi="宋体"/>
          <w:b w:val="0"/>
          <w:bCs w:val="0"/>
          <w:color w:val="auto"/>
          <w:highlight w:val="none"/>
        </w:rPr>
      </w:pPr>
      <w:r>
        <w:rPr>
          <w:rFonts w:hint="eastAsia" w:ascii="宋体" w:hAnsi="宋体"/>
          <w:b w:val="0"/>
          <w:bCs w:val="0"/>
          <w:color w:val="auto"/>
          <w:highlight w:val="none"/>
        </w:rPr>
        <w:t>③　发生二级电力人身事件、电力设备事件、电力安全事件，扣罚基数（K）的70%；</w:t>
      </w:r>
    </w:p>
    <w:p>
      <w:pPr>
        <w:pStyle w:val="5"/>
        <w:spacing w:before="0" w:beforeAutospacing="0"/>
        <w:ind w:left="0" w:leftChars="0" w:firstLine="420" w:firstLineChars="200"/>
        <w:rPr>
          <w:rFonts w:hint="eastAsia" w:ascii="宋体" w:hAnsi="宋体"/>
          <w:b w:val="0"/>
          <w:bCs w:val="0"/>
          <w:color w:val="auto"/>
          <w:highlight w:val="none"/>
        </w:rPr>
      </w:pPr>
      <w:r>
        <w:rPr>
          <w:rFonts w:hint="eastAsia" w:ascii="宋体" w:hAnsi="宋体"/>
          <w:b w:val="0"/>
          <w:bCs w:val="0"/>
          <w:color w:val="auto"/>
          <w:highlight w:val="none"/>
        </w:rPr>
        <w:t>④　发生三级电力人身事件、电力设备事件、电力安全事件，扣罚基数（K）的60%；</w:t>
      </w:r>
    </w:p>
    <w:p>
      <w:pPr>
        <w:pStyle w:val="5"/>
        <w:spacing w:before="0" w:beforeAutospacing="0"/>
        <w:ind w:left="0" w:leftChars="0" w:firstLine="420" w:firstLineChars="200"/>
        <w:rPr>
          <w:rFonts w:hint="eastAsia" w:ascii="宋体" w:hAnsi="宋体"/>
          <w:b w:val="0"/>
          <w:bCs w:val="0"/>
          <w:color w:val="auto"/>
          <w:highlight w:val="none"/>
        </w:rPr>
      </w:pPr>
      <w:r>
        <w:rPr>
          <w:rFonts w:hint="eastAsia" w:ascii="宋体" w:hAnsi="宋体"/>
          <w:b w:val="0"/>
          <w:bCs w:val="0"/>
          <w:color w:val="auto"/>
          <w:highlight w:val="none"/>
        </w:rPr>
        <w:t>⑤　发生四级电力人身事件、电力设备事件、电力安全事件，扣罚基数（K）的50%；</w:t>
      </w:r>
    </w:p>
    <w:p>
      <w:pPr>
        <w:pStyle w:val="5"/>
        <w:spacing w:before="0" w:beforeAutospacing="0"/>
        <w:ind w:left="0" w:leftChars="0" w:firstLine="420" w:firstLineChars="200"/>
        <w:rPr>
          <w:rFonts w:hint="eastAsia" w:ascii="宋体" w:hAnsi="宋体"/>
          <w:b w:val="0"/>
          <w:bCs w:val="0"/>
          <w:color w:val="auto"/>
          <w:highlight w:val="none"/>
        </w:rPr>
      </w:pPr>
      <w:r>
        <w:rPr>
          <w:rFonts w:hint="eastAsia" w:ascii="宋体" w:hAnsi="宋体"/>
          <w:b w:val="0"/>
          <w:bCs w:val="0"/>
          <w:color w:val="auto"/>
          <w:highlight w:val="none"/>
        </w:rPr>
        <w:t>⑥　发生五级电力人身事件、电力设备事件、电力安全事件，扣罚基数（K）的30%；</w:t>
      </w:r>
    </w:p>
    <w:p>
      <w:pPr>
        <w:pStyle w:val="5"/>
        <w:spacing w:before="0" w:beforeAutospacing="0"/>
        <w:ind w:left="0" w:leftChars="0" w:firstLine="420" w:firstLineChars="200"/>
        <w:rPr>
          <w:rFonts w:hint="eastAsia" w:ascii="宋体" w:hAnsi="宋体"/>
          <w:b w:val="0"/>
          <w:bCs w:val="0"/>
          <w:color w:val="auto"/>
          <w:highlight w:val="none"/>
        </w:rPr>
      </w:pPr>
      <w:r>
        <w:rPr>
          <w:rFonts w:hint="eastAsia" w:ascii="宋体" w:hAnsi="宋体"/>
          <w:b w:val="0"/>
          <w:bCs w:val="0"/>
          <w:color w:val="auto"/>
          <w:highlight w:val="none"/>
        </w:rPr>
        <w:t>⑦　发生安全事故事件不配合调查组调查或捏造事实、破坏现场或相关资料等，或因安全文、明施工较差，被政府部门或局上级单位停工、通报、约谈等，每起扣罚基数（K）的30%；</w:t>
      </w:r>
    </w:p>
    <w:p>
      <w:pPr>
        <w:pStyle w:val="5"/>
        <w:spacing w:before="0" w:beforeAutospacing="0"/>
        <w:ind w:left="0" w:leftChars="0" w:firstLine="420" w:firstLineChars="200"/>
        <w:rPr>
          <w:rFonts w:hint="eastAsia" w:ascii="宋体" w:hAnsi="宋体"/>
          <w:b w:val="0"/>
          <w:bCs w:val="0"/>
          <w:color w:val="auto"/>
          <w:highlight w:val="none"/>
        </w:rPr>
      </w:pPr>
      <w:r>
        <w:rPr>
          <w:rFonts w:hint="eastAsia" w:ascii="宋体" w:hAnsi="宋体"/>
          <w:b w:val="0"/>
          <w:bCs w:val="0"/>
          <w:color w:val="auto"/>
          <w:highlight w:val="none"/>
        </w:rPr>
        <w:t>⑧　发生对社会及公司造成不良影响的安全事件，或发生安全突发或异常事件，未及时向建设单位报告，每起扣罚基数（K）的20%；</w:t>
      </w:r>
    </w:p>
    <w:p>
      <w:pPr>
        <w:pStyle w:val="5"/>
        <w:spacing w:before="0" w:beforeAutospacing="0"/>
        <w:ind w:left="0" w:leftChars="0" w:firstLine="420" w:firstLineChars="200"/>
        <w:rPr>
          <w:rFonts w:hint="eastAsia" w:ascii="宋体" w:hAnsi="宋体"/>
          <w:b w:val="0"/>
          <w:bCs w:val="0"/>
          <w:color w:val="auto"/>
          <w:highlight w:val="none"/>
        </w:rPr>
      </w:pPr>
      <w:r>
        <w:rPr>
          <w:rFonts w:hint="eastAsia" w:ascii="宋体" w:hAnsi="宋体"/>
          <w:b w:val="0"/>
          <w:bCs w:val="0"/>
          <w:color w:val="auto"/>
          <w:highlight w:val="none"/>
        </w:rPr>
        <w:t>⑨　发生因安全文明施工较差，被局层级约谈、通报或投诉等，每起扣罚基数（K）的10-20%；</w:t>
      </w:r>
    </w:p>
    <w:p>
      <w:pPr>
        <w:pStyle w:val="5"/>
        <w:spacing w:before="0" w:beforeAutospacing="0"/>
        <w:ind w:left="0" w:leftChars="0" w:firstLine="420" w:firstLineChars="200"/>
        <w:rPr>
          <w:rFonts w:hint="eastAsia" w:ascii="宋体" w:hAnsi="宋体"/>
          <w:b w:val="0"/>
          <w:bCs w:val="0"/>
          <w:color w:val="auto"/>
          <w:highlight w:val="none"/>
        </w:rPr>
      </w:pPr>
      <w:r>
        <w:rPr>
          <w:rFonts w:hint="eastAsia" w:ascii="宋体" w:hAnsi="宋体"/>
          <w:b w:val="0"/>
          <w:bCs w:val="0"/>
          <w:color w:val="auto"/>
          <w:highlight w:val="none"/>
        </w:rPr>
        <w:t>⑩　发生未按规定办理工作票作业，每起扣罚基数（K）的10%，但不低于10000元；</w:t>
      </w:r>
    </w:p>
    <w:p>
      <w:pPr>
        <w:pStyle w:val="5"/>
        <w:spacing w:before="0" w:beforeAutospacing="0"/>
        <w:ind w:left="0" w:leftChars="0" w:firstLine="420" w:firstLineChars="200"/>
        <w:rPr>
          <w:rFonts w:hint="eastAsia" w:ascii="宋体" w:hAnsi="宋体"/>
          <w:b w:val="0"/>
          <w:bCs w:val="0"/>
          <w:color w:val="auto"/>
          <w:highlight w:val="none"/>
        </w:rPr>
      </w:pPr>
      <w:r>
        <w:rPr>
          <w:rFonts w:hint="eastAsia" w:ascii="宋体" w:hAnsi="宋体"/>
          <w:b w:val="0"/>
          <w:bCs w:val="0"/>
          <w:color w:val="auto"/>
          <w:highlight w:val="none"/>
        </w:rPr>
        <w:t>⑪　发生按规定办理工作票，但工作票负责人不在现场或未按规定变更，每起扣罚基数（K）的5%，但不低于8000元；</w:t>
      </w:r>
    </w:p>
    <w:p>
      <w:pPr>
        <w:pStyle w:val="5"/>
        <w:spacing w:before="0" w:beforeAutospacing="0"/>
        <w:ind w:left="0" w:leftChars="0" w:firstLine="420" w:firstLineChars="200"/>
        <w:rPr>
          <w:rFonts w:hint="eastAsia" w:ascii="宋体" w:hAnsi="宋体"/>
          <w:b w:val="0"/>
          <w:bCs w:val="0"/>
          <w:color w:val="auto"/>
          <w:highlight w:val="none"/>
        </w:rPr>
      </w:pPr>
      <w:r>
        <w:rPr>
          <w:rFonts w:hint="eastAsia" w:ascii="宋体" w:hAnsi="宋体"/>
          <w:b w:val="0"/>
          <w:bCs w:val="0"/>
          <w:color w:val="auto"/>
          <w:highlight w:val="none"/>
        </w:rPr>
        <w:t>⑫　发生未按工作票规定漏装接地线（含应装而未装个人保安线）、高处作业未按规定使用安全带，每起扣罚基数（K）的2%，但不低于5000元；</w:t>
      </w:r>
    </w:p>
    <w:p>
      <w:pPr>
        <w:pStyle w:val="5"/>
        <w:spacing w:before="0" w:beforeAutospacing="0"/>
        <w:ind w:left="0" w:leftChars="0" w:firstLine="420" w:firstLineChars="200"/>
        <w:rPr>
          <w:rFonts w:hint="eastAsia" w:ascii="宋体" w:hAnsi="宋体"/>
          <w:b w:val="0"/>
          <w:bCs w:val="0"/>
          <w:color w:val="auto"/>
          <w:highlight w:val="none"/>
        </w:rPr>
      </w:pPr>
      <w:r>
        <w:rPr>
          <w:rFonts w:hint="eastAsia" w:ascii="宋体" w:hAnsi="宋体"/>
          <w:b w:val="0"/>
          <w:bCs w:val="0"/>
          <w:color w:val="auto"/>
          <w:highlight w:val="none"/>
        </w:rPr>
        <w:t>⑬　发生擅自扩大许可工作范围或增加工作内容；违规擅自打开带电开关柜的前、后盖板、静触头绝缘挡板等隔离装置，每起扣罚基数（K）的1%，但不低于2000元；</w:t>
      </w:r>
    </w:p>
    <w:p>
      <w:pPr>
        <w:pStyle w:val="5"/>
        <w:spacing w:before="0" w:beforeAutospacing="0"/>
        <w:ind w:left="0" w:leftChars="0" w:firstLine="420" w:firstLineChars="200"/>
        <w:rPr>
          <w:rFonts w:hint="eastAsia" w:ascii="宋体" w:hAnsi="宋体"/>
          <w:color w:val="auto"/>
          <w:highlight w:val="none"/>
        </w:rPr>
      </w:pPr>
      <w:r>
        <w:rPr>
          <w:rFonts w:hint="eastAsia" w:ascii="宋体" w:hAnsi="宋体"/>
          <w:color w:val="auto"/>
          <w:highlight w:val="none"/>
        </w:rPr>
        <w:t>⑭　发生因安全文、明施工较差，被业主项目部层级约谈、通报或投诉等，或在各级安全检查中，发现存在问题，施工现场存在未整改或整改不彻底、弄虚作假等行为，每起扣罚基数（K）的0-10%。</w:t>
      </w:r>
    </w:p>
    <w:p>
      <w:pPr>
        <w:pStyle w:val="5"/>
        <w:ind w:left="0" w:leftChars="0" w:firstLine="422" w:firstLineChars="200"/>
        <w:rPr>
          <w:rFonts w:ascii="宋体" w:hAnsi="宋体"/>
          <w:b/>
          <w:bCs/>
          <w:color w:val="auto"/>
          <w:highlight w:val="none"/>
        </w:rPr>
      </w:pPr>
      <w:r>
        <w:rPr>
          <w:rFonts w:hint="eastAsia" w:ascii="宋体" w:hAnsi="宋体"/>
          <w:b/>
          <w:bCs/>
          <w:color w:val="auto"/>
          <w:highlight w:val="none"/>
        </w:rPr>
        <w:t>替换以下内容到第</w:t>
      </w:r>
      <w:r>
        <w:rPr>
          <w:rFonts w:hint="eastAsia" w:ascii="宋体" w:hAnsi="宋体"/>
          <w:b/>
          <w:bCs/>
          <w:color w:val="auto"/>
          <w:highlight w:val="none"/>
          <w:lang w:val="en-US" w:eastAsia="zh-CN"/>
        </w:rPr>
        <w:t>2.6.2</w:t>
      </w:r>
      <w:r>
        <w:rPr>
          <w:rFonts w:hint="eastAsia" w:ascii="宋体" w:hAnsi="宋体"/>
          <w:b/>
          <w:bCs/>
          <w:color w:val="auto"/>
          <w:highlight w:val="none"/>
        </w:rPr>
        <w:t>款：</w:t>
      </w:r>
    </w:p>
    <w:p>
      <w:pPr>
        <w:pStyle w:val="5"/>
        <w:spacing w:after="0"/>
        <w:ind w:left="0" w:leftChars="0" w:firstLine="420" w:firstLineChars="200"/>
        <w:rPr>
          <w:rFonts w:ascii="宋体" w:hAnsi="宋体"/>
          <w:color w:val="auto"/>
          <w:szCs w:val="21"/>
          <w:highlight w:val="none"/>
          <w:shd w:val="clear" w:color="auto" w:fill="auto"/>
        </w:rPr>
      </w:pPr>
      <w:r>
        <w:rPr>
          <w:rFonts w:hint="eastAsia" w:ascii="宋体" w:hAnsi="宋体"/>
          <w:color w:val="auto"/>
          <w:szCs w:val="21"/>
          <w:highlight w:val="none"/>
          <w:shd w:val="clear" w:color="auto" w:fill="auto"/>
        </w:rPr>
        <w:t>2.6.2 奖励</w:t>
      </w:r>
      <w:r>
        <w:rPr>
          <w:rFonts w:ascii="宋体" w:hAnsi="宋体"/>
          <w:color w:val="auto"/>
          <w:szCs w:val="21"/>
          <w:highlight w:val="none"/>
          <w:shd w:val="clear" w:color="auto" w:fill="auto"/>
        </w:rPr>
        <w:t>权利</w:t>
      </w:r>
    </w:p>
    <w:p>
      <w:pPr>
        <w:pStyle w:val="5"/>
        <w:spacing w:after="0"/>
        <w:ind w:left="0" w:leftChars="0" w:firstLine="420" w:firstLineChars="200"/>
        <w:rPr>
          <w:rFonts w:ascii="宋体" w:hAnsi="宋体"/>
          <w:color w:val="auto"/>
          <w:szCs w:val="21"/>
          <w:highlight w:val="none"/>
          <w:shd w:val="clear" w:color="auto" w:fill="auto"/>
        </w:rPr>
      </w:pPr>
      <w:r>
        <w:rPr>
          <w:rFonts w:hint="eastAsia" w:ascii="宋体" w:hAnsi="宋体"/>
          <w:color w:val="auto"/>
          <w:szCs w:val="21"/>
          <w:highlight w:val="none"/>
          <w:shd w:val="clear" w:color="auto" w:fill="auto"/>
        </w:rPr>
        <w:t>承包人有下列良好表现，发包人应有权实施奖励</w:t>
      </w:r>
      <w:r>
        <w:rPr>
          <w:rFonts w:ascii="宋体" w:hAnsi="宋体"/>
          <w:color w:val="auto"/>
          <w:szCs w:val="21"/>
          <w:highlight w:val="none"/>
          <w:shd w:val="clear" w:color="auto" w:fill="auto"/>
        </w:rPr>
        <w:t>措施，具体包括：</w:t>
      </w:r>
    </w:p>
    <w:p>
      <w:pPr>
        <w:pStyle w:val="9"/>
        <w:widowControl w:val="0"/>
        <w:spacing w:after="0" w:afterAutospacing="0" w:line="360" w:lineRule="auto"/>
        <w:ind w:firstLine="420" w:firstLineChars="200"/>
        <w:jc w:val="both"/>
        <w:rPr>
          <w:rFonts w:hint="eastAsia"/>
          <w:color w:val="auto"/>
          <w:highlight w:val="none"/>
          <w:u w:val="single"/>
        </w:rPr>
      </w:pPr>
      <w:r>
        <w:rPr>
          <w:rFonts w:hint="eastAsia"/>
          <w:color w:val="auto"/>
          <w:kern w:val="2"/>
          <w:sz w:val="21"/>
          <w:szCs w:val="21"/>
          <w:highlight w:val="none"/>
          <w:lang w:bidi="ar"/>
        </w:rPr>
        <w:t>（1）</w:t>
      </w:r>
      <w:r>
        <w:rPr>
          <w:rFonts w:hint="eastAsia"/>
          <w:color w:val="auto"/>
          <w:kern w:val="2"/>
          <w:sz w:val="21"/>
          <w:szCs w:val="21"/>
          <w:highlight w:val="none"/>
          <w:u w:val="single"/>
          <w:lang w:bidi="ar"/>
        </w:rPr>
        <w:t>项目被评为国家优质工程奖（鲁班奖）、电力行业优质工程、南方电网公司优质工程等，发包人可以考虑以</w:t>
      </w:r>
      <w:r>
        <w:rPr>
          <w:rFonts w:hint="eastAsia"/>
          <w:color w:val="auto"/>
          <w:kern w:val="2"/>
          <w:sz w:val="21"/>
          <w:szCs w:val="21"/>
          <w:highlight w:val="none"/>
          <w:u w:val="single"/>
          <w:lang w:eastAsia="zh-CN" w:bidi="ar"/>
        </w:rPr>
        <w:t>中标</w:t>
      </w:r>
      <w:r>
        <w:rPr>
          <w:rFonts w:hint="eastAsia"/>
          <w:color w:val="auto"/>
          <w:kern w:val="2"/>
          <w:sz w:val="21"/>
          <w:szCs w:val="21"/>
          <w:highlight w:val="none"/>
          <w:u w:val="single"/>
          <w:lang w:bidi="ar"/>
        </w:rPr>
        <w:t>合同额</w:t>
      </w:r>
      <w:r>
        <w:rPr>
          <w:rFonts w:hint="eastAsia"/>
          <w:color w:val="auto"/>
          <w:kern w:val="2"/>
          <w:sz w:val="21"/>
          <w:szCs w:val="21"/>
          <w:highlight w:val="none"/>
          <w:u w:val="single"/>
          <w:lang w:eastAsia="zh-CN" w:bidi="ar"/>
        </w:rPr>
        <w:t>（以下简称“合同额”）</w:t>
      </w:r>
      <w:r>
        <w:rPr>
          <w:rFonts w:hint="eastAsia"/>
          <w:color w:val="auto"/>
          <w:kern w:val="2"/>
          <w:sz w:val="21"/>
          <w:szCs w:val="21"/>
          <w:highlight w:val="none"/>
          <w:u w:val="single"/>
          <w:lang w:bidi="ar"/>
        </w:rPr>
        <w:t>为基础对承包人进行奖励（国家优质工程奖（鲁班奖）按3%、电力行业优质工程按2%、南方电网公司优质工程等按1.5%）</w:t>
      </w:r>
      <w:r>
        <w:rPr>
          <w:rFonts w:hint="eastAsia"/>
          <w:color w:val="auto"/>
          <w:kern w:val="2"/>
          <w:sz w:val="21"/>
          <w:szCs w:val="21"/>
          <w:highlight w:val="none"/>
          <w:u w:val="single"/>
          <w:lang w:eastAsia="zh-CN" w:bidi="ar"/>
        </w:rPr>
        <w:t>。</w:t>
      </w:r>
      <w:r>
        <w:rPr>
          <w:rFonts w:hint="eastAsia"/>
          <w:color w:val="auto"/>
          <w:kern w:val="2"/>
          <w:sz w:val="21"/>
          <w:szCs w:val="21"/>
          <w:highlight w:val="none"/>
          <w:u w:val="single"/>
          <w:lang w:bidi="ar"/>
        </w:rPr>
        <w:t>奖励标准及具体奖励办法如下：</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5"/>
        <w:gridCol w:w="587"/>
        <w:gridCol w:w="600"/>
        <w:gridCol w:w="1220"/>
        <w:gridCol w:w="851"/>
        <w:gridCol w:w="56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64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s="Calibri"/>
                <w:b/>
                <w:color w:val="auto"/>
                <w:highlight w:val="none"/>
              </w:rPr>
            </w:pPr>
            <w:r>
              <w:rPr>
                <w:rFonts w:hint="eastAsia" w:ascii="宋体" w:hAnsi="宋体" w:cs="宋体"/>
                <w:b/>
                <w:color w:val="auto"/>
                <w:szCs w:val="21"/>
                <w:highlight w:val="none"/>
                <w:lang w:bidi="ar"/>
              </w:rPr>
              <w:t>序号</w:t>
            </w:r>
          </w:p>
        </w:tc>
        <w:tc>
          <w:tcPr>
            <w:tcW w:w="2407" w:type="dxa"/>
            <w:gridSpan w:val="3"/>
            <w:tcBorders>
              <w:top w:val="single" w:color="auto" w:sz="4" w:space="0"/>
              <w:left w:val="nil"/>
              <w:bottom w:val="single" w:color="auto" w:sz="4" w:space="0"/>
              <w:right w:val="single" w:color="auto" w:sz="4" w:space="0"/>
            </w:tcBorders>
            <w:noWrap w:val="0"/>
            <w:vAlign w:val="center"/>
          </w:tcPr>
          <w:p>
            <w:pPr>
              <w:jc w:val="center"/>
              <w:rPr>
                <w:rFonts w:hint="eastAsia" w:ascii="宋体" w:hAnsi="宋体" w:cs="Calibri"/>
                <w:b/>
                <w:color w:val="auto"/>
                <w:highlight w:val="none"/>
              </w:rPr>
            </w:pPr>
            <w:r>
              <w:rPr>
                <w:rFonts w:hint="eastAsia" w:ascii="宋体" w:hAnsi="宋体" w:cs="宋体"/>
                <w:b/>
                <w:color w:val="auto"/>
                <w:szCs w:val="21"/>
                <w:highlight w:val="none"/>
                <w:lang w:bidi="ar"/>
              </w:rPr>
              <w:t>优质工程奖项</w:t>
            </w:r>
          </w:p>
        </w:tc>
        <w:tc>
          <w:tcPr>
            <w:tcW w:w="851" w:type="dxa"/>
            <w:tcBorders>
              <w:top w:val="single" w:color="auto" w:sz="4" w:space="0"/>
              <w:left w:val="nil"/>
              <w:bottom w:val="single" w:color="auto" w:sz="4" w:space="0"/>
              <w:right w:val="single" w:color="auto" w:sz="4" w:space="0"/>
            </w:tcBorders>
            <w:noWrap w:val="0"/>
            <w:vAlign w:val="center"/>
          </w:tcPr>
          <w:p>
            <w:pPr>
              <w:jc w:val="center"/>
              <w:rPr>
                <w:rFonts w:hint="eastAsia" w:ascii="宋体" w:hAnsi="宋体" w:cs="Calibri"/>
                <w:b/>
                <w:color w:val="auto"/>
                <w:highlight w:val="none"/>
              </w:rPr>
            </w:pPr>
            <w:r>
              <w:rPr>
                <w:rFonts w:hint="eastAsia" w:ascii="宋体" w:hAnsi="宋体" w:cs="宋体"/>
                <w:b/>
                <w:color w:val="auto"/>
                <w:szCs w:val="21"/>
                <w:highlight w:val="none"/>
                <w:lang w:bidi="ar"/>
              </w:rPr>
              <w:t>承包人</w:t>
            </w:r>
          </w:p>
        </w:tc>
        <w:tc>
          <w:tcPr>
            <w:tcW w:w="5604" w:type="dxa"/>
            <w:tcBorders>
              <w:top w:val="single" w:color="auto" w:sz="4" w:space="0"/>
              <w:left w:val="nil"/>
              <w:bottom w:val="single" w:color="auto" w:sz="4" w:space="0"/>
              <w:right w:val="single" w:color="000000" w:sz="4" w:space="0"/>
            </w:tcBorders>
            <w:noWrap w:val="0"/>
            <w:vAlign w:val="center"/>
          </w:tcPr>
          <w:p>
            <w:pPr>
              <w:jc w:val="center"/>
              <w:rPr>
                <w:rFonts w:hint="eastAsia" w:ascii="宋体" w:hAnsi="宋体" w:cs="Calibri"/>
                <w:b/>
                <w:color w:val="auto"/>
                <w:highlight w:val="none"/>
              </w:rPr>
            </w:pPr>
            <w:r>
              <w:rPr>
                <w:rFonts w:hint="eastAsia" w:ascii="宋体" w:hAnsi="宋体" w:cs="宋体"/>
                <w:b/>
                <w:color w:val="auto"/>
                <w:szCs w:val="21"/>
                <w:highlight w:val="none"/>
                <w:lang w:bidi="ar"/>
              </w:rPr>
              <w:t>奖 励 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jc w:val="center"/>
        </w:trPr>
        <w:tc>
          <w:tcPr>
            <w:tcW w:w="645" w:type="dxa"/>
            <w:vMerge w:val="restart"/>
            <w:tcBorders>
              <w:top w:val="nil"/>
              <w:left w:val="single" w:color="auto" w:sz="4" w:space="0"/>
              <w:bottom w:val="single" w:color="auto"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1</w:t>
            </w:r>
          </w:p>
        </w:tc>
        <w:tc>
          <w:tcPr>
            <w:tcW w:w="587" w:type="dxa"/>
            <w:vMerge w:val="restart"/>
            <w:tcBorders>
              <w:top w:val="nil"/>
              <w:left w:val="nil"/>
              <w:bottom w:val="single" w:color="auto"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国家级</w:t>
            </w:r>
          </w:p>
        </w:tc>
        <w:tc>
          <w:tcPr>
            <w:tcW w:w="1820" w:type="dxa"/>
            <w:gridSpan w:val="2"/>
            <w:vMerge w:val="restart"/>
            <w:tcBorders>
              <w:top w:val="nil"/>
              <w:left w:val="nil"/>
              <w:bottom w:val="single" w:color="auto"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国家优质工程</w:t>
            </w:r>
          </w:p>
          <w:p>
            <w:pPr>
              <w:jc w:val="center"/>
              <w:rPr>
                <w:rFonts w:hint="eastAsia" w:ascii="宋体" w:hAnsi="宋体" w:cs="Calibri"/>
                <w:color w:val="auto"/>
                <w:highlight w:val="none"/>
              </w:rPr>
            </w:pPr>
            <w:r>
              <w:rPr>
                <w:rFonts w:hint="eastAsia" w:ascii="宋体" w:hAnsi="宋体" w:cs="宋体"/>
                <w:color w:val="auto"/>
                <w:szCs w:val="21"/>
                <w:highlight w:val="none"/>
                <w:lang w:bidi="ar"/>
              </w:rPr>
              <w:t>金质奖</w:t>
            </w:r>
          </w:p>
        </w:tc>
        <w:tc>
          <w:tcPr>
            <w:tcW w:w="851" w:type="dxa"/>
            <w:tcBorders>
              <w:top w:val="single" w:color="auto" w:sz="4" w:space="0"/>
              <w:left w:val="nil"/>
              <w:bottom w:val="single" w:color="000000"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设计</w:t>
            </w:r>
          </w:p>
        </w:tc>
        <w:tc>
          <w:tcPr>
            <w:tcW w:w="5604" w:type="dxa"/>
            <w:tcBorders>
              <w:top w:val="single" w:color="auto" w:sz="4" w:space="0"/>
              <w:left w:val="nil"/>
              <w:bottom w:val="single" w:color="000000" w:sz="4" w:space="0"/>
              <w:right w:val="single" w:color="auto" w:sz="4" w:space="0"/>
            </w:tcBorders>
            <w:noWrap w:val="0"/>
            <w:vAlign w:val="center"/>
          </w:tcPr>
          <w:p>
            <w:pPr>
              <w:jc w:val="left"/>
              <w:rPr>
                <w:rFonts w:hint="eastAsia" w:ascii="宋体" w:hAnsi="宋体" w:cs="Calibri"/>
                <w:color w:val="auto"/>
                <w:highlight w:val="none"/>
              </w:rPr>
            </w:pPr>
            <w:r>
              <w:rPr>
                <w:rFonts w:hint="eastAsia" w:ascii="宋体" w:hAnsi="宋体" w:cs="宋体"/>
                <w:color w:val="auto"/>
                <w:szCs w:val="21"/>
                <w:highlight w:val="none"/>
                <w:lang w:bidi="ar"/>
              </w:rPr>
              <w:t>合同额3%，最高不超过75万元，最低不低于10万元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1820" w:type="dxa"/>
            <w:gridSpan w:val="2"/>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851" w:type="dxa"/>
            <w:tcBorders>
              <w:top w:val="single" w:color="000000" w:sz="4" w:space="0"/>
              <w:left w:val="nil"/>
              <w:bottom w:val="single" w:color="000000"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监理</w:t>
            </w:r>
          </w:p>
        </w:tc>
        <w:tc>
          <w:tcPr>
            <w:tcW w:w="5604" w:type="dxa"/>
            <w:tcBorders>
              <w:top w:val="single" w:color="000000" w:sz="4" w:space="0"/>
              <w:left w:val="nil"/>
              <w:bottom w:val="single" w:color="000000" w:sz="4" w:space="0"/>
              <w:right w:val="single" w:color="auto" w:sz="4" w:space="0"/>
            </w:tcBorders>
            <w:noWrap w:val="0"/>
            <w:vAlign w:val="center"/>
          </w:tcPr>
          <w:p>
            <w:pPr>
              <w:jc w:val="left"/>
              <w:rPr>
                <w:rFonts w:hint="eastAsia" w:ascii="宋体" w:hAnsi="宋体" w:cs="Calibri"/>
                <w:color w:val="auto"/>
                <w:highlight w:val="none"/>
              </w:rPr>
            </w:pPr>
            <w:r>
              <w:rPr>
                <w:rFonts w:hint="eastAsia" w:ascii="宋体" w:hAnsi="宋体" w:cs="宋体"/>
                <w:color w:val="auto"/>
                <w:szCs w:val="21"/>
                <w:highlight w:val="none"/>
                <w:lang w:bidi="ar"/>
              </w:rPr>
              <w:t>合同额3%，最高不超过50万元，最低不低于5万元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1820" w:type="dxa"/>
            <w:gridSpan w:val="2"/>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851" w:type="dxa"/>
            <w:tcBorders>
              <w:top w:val="single" w:color="000000" w:sz="4" w:space="0"/>
              <w:left w:val="nil"/>
              <w:bottom w:val="single" w:color="auto"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施工</w:t>
            </w:r>
          </w:p>
        </w:tc>
        <w:tc>
          <w:tcPr>
            <w:tcW w:w="5604" w:type="dxa"/>
            <w:tcBorders>
              <w:top w:val="single" w:color="000000" w:sz="4" w:space="0"/>
              <w:left w:val="nil"/>
              <w:bottom w:val="single" w:color="auto" w:sz="4" w:space="0"/>
              <w:right w:val="single" w:color="auto" w:sz="4" w:space="0"/>
            </w:tcBorders>
            <w:noWrap w:val="0"/>
            <w:vAlign w:val="center"/>
          </w:tcPr>
          <w:p>
            <w:pPr>
              <w:jc w:val="left"/>
              <w:rPr>
                <w:rFonts w:hint="eastAsia" w:ascii="宋体" w:hAnsi="宋体" w:cs="Calibri"/>
                <w:color w:val="auto"/>
                <w:highlight w:val="none"/>
              </w:rPr>
            </w:pPr>
            <w:r>
              <w:rPr>
                <w:rFonts w:hint="eastAsia" w:ascii="宋体" w:hAnsi="宋体" w:cs="宋体"/>
                <w:color w:val="auto"/>
                <w:szCs w:val="21"/>
                <w:highlight w:val="none"/>
                <w:lang w:bidi="ar"/>
              </w:rPr>
              <w:t>合同额3%，高不超过300万元，最低不低于50万元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1820" w:type="dxa"/>
            <w:gridSpan w:val="2"/>
            <w:vMerge w:val="restart"/>
            <w:tcBorders>
              <w:top w:val="nil"/>
              <w:left w:val="nil"/>
              <w:bottom w:val="single" w:color="auto"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①国家优质工程奖</w:t>
            </w:r>
          </w:p>
          <w:p>
            <w:pPr>
              <w:jc w:val="center"/>
              <w:rPr>
                <w:rFonts w:hint="eastAsia" w:ascii="宋体" w:hAnsi="宋体" w:cs="Calibri"/>
                <w:color w:val="auto"/>
                <w:highlight w:val="none"/>
              </w:rPr>
            </w:pPr>
            <w:r>
              <w:rPr>
                <w:rFonts w:hint="eastAsia" w:ascii="宋体" w:hAnsi="宋体" w:cs="宋体"/>
                <w:color w:val="auto"/>
                <w:szCs w:val="21"/>
                <w:highlight w:val="none"/>
                <w:lang w:bidi="ar"/>
              </w:rPr>
              <w:t>②鲁班奖</w:t>
            </w:r>
          </w:p>
        </w:tc>
        <w:tc>
          <w:tcPr>
            <w:tcW w:w="851" w:type="dxa"/>
            <w:tcBorders>
              <w:top w:val="single" w:color="auto" w:sz="4" w:space="0"/>
              <w:left w:val="nil"/>
              <w:bottom w:val="single" w:color="000000"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设计</w:t>
            </w:r>
          </w:p>
        </w:tc>
        <w:tc>
          <w:tcPr>
            <w:tcW w:w="5604" w:type="dxa"/>
            <w:tcBorders>
              <w:top w:val="single" w:color="000000" w:sz="4" w:space="0"/>
              <w:left w:val="nil"/>
              <w:bottom w:val="single" w:color="000000" w:sz="4" w:space="0"/>
              <w:right w:val="single" w:color="auto" w:sz="4" w:space="0"/>
            </w:tcBorders>
            <w:noWrap w:val="0"/>
            <w:vAlign w:val="center"/>
          </w:tcPr>
          <w:p>
            <w:pPr>
              <w:jc w:val="left"/>
              <w:rPr>
                <w:rFonts w:hint="eastAsia" w:ascii="宋体" w:hAnsi="宋体" w:cs="Calibri"/>
                <w:color w:val="auto"/>
                <w:highlight w:val="none"/>
              </w:rPr>
            </w:pPr>
            <w:r>
              <w:rPr>
                <w:rFonts w:hint="eastAsia" w:ascii="宋体" w:hAnsi="宋体" w:cs="宋体"/>
                <w:color w:val="auto"/>
                <w:szCs w:val="21"/>
                <w:highlight w:val="none"/>
                <w:lang w:bidi="ar"/>
              </w:rPr>
              <w:t>合同额3%，最高不超过75万元，最低不低于5万元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1820" w:type="dxa"/>
            <w:gridSpan w:val="2"/>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851" w:type="dxa"/>
            <w:tcBorders>
              <w:top w:val="single" w:color="auto" w:sz="4" w:space="0"/>
              <w:left w:val="nil"/>
              <w:bottom w:val="single" w:color="000000"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监理</w:t>
            </w:r>
          </w:p>
        </w:tc>
        <w:tc>
          <w:tcPr>
            <w:tcW w:w="5604" w:type="dxa"/>
            <w:tcBorders>
              <w:top w:val="single" w:color="000000" w:sz="4" w:space="0"/>
              <w:left w:val="nil"/>
              <w:bottom w:val="single" w:color="000000" w:sz="4" w:space="0"/>
              <w:right w:val="single" w:color="auto" w:sz="4" w:space="0"/>
            </w:tcBorders>
            <w:noWrap w:val="0"/>
            <w:vAlign w:val="center"/>
          </w:tcPr>
          <w:p>
            <w:pPr>
              <w:jc w:val="left"/>
              <w:rPr>
                <w:rFonts w:hint="eastAsia" w:ascii="宋体" w:hAnsi="宋体" w:cs="Calibri"/>
                <w:color w:val="auto"/>
                <w:highlight w:val="none"/>
              </w:rPr>
            </w:pPr>
            <w:r>
              <w:rPr>
                <w:rFonts w:hint="eastAsia" w:ascii="宋体" w:hAnsi="宋体" w:cs="宋体"/>
                <w:color w:val="auto"/>
                <w:szCs w:val="21"/>
                <w:highlight w:val="none"/>
                <w:lang w:bidi="ar"/>
              </w:rPr>
              <w:t>合同额3%，最高不超过30万元，最低不低于2万元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1820" w:type="dxa"/>
            <w:gridSpan w:val="2"/>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851" w:type="dxa"/>
            <w:tcBorders>
              <w:top w:val="single" w:color="auto" w:sz="4" w:space="0"/>
              <w:left w:val="nil"/>
              <w:bottom w:val="single" w:color="000000"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施工</w:t>
            </w:r>
          </w:p>
        </w:tc>
        <w:tc>
          <w:tcPr>
            <w:tcW w:w="5604" w:type="dxa"/>
            <w:tcBorders>
              <w:top w:val="single" w:color="000000" w:sz="4" w:space="0"/>
              <w:left w:val="nil"/>
              <w:bottom w:val="single" w:color="000000" w:sz="4" w:space="0"/>
              <w:right w:val="single" w:color="auto" w:sz="4" w:space="0"/>
            </w:tcBorders>
            <w:noWrap w:val="0"/>
            <w:vAlign w:val="center"/>
          </w:tcPr>
          <w:p>
            <w:pPr>
              <w:jc w:val="left"/>
              <w:rPr>
                <w:rFonts w:hint="eastAsia" w:ascii="宋体" w:hAnsi="宋体" w:cs="Calibri"/>
                <w:color w:val="auto"/>
                <w:highlight w:val="none"/>
              </w:rPr>
            </w:pPr>
            <w:r>
              <w:rPr>
                <w:rFonts w:hint="eastAsia" w:ascii="宋体" w:hAnsi="宋体" w:cs="宋体"/>
                <w:color w:val="auto"/>
                <w:szCs w:val="21"/>
                <w:highlight w:val="none"/>
                <w:lang w:bidi="ar"/>
              </w:rPr>
              <w:t>合同额3%，最高不超过200万元，最低不低于20万元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1820" w:type="dxa"/>
            <w:gridSpan w:val="2"/>
            <w:vMerge w:val="restart"/>
            <w:tcBorders>
              <w:top w:val="nil"/>
              <w:left w:val="nil"/>
              <w:bottom w:val="single" w:color="auto"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中国安装工程</w:t>
            </w:r>
          </w:p>
          <w:p>
            <w:pPr>
              <w:jc w:val="center"/>
              <w:rPr>
                <w:rFonts w:hint="eastAsia" w:ascii="宋体" w:hAnsi="宋体" w:cs="Calibri"/>
                <w:color w:val="auto"/>
                <w:highlight w:val="none"/>
              </w:rPr>
            </w:pPr>
            <w:r>
              <w:rPr>
                <w:rFonts w:hint="eastAsia" w:ascii="宋体" w:hAnsi="宋体" w:cs="宋体"/>
                <w:color w:val="auto"/>
                <w:szCs w:val="21"/>
                <w:highlight w:val="none"/>
                <w:lang w:bidi="ar"/>
              </w:rPr>
              <w:t>优质奖</w:t>
            </w:r>
          </w:p>
        </w:tc>
        <w:tc>
          <w:tcPr>
            <w:tcW w:w="851" w:type="dxa"/>
            <w:tcBorders>
              <w:top w:val="single" w:color="auto" w:sz="4" w:space="0"/>
              <w:left w:val="nil"/>
              <w:bottom w:val="single" w:color="000000"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设计</w:t>
            </w:r>
          </w:p>
        </w:tc>
        <w:tc>
          <w:tcPr>
            <w:tcW w:w="5604" w:type="dxa"/>
            <w:tcBorders>
              <w:top w:val="single" w:color="000000" w:sz="4" w:space="0"/>
              <w:left w:val="nil"/>
              <w:bottom w:val="single" w:color="000000" w:sz="4" w:space="0"/>
              <w:right w:val="single" w:color="auto" w:sz="4" w:space="0"/>
            </w:tcBorders>
            <w:noWrap w:val="0"/>
            <w:vAlign w:val="center"/>
          </w:tcPr>
          <w:p>
            <w:pPr>
              <w:jc w:val="left"/>
              <w:rPr>
                <w:rFonts w:hint="eastAsia" w:ascii="宋体" w:hAnsi="宋体" w:cs="Calibri"/>
                <w:color w:val="auto"/>
                <w:highlight w:val="none"/>
              </w:rPr>
            </w:pPr>
            <w:r>
              <w:rPr>
                <w:rFonts w:hint="eastAsia" w:ascii="宋体" w:hAnsi="宋体" w:cs="宋体"/>
                <w:color w:val="auto"/>
                <w:szCs w:val="21"/>
                <w:highlight w:val="none"/>
                <w:lang w:bidi="ar"/>
              </w:rPr>
              <w:t>合同额3%，最高不超过50万元，最低不低于2万元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1820" w:type="dxa"/>
            <w:gridSpan w:val="2"/>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851" w:type="dxa"/>
            <w:tcBorders>
              <w:top w:val="single" w:color="000000" w:sz="4" w:space="0"/>
              <w:left w:val="nil"/>
              <w:bottom w:val="single" w:color="000000"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监理</w:t>
            </w:r>
          </w:p>
        </w:tc>
        <w:tc>
          <w:tcPr>
            <w:tcW w:w="5604" w:type="dxa"/>
            <w:tcBorders>
              <w:top w:val="single" w:color="000000" w:sz="4" w:space="0"/>
              <w:left w:val="nil"/>
              <w:bottom w:val="single" w:color="000000" w:sz="4" w:space="0"/>
              <w:right w:val="single" w:color="auto" w:sz="4" w:space="0"/>
            </w:tcBorders>
            <w:noWrap w:val="0"/>
            <w:vAlign w:val="center"/>
          </w:tcPr>
          <w:p>
            <w:pPr>
              <w:jc w:val="left"/>
              <w:rPr>
                <w:rFonts w:hint="eastAsia" w:ascii="宋体" w:hAnsi="宋体" w:cs="Calibri"/>
                <w:color w:val="auto"/>
                <w:highlight w:val="none"/>
              </w:rPr>
            </w:pPr>
            <w:r>
              <w:rPr>
                <w:rFonts w:hint="eastAsia" w:ascii="宋体" w:hAnsi="宋体" w:cs="宋体"/>
                <w:color w:val="auto"/>
                <w:szCs w:val="21"/>
                <w:highlight w:val="none"/>
                <w:lang w:bidi="ar"/>
              </w:rPr>
              <w:t>合同额3%，最高不超过20万元，最低不低于1万元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1820" w:type="dxa"/>
            <w:gridSpan w:val="2"/>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851" w:type="dxa"/>
            <w:tcBorders>
              <w:top w:val="single" w:color="000000" w:sz="4" w:space="0"/>
              <w:left w:val="nil"/>
              <w:bottom w:val="single" w:color="auto"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施工</w:t>
            </w:r>
          </w:p>
        </w:tc>
        <w:tc>
          <w:tcPr>
            <w:tcW w:w="5604" w:type="dxa"/>
            <w:tcBorders>
              <w:top w:val="single" w:color="000000" w:sz="4" w:space="0"/>
              <w:left w:val="nil"/>
              <w:bottom w:val="single" w:color="000000" w:sz="4" w:space="0"/>
              <w:right w:val="single" w:color="auto" w:sz="4" w:space="0"/>
            </w:tcBorders>
            <w:noWrap w:val="0"/>
            <w:vAlign w:val="center"/>
          </w:tcPr>
          <w:p>
            <w:pPr>
              <w:jc w:val="left"/>
              <w:rPr>
                <w:rFonts w:hint="eastAsia" w:ascii="宋体" w:hAnsi="宋体" w:cs="Calibri"/>
                <w:color w:val="auto"/>
                <w:highlight w:val="none"/>
              </w:rPr>
            </w:pPr>
            <w:r>
              <w:rPr>
                <w:rFonts w:hint="eastAsia" w:ascii="宋体" w:hAnsi="宋体" w:cs="宋体"/>
                <w:color w:val="auto"/>
                <w:szCs w:val="21"/>
                <w:highlight w:val="none"/>
                <w:lang w:bidi="ar"/>
              </w:rPr>
              <w:t>合同额3%，最高不超过150万元，最低不低于10万元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trPr>
        <w:tc>
          <w:tcPr>
            <w:tcW w:w="645" w:type="dxa"/>
            <w:vMerge w:val="restart"/>
            <w:tcBorders>
              <w:top w:val="nil"/>
              <w:left w:val="single" w:color="auto" w:sz="4" w:space="0"/>
              <w:bottom w:val="single" w:color="auto"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2</w:t>
            </w:r>
          </w:p>
        </w:tc>
        <w:tc>
          <w:tcPr>
            <w:tcW w:w="587" w:type="dxa"/>
            <w:vMerge w:val="restart"/>
            <w:tcBorders>
              <w:top w:val="nil"/>
              <w:left w:val="nil"/>
              <w:bottom w:val="single" w:color="auto"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省部级</w:t>
            </w:r>
          </w:p>
        </w:tc>
        <w:tc>
          <w:tcPr>
            <w:tcW w:w="1820" w:type="dxa"/>
            <w:gridSpan w:val="2"/>
            <w:vMerge w:val="restart"/>
            <w:tcBorders>
              <w:top w:val="nil"/>
              <w:left w:val="nil"/>
              <w:bottom w:val="single" w:color="auto"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中国电力</w:t>
            </w:r>
          </w:p>
          <w:p>
            <w:pPr>
              <w:jc w:val="center"/>
              <w:rPr>
                <w:rFonts w:hint="eastAsia" w:ascii="宋体" w:hAnsi="宋体" w:cs="Calibri"/>
                <w:color w:val="auto"/>
                <w:highlight w:val="none"/>
              </w:rPr>
            </w:pPr>
            <w:r>
              <w:rPr>
                <w:rFonts w:hint="eastAsia" w:ascii="宋体" w:hAnsi="宋体" w:cs="宋体"/>
                <w:color w:val="auto"/>
                <w:szCs w:val="21"/>
                <w:highlight w:val="none"/>
                <w:lang w:bidi="ar"/>
              </w:rPr>
              <w:t>优质工程奖</w:t>
            </w:r>
          </w:p>
        </w:tc>
        <w:tc>
          <w:tcPr>
            <w:tcW w:w="851" w:type="dxa"/>
            <w:tcBorders>
              <w:top w:val="single" w:color="auto" w:sz="4" w:space="0"/>
              <w:left w:val="nil"/>
              <w:bottom w:val="single" w:color="000000"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设计</w:t>
            </w:r>
          </w:p>
        </w:tc>
        <w:tc>
          <w:tcPr>
            <w:tcW w:w="5604" w:type="dxa"/>
            <w:tcBorders>
              <w:top w:val="single" w:color="000000" w:sz="4" w:space="0"/>
              <w:left w:val="nil"/>
              <w:bottom w:val="single" w:color="000000" w:sz="4" w:space="0"/>
              <w:right w:val="single" w:color="auto" w:sz="4" w:space="0"/>
            </w:tcBorders>
            <w:noWrap w:val="0"/>
            <w:vAlign w:val="center"/>
          </w:tcPr>
          <w:p>
            <w:pPr>
              <w:jc w:val="left"/>
              <w:rPr>
                <w:rFonts w:hint="eastAsia" w:ascii="宋体" w:hAnsi="宋体" w:cs="Calibri"/>
                <w:color w:val="auto"/>
                <w:highlight w:val="none"/>
              </w:rPr>
            </w:pPr>
            <w:r>
              <w:rPr>
                <w:rFonts w:hint="eastAsia" w:ascii="宋体" w:hAnsi="宋体" w:cs="宋体"/>
                <w:color w:val="auto"/>
                <w:szCs w:val="21"/>
                <w:highlight w:val="none"/>
                <w:lang w:bidi="ar"/>
              </w:rPr>
              <w:t>合同额2%，最高不超过30万元，最低不低于1万元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1820" w:type="dxa"/>
            <w:gridSpan w:val="2"/>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851" w:type="dxa"/>
            <w:tcBorders>
              <w:top w:val="single" w:color="000000" w:sz="4" w:space="0"/>
              <w:left w:val="nil"/>
              <w:bottom w:val="single" w:color="000000"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监理</w:t>
            </w:r>
          </w:p>
        </w:tc>
        <w:tc>
          <w:tcPr>
            <w:tcW w:w="5604" w:type="dxa"/>
            <w:tcBorders>
              <w:top w:val="single" w:color="000000" w:sz="4" w:space="0"/>
              <w:left w:val="nil"/>
              <w:bottom w:val="single" w:color="000000" w:sz="4" w:space="0"/>
              <w:right w:val="single" w:color="auto" w:sz="4" w:space="0"/>
            </w:tcBorders>
            <w:noWrap w:val="0"/>
            <w:vAlign w:val="center"/>
          </w:tcPr>
          <w:p>
            <w:pPr>
              <w:jc w:val="left"/>
              <w:rPr>
                <w:rFonts w:hint="eastAsia" w:ascii="宋体" w:hAnsi="宋体" w:cs="Calibri"/>
                <w:color w:val="auto"/>
                <w:highlight w:val="none"/>
              </w:rPr>
            </w:pPr>
            <w:r>
              <w:rPr>
                <w:rFonts w:hint="eastAsia" w:ascii="宋体" w:hAnsi="宋体" w:cs="宋体"/>
                <w:color w:val="auto"/>
                <w:szCs w:val="21"/>
                <w:highlight w:val="none"/>
                <w:lang w:bidi="ar"/>
              </w:rPr>
              <w:t>合同额2%，最高不超过15万元，最低不低于0.5万元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1820" w:type="dxa"/>
            <w:gridSpan w:val="2"/>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851" w:type="dxa"/>
            <w:tcBorders>
              <w:top w:val="single" w:color="000000" w:sz="4" w:space="0"/>
              <w:left w:val="nil"/>
              <w:bottom w:val="single" w:color="auto"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施工</w:t>
            </w:r>
          </w:p>
        </w:tc>
        <w:tc>
          <w:tcPr>
            <w:tcW w:w="5604" w:type="dxa"/>
            <w:tcBorders>
              <w:top w:val="single" w:color="000000" w:sz="4" w:space="0"/>
              <w:left w:val="nil"/>
              <w:bottom w:val="single" w:color="auto" w:sz="4" w:space="0"/>
              <w:right w:val="single" w:color="auto" w:sz="4" w:space="0"/>
            </w:tcBorders>
            <w:noWrap w:val="0"/>
            <w:vAlign w:val="center"/>
          </w:tcPr>
          <w:p>
            <w:pPr>
              <w:jc w:val="left"/>
              <w:rPr>
                <w:rFonts w:hint="eastAsia" w:ascii="宋体" w:hAnsi="宋体" w:cs="Calibri"/>
                <w:color w:val="auto"/>
                <w:highlight w:val="none"/>
              </w:rPr>
            </w:pPr>
            <w:r>
              <w:rPr>
                <w:rFonts w:hint="eastAsia" w:ascii="宋体" w:hAnsi="宋体" w:cs="宋体"/>
                <w:color w:val="auto"/>
                <w:szCs w:val="21"/>
                <w:highlight w:val="none"/>
                <w:lang w:bidi="ar"/>
              </w:rPr>
              <w:t>合同额2%，最高不超过100万元，最低不低于5万元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645" w:type="dxa"/>
            <w:vMerge w:val="restart"/>
            <w:tcBorders>
              <w:top w:val="nil"/>
              <w:left w:val="single" w:color="auto" w:sz="4" w:space="0"/>
              <w:bottom w:val="single" w:color="auto"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3</w:t>
            </w:r>
          </w:p>
        </w:tc>
        <w:tc>
          <w:tcPr>
            <w:tcW w:w="587" w:type="dxa"/>
            <w:vMerge w:val="restart"/>
            <w:tcBorders>
              <w:top w:val="nil"/>
              <w:left w:val="nil"/>
              <w:bottom w:val="single" w:color="auto"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网公司级</w:t>
            </w:r>
          </w:p>
        </w:tc>
        <w:tc>
          <w:tcPr>
            <w:tcW w:w="1820" w:type="dxa"/>
            <w:gridSpan w:val="2"/>
            <w:vMerge w:val="restart"/>
            <w:tcBorders>
              <w:top w:val="nil"/>
              <w:left w:val="nil"/>
              <w:bottom w:val="single" w:color="auto"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南方电网公司</w:t>
            </w:r>
          </w:p>
          <w:p>
            <w:pPr>
              <w:jc w:val="center"/>
              <w:rPr>
                <w:rFonts w:hint="eastAsia" w:ascii="宋体" w:hAnsi="宋体" w:cs="Calibri"/>
                <w:color w:val="auto"/>
                <w:highlight w:val="none"/>
              </w:rPr>
            </w:pPr>
            <w:r>
              <w:rPr>
                <w:rFonts w:hint="eastAsia" w:ascii="宋体" w:hAnsi="宋体" w:cs="宋体"/>
                <w:color w:val="auto"/>
                <w:szCs w:val="21"/>
                <w:highlight w:val="none"/>
                <w:lang w:bidi="ar"/>
              </w:rPr>
              <w:t>优质工程奖</w:t>
            </w:r>
          </w:p>
        </w:tc>
        <w:tc>
          <w:tcPr>
            <w:tcW w:w="851" w:type="dxa"/>
            <w:tcBorders>
              <w:top w:val="single" w:color="auto" w:sz="4" w:space="0"/>
              <w:left w:val="nil"/>
              <w:bottom w:val="single" w:color="000000"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设计</w:t>
            </w:r>
          </w:p>
        </w:tc>
        <w:tc>
          <w:tcPr>
            <w:tcW w:w="5604" w:type="dxa"/>
            <w:tcBorders>
              <w:top w:val="single" w:color="000000" w:sz="4" w:space="0"/>
              <w:left w:val="nil"/>
              <w:bottom w:val="single" w:color="000000" w:sz="4" w:space="0"/>
              <w:right w:val="single" w:color="auto" w:sz="4" w:space="0"/>
            </w:tcBorders>
            <w:noWrap w:val="0"/>
            <w:vAlign w:val="center"/>
          </w:tcPr>
          <w:p>
            <w:pPr>
              <w:jc w:val="left"/>
              <w:rPr>
                <w:rFonts w:hint="eastAsia" w:ascii="宋体" w:hAnsi="宋体" w:cs="Calibri"/>
                <w:color w:val="auto"/>
                <w:highlight w:val="none"/>
              </w:rPr>
            </w:pPr>
            <w:r>
              <w:rPr>
                <w:rFonts w:hint="eastAsia" w:ascii="宋体" w:hAnsi="宋体" w:cs="宋体"/>
                <w:color w:val="auto"/>
                <w:szCs w:val="21"/>
                <w:highlight w:val="none"/>
                <w:lang w:bidi="ar"/>
              </w:rPr>
              <w:t>合同额1.5%，最高不超过25万元，最低不低于0.5万元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1820" w:type="dxa"/>
            <w:gridSpan w:val="2"/>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851" w:type="dxa"/>
            <w:tcBorders>
              <w:top w:val="single" w:color="000000" w:sz="4" w:space="0"/>
              <w:left w:val="nil"/>
              <w:bottom w:val="single" w:color="000000"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监理</w:t>
            </w:r>
          </w:p>
        </w:tc>
        <w:tc>
          <w:tcPr>
            <w:tcW w:w="5604" w:type="dxa"/>
            <w:tcBorders>
              <w:top w:val="single" w:color="000000" w:sz="4" w:space="0"/>
              <w:left w:val="nil"/>
              <w:bottom w:val="single" w:color="000000" w:sz="4" w:space="0"/>
              <w:right w:val="single" w:color="auto" w:sz="4" w:space="0"/>
            </w:tcBorders>
            <w:noWrap w:val="0"/>
            <w:vAlign w:val="center"/>
          </w:tcPr>
          <w:p>
            <w:pPr>
              <w:jc w:val="left"/>
              <w:rPr>
                <w:rFonts w:hint="eastAsia" w:ascii="宋体" w:hAnsi="宋体" w:cs="Calibri"/>
                <w:color w:val="auto"/>
                <w:highlight w:val="none"/>
              </w:rPr>
            </w:pPr>
            <w:r>
              <w:rPr>
                <w:rFonts w:hint="eastAsia" w:ascii="宋体" w:hAnsi="宋体" w:cs="宋体"/>
                <w:color w:val="auto"/>
                <w:szCs w:val="21"/>
                <w:highlight w:val="none"/>
                <w:lang w:bidi="ar"/>
              </w:rPr>
              <w:t>合同额1.5%，最高不超过10万元，最低不低于0.2万元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1820" w:type="dxa"/>
            <w:gridSpan w:val="2"/>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851" w:type="dxa"/>
            <w:tcBorders>
              <w:top w:val="single" w:color="000000" w:sz="4" w:space="0"/>
              <w:left w:val="nil"/>
              <w:bottom w:val="single" w:color="auto"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施工</w:t>
            </w:r>
          </w:p>
        </w:tc>
        <w:tc>
          <w:tcPr>
            <w:tcW w:w="5604" w:type="dxa"/>
            <w:tcBorders>
              <w:top w:val="single" w:color="000000" w:sz="4" w:space="0"/>
              <w:left w:val="nil"/>
              <w:bottom w:val="single" w:color="auto" w:sz="4" w:space="0"/>
              <w:right w:val="single" w:color="auto" w:sz="4" w:space="0"/>
            </w:tcBorders>
            <w:noWrap w:val="0"/>
            <w:vAlign w:val="center"/>
          </w:tcPr>
          <w:p>
            <w:pPr>
              <w:jc w:val="left"/>
              <w:rPr>
                <w:rFonts w:hint="eastAsia" w:ascii="宋体" w:hAnsi="宋体" w:cs="Calibri"/>
                <w:color w:val="auto"/>
                <w:highlight w:val="none"/>
              </w:rPr>
            </w:pPr>
            <w:r>
              <w:rPr>
                <w:rFonts w:hint="eastAsia" w:ascii="宋体" w:hAnsi="宋体" w:cs="宋体"/>
                <w:color w:val="auto"/>
                <w:szCs w:val="21"/>
                <w:highlight w:val="none"/>
                <w:lang w:bidi="ar"/>
              </w:rPr>
              <w:t>合同额1.5%，最高不超过75万元，最低不低于2万元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645" w:type="dxa"/>
            <w:vMerge w:val="restart"/>
            <w:tcBorders>
              <w:top w:val="nil"/>
              <w:left w:val="single" w:color="auto" w:sz="4" w:space="0"/>
              <w:bottom w:val="single" w:color="auto"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4</w:t>
            </w:r>
          </w:p>
        </w:tc>
        <w:tc>
          <w:tcPr>
            <w:tcW w:w="587" w:type="dxa"/>
            <w:vMerge w:val="restart"/>
            <w:tcBorders>
              <w:top w:val="nil"/>
              <w:left w:val="nil"/>
              <w:bottom w:val="single" w:color="auto" w:sz="4" w:space="0"/>
              <w:right w:val="single" w:color="auto" w:sz="4" w:space="0"/>
            </w:tcBorders>
            <w:noWrap w:val="0"/>
            <w:vAlign w:val="center"/>
          </w:tcPr>
          <w:p>
            <w:pPr>
              <w:jc w:val="center"/>
              <w:rPr>
                <w:rFonts w:hint="eastAsia" w:ascii="宋体" w:hAnsi="宋体" w:cs="Calibri"/>
                <w:color w:val="auto"/>
                <w:kern w:val="0"/>
                <w:highlight w:val="none"/>
              </w:rPr>
            </w:pPr>
            <w:r>
              <w:rPr>
                <w:rFonts w:hint="eastAsia" w:ascii="宋体" w:hAnsi="宋体" w:cs="宋体"/>
                <w:color w:val="auto"/>
                <w:sz w:val="24"/>
                <w:szCs w:val="24"/>
                <w:highlight w:val="none"/>
                <w:lang w:bidi="ar"/>
              </w:rPr>
              <w:t>分子公司级及省级行业协会</w:t>
            </w:r>
          </w:p>
        </w:tc>
        <w:tc>
          <w:tcPr>
            <w:tcW w:w="600" w:type="dxa"/>
            <w:vMerge w:val="restart"/>
            <w:tcBorders>
              <w:top w:val="nil"/>
              <w:left w:val="nil"/>
              <w:bottom w:val="single" w:color="auto"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广州局</w:t>
            </w:r>
          </w:p>
          <w:p>
            <w:pPr>
              <w:jc w:val="center"/>
              <w:rPr>
                <w:rFonts w:hint="eastAsia" w:ascii="宋体" w:hAnsi="宋体" w:cs="Calibri"/>
                <w:color w:val="auto"/>
                <w:highlight w:val="none"/>
              </w:rPr>
            </w:pPr>
            <w:r>
              <w:rPr>
                <w:rFonts w:hint="eastAsia" w:ascii="宋体" w:hAnsi="宋体" w:cs="宋体"/>
                <w:color w:val="auto"/>
                <w:szCs w:val="21"/>
                <w:highlight w:val="none"/>
                <w:lang w:bidi="ar"/>
              </w:rPr>
              <w:t>优质工程奖</w:t>
            </w:r>
          </w:p>
        </w:tc>
        <w:tc>
          <w:tcPr>
            <w:tcW w:w="1220" w:type="dxa"/>
            <w:vMerge w:val="restart"/>
            <w:tcBorders>
              <w:top w:val="nil"/>
              <w:left w:val="nil"/>
              <w:bottom w:val="single" w:color="auto"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一等奖</w:t>
            </w:r>
          </w:p>
        </w:tc>
        <w:tc>
          <w:tcPr>
            <w:tcW w:w="851" w:type="dxa"/>
            <w:tcBorders>
              <w:top w:val="single" w:color="000000" w:sz="4" w:space="0"/>
              <w:left w:val="nil"/>
              <w:bottom w:val="single" w:color="auto"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设计</w:t>
            </w:r>
          </w:p>
        </w:tc>
        <w:tc>
          <w:tcPr>
            <w:tcW w:w="5604" w:type="dxa"/>
            <w:tcBorders>
              <w:top w:val="single" w:color="000000" w:sz="4" w:space="0"/>
              <w:left w:val="nil"/>
              <w:bottom w:val="single" w:color="000000" w:sz="4" w:space="0"/>
              <w:right w:val="single" w:color="auto" w:sz="4" w:space="0"/>
            </w:tcBorders>
            <w:noWrap w:val="0"/>
            <w:vAlign w:val="center"/>
          </w:tcPr>
          <w:p>
            <w:pPr>
              <w:jc w:val="left"/>
              <w:rPr>
                <w:rFonts w:hint="eastAsia" w:ascii="宋体" w:hAnsi="宋体" w:cs="Calibri"/>
                <w:color w:val="auto"/>
                <w:kern w:val="0"/>
                <w:highlight w:val="none"/>
              </w:rPr>
            </w:pPr>
            <w:r>
              <w:rPr>
                <w:rFonts w:hint="eastAsia" w:ascii="宋体" w:hAnsi="宋体" w:cs="宋体"/>
                <w:color w:val="auto"/>
                <w:szCs w:val="21"/>
                <w:highlight w:val="none"/>
                <w:lang w:bidi="ar"/>
              </w:rPr>
              <w:t>合同额1.2%，最高不超过6万元，最低不低于0.2万元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600" w:type="dxa"/>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1220" w:type="dxa"/>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851" w:type="dxa"/>
            <w:tcBorders>
              <w:top w:val="single" w:color="auto" w:sz="4" w:space="0"/>
              <w:left w:val="nil"/>
              <w:bottom w:val="single" w:color="auto"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监理</w:t>
            </w:r>
          </w:p>
        </w:tc>
        <w:tc>
          <w:tcPr>
            <w:tcW w:w="5604" w:type="dxa"/>
            <w:tcBorders>
              <w:top w:val="single" w:color="000000" w:sz="4" w:space="0"/>
              <w:left w:val="nil"/>
              <w:bottom w:val="single" w:color="000000" w:sz="4" w:space="0"/>
              <w:right w:val="single" w:color="auto" w:sz="4" w:space="0"/>
            </w:tcBorders>
            <w:noWrap w:val="0"/>
            <w:vAlign w:val="center"/>
          </w:tcPr>
          <w:p>
            <w:pPr>
              <w:jc w:val="left"/>
              <w:rPr>
                <w:rFonts w:hint="eastAsia" w:ascii="宋体" w:hAnsi="宋体" w:cs="Calibri"/>
                <w:color w:val="auto"/>
                <w:kern w:val="0"/>
                <w:highlight w:val="none"/>
              </w:rPr>
            </w:pPr>
            <w:r>
              <w:rPr>
                <w:rFonts w:hint="eastAsia" w:ascii="宋体" w:hAnsi="宋体" w:cs="宋体"/>
                <w:color w:val="auto"/>
                <w:szCs w:val="21"/>
                <w:highlight w:val="none"/>
                <w:lang w:bidi="ar"/>
              </w:rPr>
              <w:t>合同额1.2%，最高不超过3万元，最低不低于0.1万元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600" w:type="dxa"/>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1220" w:type="dxa"/>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851" w:type="dxa"/>
            <w:tcBorders>
              <w:top w:val="single" w:color="auto" w:sz="4" w:space="0"/>
              <w:left w:val="nil"/>
              <w:bottom w:val="single" w:color="auto"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施工</w:t>
            </w:r>
          </w:p>
        </w:tc>
        <w:tc>
          <w:tcPr>
            <w:tcW w:w="5604" w:type="dxa"/>
            <w:tcBorders>
              <w:top w:val="single" w:color="000000" w:sz="4" w:space="0"/>
              <w:left w:val="nil"/>
              <w:bottom w:val="single" w:color="000000" w:sz="4" w:space="0"/>
              <w:right w:val="single" w:color="auto" w:sz="4" w:space="0"/>
            </w:tcBorders>
            <w:noWrap w:val="0"/>
            <w:vAlign w:val="center"/>
          </w:tcPr>
          <w:p>
            <w:pPr>
              <w:jc w:val="left"/>
              <w:rPr>
                <w:rFonts w:hint="eastAsia" w:ascii="宋体" w:hAnsi="宋体" w:cs="Calibri"/>
                <w:color w:val="auto"/>
                <w:kern w:val="0"/>
                <w:highlight w:val="none"/>
              </w:rPr>
            </w:pPr>
            <w:r>
              <w:rPr>
                <w:rFonts w:hint="eastAsia" w:ascii="宋体" w:hAnsi="宋体" w:cs="宋体"/>
                <w:color w:val="auto"/>
                <w:szCs w:val="21"/>
                <w:highlight w:val="none"/>
                <w:lang w:bidi="ar"/>
              </w:rPr>
              <w:t>合同额1.2%，最高不超过20万元，最低不低于1万元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600" w:type="dxa"/>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1220" w:type="dxa"/>
            <w:vMerge w:val="restart"/>
            <w:tcBorders>
              <w:top w:val="nil"/>
              <w:left w:val="nil"/>
              <w:bottom w:val="single" w:color="auto"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二等奖</w:t>
            </w:r>
          </w:p>
        </w:tc>
        <w:tc>
          <w:tcPr>
            <w:tcW w:w="851" w:type="dxa"/>
            <w:tcBorders>
              <w:top w:val="single" w:color="auto" w:sz="4" w:space="0"/>
              <w:left w:val="nil"/>
              <w:bottom w:val="single" w:color="auto"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设计</w:t>
            </w:r>
          </w:p>
        </w:tc>
        <w:tc>
          <w:tcPr>
            <w:tcW w:w="5604" w:type="dxa"/>
            <w:tcBorders>
              <w:top w:val="single" w:color="000000" w:sz="4" w:space="0"/>
              <w:left w:val="nil"/>
              <w:bottom w:val="single" w:color="000000" w:sz="4" w:space="0"/>
              <w:right w:val="single" w:color="auto" w:sz="4" w:space="0"/>
            </w:tcBorders>
            <w:noWrap w:val="0"/>
            <w:vAlign w:val="center"/>
          </w:tcPr>
          <w:p>
            <w:pPr>
              <w:jc w:val="left"/>
              <w:rPr>
                <w:rFonts w:hint="eastAsia" w:ascii="宋体" w:hAnsi="宋体" w:cs="Calibri"/>
                <w:color w:val="auto"/>
                <w:kern w:val="0"/>
                <w:highlight w:val="none"/>
              </w:rPr>
            </w:pPr>
            <w:r>
              <w:rPr>
                <w:rFonts w:hint="eastAsia" w:ascii="宋体" w:hAnsi="宋体" w:cs="宋体"/>
                <w:color w:val="auto"/>
                <w:szCs w:val="21"/>
                <w:highlight w:val="none"/>
                <w:lang w:bidi="ar"/>
              </w:rPr>
              <w:t>合同额1.1%，最高不超过4万元，最低不低于0.2万元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600" w:type="dxa"/>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1220" w:type="dxa"/>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851" w:type="dxa"/>
            <w:tcBorders>
              <w:top w:val="single" w:color="auto" w:sz="4" w:space="0"/>
              <w:left w:val="nil"/>
              <w:bottom w:val="single" w:color="auto"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监理</w:t>
            </w:r>
          </w:p>
        </w:tc>
        <w:tc>
          <w:tcPr>
            <w:tcW w:w="5604" w:type="dxa"/>
            <w:tcBorders>
              <w:top w:val="single" w:color="000000" w:sz="4" w:space="0"/>
              <w:left w:val="nil"/>
              <w:bottom w:val="single" w:color="000000" w:sz="4" w:space="0"/>
              <w:right w:val="single" w:color="auto" w:sz="4" w:space="0"/>
            </w:tcBorders>
            <w:noWrap w:val="0"/>
            <w:vAlign w:val="center"/>
          </w:tcPr>
          <w:p>
            <w:pPr>
              <w:jc w:val="left"/>
              <w:rPr>
                <w:rFonts w:hint="eastAsia" w:ascii="宋体" w:hAnsi="宋体" w:cs="Calibri"/>
                <w:color w:val="auto"/>
                <w:kern w:val="0"/>
                <w:highlight w:val="none"/>
              </w:rPr>
            </w:pPr>
            <w:r>
              <w:rPr>
                <w:rFonts w:hint="eastAsia" w:ascii="宋体" w:hAnsi="宋体" w:cs="宋体"/>
                <w:color w:val="auto"/>
                <w:szCs w:val="21"/>
                <w:highlight w:val="none"/>
                <w:lang w:bidi="ar"/>
              </w:rPr>
              <w:t>合同额1.1%，最高不超过2万元，最低不低于0.1万元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600" w:type="dxa"/>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1220" w:type="dxa"/>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851" w:type="dxa"/>
            <w:tcBorders>
              <w:top w:val="single" w:color="auto" w:sz="4" w:space="0"/>
              <w:left w:val="nil"/>
              <w:bottom w:val="single" w:color="auto"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施工</w:t>
            </w:r>
          </w:p>
        </w:tc>
        <w:tc>
          <w:tcPr>
            <w:tcW w:w="5604" w:type="dxa"/>
            <w:tcBorders>
              <w:top w:val="single" w:color="000000" w:sz="4" w:space="0"/>
              <w:left w:val="nil"/>
              <w:bottom w:val="single" w:color="000000" w:sz="4" w:space="0"/>
              <w:right w:val="single" w:color="auto" w:sz="4" w:space="0"/>
            </w:tcBorders>
            <w:noWrap w:val="0"/>
            <w:vAlign w:val="center"/>
          </w:tcPr>
          <w:p>
            <w:pPr>
              <w:jc w:val="left"/>
              <w:rPr>
                <w:rFonts w:hint="eastAsia" w:ascii="宋体" w:hAnsi="宋体" w:cs="Calibri"/>
                <w:color w:val="auto"/>
                <w:kern w:val="0"/>
                <w:highlight w:val="none"/>
              </w:rPr>
            </w:pPr>
            <w:r>
              <w:rPr>
                <w:rFonts w:hint="eastAsia" w:ascii="宋体" w:hAnsi="宋体" w:cs="宋体"/>
                <w:color w:val="auto"/>
                <w:szCs w:val="21"/>
                <w:highlight w:val="none"/>
                <w:lang w:bidi="ar"/>
              </w:rPr>
              <w:t>合同额1.1%，最高不超过15万元，最低不低于1万元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600" w:type="dxa"/>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1220" w:type="dxa"/>
            <w:vMerge w:val="restart"/>
            <w:tcBorders>
              <w:top w:val="nil"/>
              <w:left w:val="nil"/>
              <w:bottom w:val="single" w:color="auto"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三等奖</w:t>
            </w:r>
          </w:p>
        </w:tc>
        <w:tc>
          <w:tcPr>
            <w:tcW w:w="851" w:type="dxa"/>
            <w:tcBorders>
              <w:top w:val="single" w:color="auto" w:sz="4" w:space="0"/>
              <w:left w:val="nil"/>
              <w:bottom w:val="single" w:color="auto"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设计</w:t>
            </w:r>
          </w:p>
        </w:tc>
        <w:tc>
          <w:tcPr>
            <w:tcW w:w="5604" w:type="dxa"/>
            <w:tcBorders>
              <w:top w:val="single" w:color="000000" w:sz="4" w:space="0"/>
              <w:left w:val="nil"/>
              <w:bottom w:val="single" w:color="000000" w:sz="4" w:space="0"/>
              <w:right w:val="single" w:color="auto" w:sz="4" w:space="0"/>
            </w:tcBorders>
            <w:noWrap w:val="0"/>
            <w:vAlign w:val="center"/>
          </w:tcPr>
          <w:p>
            <w:pPr>
              <w:jc w:val="left"/>
              <w:rPr>
                <w:rFonts w:hint="eastAsia" w:ascii="宋体" w:hAnsi="宋体" w:cs="Calibri"/>
                <w:color w:val="auto"/>
                <w:kern w:val="0"/>
                <w:highlight w:val="none"/>
              </w:rPr>
            </w:pPr>
            <w:r>
              <w:rPr>
                <w:rFonts w:hint="eastAsia" w:ascii="宋体" w:hAnsi="宋体" w:cs="宋体"/>
                <w:color w:val="auto"/>
                <w:szCs w:val="21"/>
                <w:highlight w:val="none"/>
                <w:lang w:bidi="ar"/>
              </w:rPr>
              <w:t>合同额1.0%，最高不超过2万元，最低不低于0.2万元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600" w:type="dxa"/>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1220" w:type="dxa"/>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851" w:type="dxa"/>
            <w:tcBorders>
              <w:top w:val="single" w:color="auto" w:sz="4" w:space="0"/>
              <w:left w:val="nil"/>
              <w:bottom w:val="single" w:color="auto"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监理</w:t>
            </w:r>
          </w:p>
        </w:tc>
        <w:tc>
          <w:tcPr>
            <w:tcW w:w="5604" w:type="dxa"/>
            <w:tcBorders>
              <w:top w:val="single" w:color="000000" w:sz="4" w:space="0"/>
              <w:left w:val="nil"/>
              <w:bottom w:val="single" w:color="000000" w:sz="4" w:space="0"/>
              <w:right w:val="single" w:color="auto" w:sz="4" w:space="0"/>
            </w:tcBorders>
            <w:noWrap w:val="0"/>
            <w:vAlign w:val="center"/>
          </w:tcPr>
          <w:p>
            <w:pPr>
              <w:jc w:val="left"/>
              <w:rPr>
                <w:rFonts w:hint="eastAsia" w:ascii="宋体" w:hAnsi="宋体" w:cs="Calibri"/>
                <w:color w:val="auto"/>
                <w:kern w:val="0"/>
                <w:highlight w:val="none"/>
              </w:rPr>
            </w:pPr>
            <w:r>
              <w:rPr>
                <w:rFonts w:hint="eastAsia" w:ascii="宋体" w:hAnsi="宋体" w:cs="宋体"/>
                <w:color w:val="auto"/>
                <w:szCs w:val="21"/>
                <w:highlight w:val="none"/>
                <w:lang w:bidi="ar"/>
              </w:rPr>
              <w:t>合同额1.0%，最高不超过1万元，最低不低于0.1万元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600" w:type="dxa"/>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1220" w:type="dxa"/>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851" w:type="dxa"/>
            <w:tcBorders>
              <w:top w:val="single" w:color="auto" w:sz="4" w:space="0"/>
              <w:left w:val="nil"/>
              <w:bottom w:val="single" w:color="auto"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施工</w:t>
            </w:r>
          </w:p>
        </w:tc>
        <w:tc>
          <w:tcPr>
            <w:tcW w:w="5604" w:type="dxa"/>
            <w:tcBorders>
              <w:top w:val="single" w:color="000000" w:sz="4" w:space="0"/>
              <w:left w:val="nil"/>
              <w:bottom w:val="single" w:color="000000" w:sz="4" w:space="0"/>
              <w:right w:val="single" w:color="auto" w:sz="4" w:space="0"/>
            </w:tcBorders>
            <w:noWrap w:val="0"/>
            <w:vAlign w:val="center"/>
          </w:tcPr>
          <w:p>
            <w:pPr>
              <w:jc w:val="left"/>
              <w:rPr>
                <w:rFonts w:hint="eastAsia" w:ascii="宋体" w:hAnsi="宋体" w:cs="Calibri"/>
                <w:color w:val="auto"/>
                <w:kern w:val="0"/>
                <w:highlight w:val="none"/>
              </w:rPr>
            </w:pPr>
            <w:r>
              <w:rPr>
                <w:rFonts w:hint="eastAsia" w:ascii="宋体" w:hAnsi="宋体" w:cs="宋体"/>
                <w:color w:val="auto"/>
                <w:szCs w:val="21"/>
                <w:highlight w:val="none"/>
                <w:lang w:bidi="ar"/>
              </w:rPr>
              <w:t>合同额1.0%，最高不超过8万元，最低不低于1万元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1820" w:type="dxa"/>
            <w:gridSpan w:val="2"/>
            <w:vMerge w:val="restart"/>
            <w:tcBorders>
              <w:top w:val="nil"/>
              <w:left w:val="nil"/>
              <w:bottom w:val="single" w:color="auto"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省级行业协会</w:t>
            </w:r>
          </w:p>
          <w:p>
            <w:pPr>
              <w:jc w:val="center"/>
              <w:rPr>
                <w:rFonts w:hint="eastAsia" w:ascii="宋体" w:hAnsi="宋体" w:cs="Calibri"/>
                <w:color w:val="auto"/>
                <w:highlight w:val="none"/>
              </w:rPr>
            </w:pPr>
            <w:r>
              <w:rPr>
                <w:rFonts w:hint="eastAsia" w:ascii="宋体" w:hAnsi="宋体" w:cs="宋体"/>
                <w:color w:val="auto"/>
                <w:szCs w:val="21"/>
                <w:highlight w:val="none"/>
                <w:lang w:bidi="ar"/>
              </w:rPr>
              <w:t>优质工程奖</w:t>
            </w:r>
          </w:p>
        </w:tc>
        <w:tc>
          <w:tcPr>
            <w:tcW w:w="851" w:type="dxa"/>
            <w:tcBorders>
              <w:top w:val="single" w:color="auto" w:sz="4" w:space="0"/>
              <w:left w:val="nil"/>
              <w:bottom w:val="single" w:color="auto"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设计</w:t>
            </w:r>
          </w:p>
        </w:tc>
        <w:tc>
          <w:tcPr>
            <w:tcW w:w="5604" w:type="dxa"/>
            <w:tcBorders>
              <w:top w:val="single" w:color="000000" w:sz="4" w:space="0"/>
              <w:left w:val="nil"/>
              <w:bottom w:val="single" w:color="000000" w:sz="4" w:space="0"/>
              <w:right w:val="single" w:color="auto" w:sz="4" w:space="0"/>
            </w:tcBorders>
            <w:noWrap w:val="0"/>
            <w:vAlign w:val="center"/>
          </w:tcPr>
          <w:p>
            <w:pPr>
              <w:jc w:val="left"/>
              <w:rPr>
                <w:rFonts w:hint="eastAsia" w:ascii="宋体" w:hAnsi="宋体" w:cs="Calibri"/>
                <w:color w:val="auto"/>
                <w:kern w:val="0"/>
                <w:highlight w:val="none"/>
              </w:rPr>
            </w:pPr>
            <w:r>
              <w:rPr>
                <w:rFonts w:hint="eastAsia" w:ascii="宋体" w:hAnsi="宋体" w:cs="宋体"/>
                <w:color w:val="auto"/>
                <w:szCs w:val="21"/>
                <w:highlight w:val="none"/>
                <w:lang w:bidi="ar"/>
              </w:rPr>
              <w:t>合同额1.2%，最高不超过6万元，最低不低于0.2万元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1820" w:type="dxa"/>
            <w:gridSpan w:val="2"/>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851" w:type="dxa"/>
            <w:tcBorders>
              <w:top w:val="single" w:color="auto" w:sz="4" w:space="0"/>
              <w:left w:val="nil"/>
              <w:bottom w:val="single" w:color="auto"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监理</w:t>
            </w:r>
          </w:p>
        </w:tc>
        <w:tc>
          <w:tcPr>
            <w:tcW w:w="5604" w:type="dxa"/>
            <w:tcBorders>
              <w:top w:val="single" w:color="000000" w:sz="4" w:space="0"/>
              <w:left w:val="nil"/>
              <w:bottom w:val="single" w:color="auto" w:sz="4" w:space="0"/>
              <w:right w:val="single" w:color="auto" w:sz="4" w:space="0"/>
            </w:tcBorders>
            <w:noWrap w:val="0"/>
            <w:vAlign w:val="center"/>
          </w:tcPr>
          <w:p>
            <w:pPr>
              <w:jc w:val="left"/>
              <w:rPr>
                <w:rFonts w:hint="eastAsia" w:ascii="宋体" w:hAnsi="宋体" w:cs="Calibri"/>
                <w:color w:val="auto"/>
                <w:kern w:val="0"/>
                <w:highlight w:val="none"/>
              </w:rPr>
            </w:pPr>
            <w:r>
              <w:rPr>
                <w:rFonts w:hint="eastAsia" w:ascii="宋体" w:hAnsi="宋体" w:cs="宋体"/>
                <w:color w:val="auto"/>
                <w:szCs w:val="21"/>
                <w:highlight w:val="none"/>
                <w:lang w:bidi="ar"/>
              </w:rPr>
              <w:t>合同额1.2%，最高不超过3万元，最低不低于0.1万元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1820" w:type="dxa"/>
            <w:gridSpan w:val="2"/>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851" w:type="dxa"/>
            <w:tcBorders>
              <w:top w:val="single" w:color="auto" w:sz="4" w:space="0"/>
              <w:left w:val="nil"/>
              <w:bottom w:val="single" w:color="auto"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施工</w:t>
            </w:r>
          </w:p>
        </w:tc>
        <w:tc>
          <w:tcPr>
            <w:tcW w:w="5604" w:type="dxa"/>
            <w:tcBorders>
              <w:top w:val="single" w:color="auto" w:sz="4" w:space="0"/>
              <w:left w:val="nil"/>
              <w:bottom w:val="single" w:color="auto" w:sz="4" w:space="0"/>
              <w:right w:val="single" w:color="auto" w:sz="4" w:space="0"/>
            </w:tcBorders>
            <w:noWrap w:val="0"/>
            <w:vAlign w:val="center"/>
          </w:tcPr>
          <w:p>
            <w:pPr>
              <w:jc w:val="left"/>
              <w:rPr>
                <w:rFonts w:hint="eastAsia" w:ascii="宋体" w:hAnsi="宋体" w:cs="Calibri"/>
                <w:color w:val="auto"/>
                <w:kern w:val="0"/>
                <w:highlight w:val="none"/>
              </w:rPr>
            </w:pPr>
            <w:r>
              <w:rPr>
                <w:rFonts w:hint="eastAsia" w:ascii="宋体" w:hAnsi="宋体" w:cs="宋体"/>
                <w:color w:val="auto"/>
                <w:szCs w:val="21"/>
                <w:highlight w:val="none"/>
                <w:lang w:bidi="ar"/>
              </w:rPr>
              <w:t>合同额1.2%，最高不超过20万元，最低不低于1万元</w:t>
            </w:r>
          </w:p>
        </w:tc>
      </w:tr>
    </w:tbl>
    <w:p>
      <w:pPr>
        <w:pStyle w:val="9"/>
        <w:widowControl w:val="0"/>
        <w:spacing w:after="0" w:afterAutospacing="0"/>
        <w:ind w:firstLine="420" w:firstLineChars="200"/>
        <w:jc w:val="both"/>
        <w:rPr>
          <w:rFonts w:hint="eastAsia"/>
          <w:color w:val="auto"/>
          <w:highlight w:val="none"/>
        </w:rPr>
      </w:pPr>
      <w:r>
        <w:rPr>
          <w:rFonts w:hint="eastAsia"/>
          <w:color w:val="auto"/>
          <w:kern w:val="2"/>
          <w:sz w:val="21"/>
          <w:szCs w:val="21"/>
          <w:highlight w:val="none"/>
          <w:lang w:bidi="ar"/>
        </w:rPr>
        <w:t>奖励办法：</w:t>
      </w:r>
    </w:p>
    <w:p>
      <w:pPr>
        <w:ind w:firstLine="420" w:firstLineChars="200"/>
        <w:rPr>
          <w:rFonts w:hint="eastAsia" w:ascii="宋体" w:hAnsi="宋体" w:cs="宋体"/>
          <w:color w:val="auto"/>
          <w:highlight w:val="none"/>
        </w:rPr>
      </w:pPr>
      <w:r>
        <w:rPr>
          <w:rFonts w:hint="eastAsia" w:ascii="宋体" w:hAnsi="宋体" w:cs="宋体"/>
          <w:color w:val="auto"/>
          <w:szCs w:val="21"/>
          <w:highlight w:val="none"/>
          <w:lang w:bidi="ar"/>
        </w:rPr>
        <w:t>①优质工程奖励金需在奖项颁发之日起至项目整体结算前由工程承包商向建设单位提出申请，双方按原合同或本方案奖励标准签订补充合同条款确定奖励金，本补充协议签订后，发包人一次性支付全额奖励金给承包人。如工程承包商在项目整体结算前未提出奖励金申请或获奖证明在工程决算后颁发的，只对工程承包商进行通报表扬，不再颁发奖励金。</w:t>
      </w:r>
    </w:p>
    <w:p>
      <w:pPr>
        <w:ind w:firstLine="420" w:firstLineChars="200"/>
        <w:rPr>
          <w:rFonts w:hint="eastAsia" w:ascii="宋体" w:hAnsi="宋体" w:cs="宋体"/>
          <w:color w:val="auto"/>
          <w:highlight w:val="none"/>
        </w:rPr>
      </w:pPr>
      <w:r>
        <w:rPr>
          <w:rFonts w:hint="eastAsia" w:ascii="宋体" w:hAnsi="宋体" w:cs="宋体"/>
          <w:color w:val="auto"/>
          <w:szCs w:val="21"/>
          <w:highlight w:val="none"/>
          <w:lang w:bidi="ar"/>
        </w:rPr>
        <w:t>②工程合同按费率报价的，应由获奖工程的预算及合同投标报价费率计算对应“合同”金额，作为优质工程奖励金的计算基数。</w:t>
      </w:r>
    </w:p>
    <w:p>
      <w:pPr>
        <w:ind w:firstLine="420" w:firstLineChars="200"/>
        <w:rPr>
          <w:rFonts w:hint="eastAsia" w:ascii="宋体" w:hAnsi="宋体" w:cs="宋体"/>
          <w:color w:val="auto"/>
          <w:highlight w:val="none"/>
        </w:rPr>
      </w:pPr>
      <w:r>
        <w:rPr>
          <w:rFonts w:hint="eastAsia" w:ascii="宋体" w:hAnsi="宋体" w:cs="宋体"/>
          <w:color w:val="auto"/>
          <w:szCs w:val="21"/>
          <w:highlight w:val="none"/>
          <w:lang w:bidi="ar"/>
        </w:rPr>
        <w:t>③取得多个同等或不同级别优质工程奖项的工程，奖励金不重复计算，工程承包商只能按取得奖励金最高的奖项申报。</w:t>
      </w:r>
    </w:p>
    <w:p>
      <w:pPr>
        <w:ind w:firstLine="420" w:firstLineChars="200"/>
        <w:rPr>
          <w:rFonts w:hint="eastAsia" w:ascii="宋体" w:hAnsi="宋体" w:cs="宋体"/>
          <w:color w:val="auto"/>
          <w:highlight w:val="none"/>
        </w:rPr>
      </w:pPr>
      <w:r>
        <w:rPr>
          <w:rFonts w:hint="eastAsia" w:ascii="宋体" w:hAnsi="宋体" w:cs="宋体"/>
          <w:color w:val="auto"/>
          <w:szCs w:val="21"/>
          <w:highlight w:val="none"/>
          <w:lang w:bidi="ar"/>
        </w:rPr>
        <w:t>④同一合同包含多个单项工程的，按取得优质工程奖的对应单项合同价格计算奖励金。</w:t>
      </w:r>
    </w:p>
    <w:p>
      <w:pPr>
        <w:ind w:firstLine="420" w:firstLineChars="200"/>
        <w:rPr>
          <w:rFonts w:hint="eastAsia" w:ascii="宋体" w:hAnsi="宋体" w:cs="宋体"/>
          <w:color w:val="auto"/>
          <w:highlight w:val="none"/>
        </w:rPr>
      </w:pPr>
      <w:r>
        <w:rPr>
          <w:rFonts w:hint="eastAsia" w:ascii="宋体" w:hAnsi="宋体" w:cs="宋体"/>
          <w:color w:val="auto"/>
          <w:szCs w:val="21"/>
          <w:highlight w:val="none"/>
          <w:lang w:bidi="ar"/>
        </w:rPr>
        <w:t>⑤同一获奖工程包括多个同类承包商的，只考虑对参与申报优质工程奖评选的承包商进行奖励，由建设单位审批奖励金申请。</w:t>
      </w:r>
    </w:p>
    <w:p>
      <w:pPr>
        <w:widowControl/>
        <w:ind w:firstLine="420" w:firstLineChars="200"/>
        <w:jc w:val="left"/>
        <w:rPr>
          <w:rFonts w:hint="eastAsia" w:ascii="宋体" w:hAnsi="宋体"/>
          <w:color w:val="auto"/>
          <w:szCs w:val="21"/>
          <w:highlight w:val="none"/>
          <w:lang w:bidi="ar"/>
        </w:rPr>
      </w:pPr>
      <w:r>
        <w:rPr>
          <w:rFonts w:hint="eastAsia" w:ascii="宋体" w:hAnsi="宋体"/>
          <w:color w:val="auto"/>
          <w:szCs w:val="21"/>
          <w:highlight w:val="none"/>
          <w:lang w:bidi="ar"/>
        </w:rPr>
        <w:t>⑥申报奖项所产生的所有经费已包含在合同价中，不再额外计取。</w:t>
      </w:r>
    </w:p>
    <w:p>
      <w:pPr>
        <w:widowControl/>
        <w:ind w:firstLine="420" w:firstLineChars="200"/>
        <w:jc w:val="left"/>
        <w:rPr>
          <w:rFonts w:hint="eastAsia" w:ascii="宋体" w:hAnsi="宋体"/>
          <w:color w:val="auto"/>
          <w:szCs w:val="21"/>
          <w:highlight w:val="none"/>
          <w:lang w:bidi="ar"/>
        </w:rPr>
      </w:pPr>
      <w:r>
        <w:rPr>
          <w:rFonts w:hint="eastAsia"/>
          <w:color w:val="auto"/>
          <w:szCs w:val="21"/>
          <w:highlight w:val="none"/>
          <w:lang w:val="zh-CN"/>
        </w:rPr>
        <w:t>⑦以联合体方式组成的中标人，可以以联合体组合或者其中一方独立的名义申请奖励金，奖励金按申请单位所对应的合同金额作为计算基数计取。</w:t>
      </w:r>
    </w:p>
    <w:p>
      <w:pPr>
        <w:pStyle w:val="13"/>
        <w:spacing w:after="0"/>
        <w:ind w:left="0" w:leftChars="0" w:firstLine="422" w:firstLineChars="200"/>
        <w:jc w:val="both"/>
        <w:rPr>
          <w:rFonts w:hint="eastAsia" w:ascii="宋体" w:eastAsia="宋体"/>
          <w:color w:val="auto"/>
          <w:szCs w:val="24"/>
          <w:highlight w:val="none"/>
          <w:shd w:val="clear" w:color="auto" w:fill="auto"/>
          <w:lang w:val="en-US" w:eastAsia="zh-CN"/>
        </w:rPr>
      </w:pPr>
      <w:r>
        <w:rPr>
          <w:rFonts w:hint="eastAsia" w:ascii="宋体" w:eastAsia="宋体"/>
          <w:color w:val="auto"/>
          <w:szCs w:val="24"/>
          <w:highlight w:val="none"/>
          <w:shd w:val="clear" w:color="auto" w:fill="auto"/>
          <w:lang w:val="en-US" w:eastAsia="zh-CN"/>
        </w:rPr>
        <w:t>4.承包人</w:t>
      </w:r>
    </w:p>
    <w:p>
      <w:pPr>
        <w:pStyle w:val="13"/>
        <w:spacing w:after="0"/>
        <w:ind w:left="0" w:leftChars="0" w:firstLine="420" w:firstLineChars="200"/>
        <w:jc w:val="both"/>
        <w:rPr>
          <w:rFonts w:hint="eastAsia" w:ascii="宋体" w:eastAsia="宋体"/>
          <w:b w:val="0"/>
          <w:bCs/>
          <w:color w:val="auto"/>
          <w:szCs w:val="24"/>
          <w:highlight w:val="none"/>
          <w:shd w:val="clear" w:color="auto" w:fill="auto"/>
          <w:lang w:val="en-US" w:eastAsia="zh-CN"/>
        </w:rPr>
      </w:pPr>
      <w:r>
        <w:rPr>
          <w:rFonts w:hint="eastAsia" w:ascii="宋体" w:eastAsia="宋体"/>
          <w:b w:val="0"/>
          <w:bCs/>
          <w:color w:val="auto"/>
          <w:szCs w:val="24"/>
          <w:highlight w:val="none"/>
          <w:shd w:val="clear" w:color="auto" w:fill="auto"/>
          <w:lang w:val="en-US" w:eastAsia="zh-CN"/>
        </w:rPr>
        <w:t>4.1 承包人的一般义务</w:t>
      </w:r>
    </w:p>
    <w:p>
      <w:pPr>
        <w:pStyle w:val="13"/>
        <w:spacing w:after="0"/>
        <w:ind w:left="0" w:leftChars="0" w:firstLine="422" w:firstLineChars="200"/>
        <w:rPr>
          <w:rFonts w:hint="eastAsia" w:ascii="宋体" w:hAnsi="宋体"/>
          <w:b/>
          <w:bCs w:val="0"/>
          <w:color w:val="auto"/>
          <w:szCs w:val="21"/>
          <w:highlight w:val="none"/>
          <w:shd w:val="clear" w:color="auto" w:fill="auto"/>
          <w:lang w:val="en-US" w:eastAsia="zh-CN"/>
        </w:rPr>
      </w:pPr>
      <w:r>
        <w:rPr>
          <w:rFonts w:hint="eastAsia" w:ascii="宋体"/>
          <w:b/>
          <w:bCs w:val="0"/>
          <w:color w:val="auto"/>
          <w:szCs w:val="21"/>
          <w:highlight w:val="none"/>
          <w:shd w:val="clear" w:color="auto" w:fill="auto"/>
          <w:lang w:val="en-US" w:eastAsia="zh-CN"/>
        </w:rPr>
        <w:t>增加</w:t>
      </w:r>
      <w:r>
        <w:rPr>
          <w:rFonts w:hint="eastAsia" w:ascii="宋体" w:hAnsi="宋体"/>
          <w:b/>
          <w:bCs w:val="0"/>
          <w:color w:val="auto"/>
          <w:szCs w:val="21"/>
          <w:highlight w:val="none"/>
          <w:shd w:val="clear" w:color="auto" w:fill="auto"/>
          <w:lang w:val="en-US" w:eastAsia="zh-CN"/>
        </w:rPr>
        <w:t>以下内容到4.1款：</w:t>
      </w:r>
    </w:p>
    <w:p>
      <w:pPr>
        <w:pStyle w:val="13"/>
        <w:spacing w:after="0"/>
        <w:ind w:left="0" w:leftChars="0" w:firstLine="422" w:firstLineChars="200"/>
        <w:rPr>
          <w:rFonts w:hint="eastAsia" w:ascii="宋体"/>
          <w:color w:val="auto"/>
          <w:highlight w:val="none"/>
        </w:rPr>
      </w:pPr>
      <w:r>
        <w:rPr>
          <w:rFonts w:hint="eastAsia" w:ascii="宋体"/>
          <w:color w:val="auto"/>
          <w:highlight w:val="none"/>
        </w:rPr>
        <w:t>（18）其他：</w:t>
      </w:r>
    </w:p>
    <w:p>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1）投标人自行调查设备、材料、机具等市场情况，并自行承担相应的市场风险责任；</w:t>
      </w:r>
    </w:p>
    <w:p>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2）按南网项目管理和质量实体样板要求所需相应的措施费；</w:t>
      </w:r>
    </w:p>
    <w:p>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3）全面开展标准建设工作；</w:t>
      </w:r>
    </w:p>
    <w:p>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4）道路通行及维护、场地移交、场地物资堆放及二次倒运等工作；</w:t>
      </w:r>
    </w:p>
    <w:p>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5）施工期间国家政策调整（含行业计价标准调整）和物价指数变化的影响；</w:t>
      </w:r>
    </w:p>
    <w:p>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6）施工期间做好水土保持工作，负责施工废弃物、噪音及扬尘污染、道路通行及损毁修补、强夯、爆破等对周边居民生产生活及建构筑物的影响处理，负责协调和处理此类施工问题造成的纠纷、阻工等，及因此产生的费用（含地方政府向承包人收取的相关费用）。</w:t>
      </w:r>
    </w:p>
    <w:p>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7）施工现场照明，采用节能照明灯具的比率大于80％；</w:t>
      </w:r>
    </w:p>
    <w:p>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8）现场办公临建建设，承包人支付有关的用水、用电、通信、排污等费用，并负责维护工作，并在建设单位要求时负责拆除、及恢复场地；</w:t>
      </w:r>
    </w:p>
    <w:p>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9）负责投产或移交前工程实体等相关维护工作；</w:t>
      </w:r>
    </w:p>
    <w:p>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 xml:space="preserve">10）配合建设单位各类检查、检测、监测、验收、评审、协调、评优、安风体系建设等工作； </w:t>
      </w:r>
    </w:p>
    <w:p>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11）竣工验收前办理并提供相关行政主管部门出具的无欠薪证明、无重大安全事故证明等材料；</w:t>
      </w:r>
    </w:p>
    <w:p>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12）自行考虑冬、雨季施工措施费用和影响；</w:t>
      </w:r>
    </w:p>
    <w:p>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13）及时应用和填报南网基建一体化信息系统；</w:t>
      </w:r>
    </w:p>
    <w:p>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14）其他图纸未列项或描述，但根据招标文件和合同要求应由投标人负责的工作。</w:t>
      </w:r>
    </w:p>
    <w:p>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15）按照《保障农民工工资支付条例》要求及国家、当地政府或建设单位最新的农民工工资最新管理要求，足额支付农民工工资。</w:t>
      </w:r>
    </w:p>
    <w:p>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16）承包人的人员需按照建设工程实名制要求进行实名制登记，未登记人员不得进入项目现场施工。</w:t>
      </w:r>
    </w:p>
    <w:p>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17）承包人应在开工前设立农民工工资专用账户，账户报监理工程师、业主项目部备案。</w:t>
      </w:r>
    </w:p>
    <w:p>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18）承包人应采取工资支付公示签字或其他确认方式，向农民工公示工资支付情况并双方确认。</w:t>
      </w:r>
    </w:p>
    <w:p>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19）承包人应在工程竣工后，进行结清务工人员工资公示，公示结果报监理工程师、业主项目部备案。</w:t>
      </w:r>
    </w:p>
    <w:p>
      <w:pPr>
        <w:pStyle w:val="13"/>
        <w:spacing w:after="0"/>
        <w:ind w:left="0" w:leftChars="0" w:firstLine="420" w:firstLineChars="200"/>
        <w:rPr>
          <w:rFonts w:hint="default" w:ascii="宋体" w:eastAsia="宋体"/>
          <w:b w:val="0"/>
          <w:bCs/>
          <w:color w:val="auto"/>
          <w:highlight w:val="none"/>
          <w:lang w:val="en-US" w:eastAsia="zh-CN"/>
        </w:rPr>
      </w:pPr>
      <w:r>
        <w:rPr>
          <w:rFonts w:hint="eastAsia" w:ascii="宋体"/>
          <w:b w:val="0"/>
          <w:bCs/>
          <w:color w:val="auto"/>
          <w:highlight w:val="none"/>
          <w:lang w:val="en-US" w:eastAsia="zh-CN"/>
        </w:rPr>
        <w:t>20）</w:t>
      </w:r>
      <w:r>
        <w:rPr>
          <w:rFonts w:hint="eastAsia" w:ascii="宋体" w:hAnsi="宋体" w:eastAsia="宋体" w:cs="宋体"/>
          <w:color w:val="auto"/>
          <w:szCs w:val="21"/>
          <w:highlight w:val="none"/>
          <w:lang w:val="en-US" w:eastAsia="zh-CN"/>
        </w:rPr>
        <w:t>承包人应按照《工程建设领域农民工工资保证金规定》及国家、当地政府或建设单位最新规定，按施工合同额1%存储工资保证金。若工程所在地人力资源和社会保障行政部门制定关于农民工工资保证金的具体规定，乙方按其规定存储农民工工资保证金或开具银行保函。</w:t>
      </w:r>
    </w:p>
    <w:p>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2</w:t>
      </w:r>
      <w:r>
        <w:rPr>
          <w:rFonts w:hint="eastAsia" w:ascii="宋体"/>
          <w:b w:val="0"/>
          <w:bCs/>
          <w:color w:val="auto"/>
          <w:highlight w:val="none"/>
          <w:lang w:val="en-US" w:eastAsia="zh-CN"/>
        </w:rPr>
        <w:t>1</w:t>
      </w:r>
      <w:r>
        <w:rPr>
          <w:rFonts w:hint="eastAsia" w:ascii="宋体"/>
          <w:b w:val="0"/>
          <w:bCs/>
          <w:color w:val="auto"/>
          <w:highlight w:val="none"/>
        </w:rPr>
        <w:t>）承包人施工现场安全文明施工</w:t>
      </w:r>
      <w:r>
        <w:rPr>
          <w:rFonts w:hint="eastAsia" w:ascii="宋体"/>
          <w:b w:val="0"/>
          <w:bCs/>
          <w:color w:val="auto"/>
          <w:highlight w:val="none"/>
          <w:lang w:val="en-US" w:eastAsia="zh-CN"/>
        </w:rPr>
        <w:t>实施及其费用</w:t>
      </w:r>
      <w:r>
        <w:rPr>
          <w:rFonts w:hint="eastAsia" w:ascii="宋体"/>
          <w:b w:val="0"/>
          <w:bCs/>
          <w:color w:val="auto"/>
          <w:highlight w:val="none"/>
        </w:rPr>
        <w:t>执行《关于印发基建项目安全文明施工使用工作指引（试行）的通知》（广电办建[2022]28号）</w:t>
      </w:r>
      <w:r>
        <w:rPr>
          <w:rFonts w:hint="eastAsia" w:ascii="宋体"/>
          <w:b w:val="0"/>
          <w:bCs/>
          <w:color w:val="auto"/>
          <w:highlight w:val="none"/>
          <w:lang w:val="en-US" w:eastAsia="zh-CN"/>
        </w:rPr>
        <w:t>、《电力总额总站关于调整安全文明施工费的通知（定额[2023]9号）》</w:t>
      </w:r>
      <w:r>
        <w:rPr>
          <w:rFonts w:hint="eastAsia" w:ascii="宋体"/>
          <w:b w:val="0"/>
          <w:bCs/>
          <w:color w:val="auto"/>
          <w:highlight w:val="none"/>
        </w:rPr>
        <w:t>的相关要求。</w:t>
      </w:r>
    </w:p>
    <w:p>
      <w:pPr>
        <w:pStyle w:val="13"/>
        <w:spacing w:after="0"/>
        <w:ind w:left="0" w:leftChars="0" w:firstLine="420" w:firstLineChars="200"/>
        <w:rPr>
          <w:rFonts w:hint="eastAsia" w:ascii="宋体" w:hAnsi="宋体" w:eastAsia="宋体" w:cs="Times New Roman"/>
          <w:b w:val="0"/>
          <w:bCs w:val="0"/>
          <w:color w:val="auto"/>
          <w:highlight w:val="none"/>
          <w:lang w:eastAsia="zh-CN"/>
        </w:rPr>
      </w:pPr>
      <w:r>
        <w:rPr>
          <w:rFonts w:hint="eastAsia" w:ascii="宋体" w:hAnsi="宋体" w:eastAsia="宋体" w:cs="Times New Roman"/>
          <w:b w:val="0"/>
          <w:bCs w:val="0"/>
          <w:color w:val="auto"/>
          <w:highlight w:val="none"/>
        </w:rPr>
        <w:t>22）施工专项补助费执行《关于落实35kV及以上变电改扩建项目施工专项补助费列支有关工作的通知（基建部20230035）》的要求，投标人报价时按文件要求将施工专项补助费作为“竞争性费用”列入投标报价中（投标报价的专项补助费不得高于招标文件公布的专项补助费），并按费用标准计算的</w:t>
      </w:r>
      <w:r>
        <w:rPr>
          <w:rFonts w:hint="eastAsia" w:ascii="宋体" w:hAnsi="宋体" w:eastAsia="宋体" w:cs="Times New Roman"/>
          <w:b w:val="0"/>
          <w:bCs w:val="0"/>
          <w:color w:val="auto"/>
          <w:highlight w:val="none"/>
          <w:lang w:val="en-US" w:eastAsia="zh-CN"/>
        </w:rPr>
        <w:t>施工</w:t>
      </w:r>
      <w:r>
        <w:rPr>
          <w:rFonts w:hint="eastAsia" w:ascii="宋体" w:hAnsi="宋体" w:eastAsia="宋体" w:cs="Times New Roman"/>
          <w:b w:val="0"/>
          <w:bCs w:val="0"/>
          <w:color w:val="auto"/>
          <w:highlight w:val="none"/>
        </w:rPr>
        <w:t>专项补助费汇总计入建设预算“特殊项目”。结算时以项目施工专项情况考评结果作为结算依据，考评结果若为优秀，则按合同价中的专项补助费全额支付；考评结果若为合格，扣除部分施工专项补助费，扣除费用为最高</w:t>
      </w:r>
      <w:r>
        <w:rPr>
          <w:rFonts w:hint="eastAsia" w:ascii="宋体" w:hAnsi="宋体" w:eastAsia="宋体" w:cs="Times New Roman"/>
          <w:b w:val="0"/>
          <w:bCs w:val="0"/>
          <w:color w:val="auto"/>
          <w:highlight w:val="none"/>
          <w:shd w:val="clear" w:color="auto" w:fill="auto"/>
          <w:lang w:val="en-US" w:eastAsia="zh-CN"/>
        </w:rPr>
        <w:t>投标</w:t>
      </w:r>
      <w:r>
        <w:rPr>
          <w:rFonts w:hint="eastAsia" w:ascii="宋体" w:hAnsi="宋体" w:eastAsia="宋体" w:cs="Times New Roman"/>
          <w:b w:val="0"/>
          <w:bCs w:val="0"/>
          <w:color w:val="auto"/>
          <w:highlight w:val="none"/>
        </w:rPr>
        <w:t>限价中的专项补助费×20%；考评结果若为不合格，扣除最高</w:t>
      </w:r>
      <w:r>
        <w:rPr>
          <w:rFonts w:hint="eastAsia" w:ascii="宋体" w:hAnsi="宋体" w:eastAsia="宋体" w:cs="Times New Roman"/>
          <w:b w:val="0"/>
          <w:bCs w:val="0"/>
          <w:color w:val="auto"/>
          <w:highlight w:val="none"/>
          <w:lang w:val="en-US" w:eastAsia="zh-CN"/>
        </w:rPr>
        <w:t>投标</w:t>
      </w:r>
      <w:r>
        <w:rPr>
          <w:rFonts w:hint="eastAsia" w:ascii="宋体" w:hAnsi="宋体" w:eastAsia="宋体" w:cs="Times New Roman"/>
          <w:b w:val="0"/>
          <w:bCs w:val="0"/>
          <w:color w:val="auto"/>
          <w:highlight w:val="none"/>
        </w:rPr>
        <w:t>限价中的全部施工专项补助费。</w:t>
      </w:r>
    </w:p>
    <w:p>
      <w:pPr>
        <w:pStyle w:val="5"/>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textAlignment w:val="auto"/>
        <w:rPr>
          <w:rFonts w:hint="eastAsia" w:ascii="宋体" w:hAnsi="宋体"/>
          <w:color w:val="auto"/>
          <w:highlight w:val="none"/>
        </w:rPr>
      </w:pPr>
      <w:r>
        <w:rPr>
          <w:rFonts w:hint="eastAsia" w:ascii="宋体" w:hAnsi="宋体"/>
          <w:color w:val="auto"/>
          <w:highlight w:val="none"/>
          <w:lang w:val="en-US" w:eastAsia="zh-CN"/>
        </w:rPr>
        <w:t>23</w:t>
      </w:r>
      <w:r>
        <w:rPr>
          <w:rFonts w:hint="eastAsia" w:ascii="宋体" w:hAnsi="宋体"/>
          <w:color w:val="auto"/>
          <w:highlight w:val="none"/>
        </w:rPr>
        <w:t>）承包人在工程施工过程中认真落实水土保持方案设计的各项水土保持措施，完善相关变更手续，并存档；承包人完工撤场前，应对施工扰动占地进行复耕或植被恢复，经建设单位初验移交后方可撤场，并对植被负有养护责任，直至通过水土保持设施专项验收；配合水土保持设施验收技术咨询服务单位完成水土保持专项验收，具体内容包括提供提供工程施工总结报告，派人参加水土保持设施验收会议（参与现场查勘、会议汇报及会上答疑等)。</w:t>
      </w:r>
    </w:p>
    <w:p>
      <w:pPr>
        <w:pStyle w:val="5"/>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textAlignment w:val="auto"/>
        <w:rPr>
          <w:rFonts w:hint="eastAsia" w:ascii="宋体" w:hAnsi="宋体"/>
          <w:color w:val="auto"/>
          <w:highlight w:val="none"/>
        </w:rPr>
      </w:pPr>
      <w:r>
        <w:rPr>
          <w:rFonts w:hint="eastAsia" w:ascii="宋体" w:hAnsi="宋体"/>
          <w:color w:val="auto"/>
          <w:highlight w:val="none"/>
          <w:lang w:val="en-US" w:eastAsia="zh-CN"/>
        </w:rPr>
        <w:t>24</w:t>
      </w:r>
      <w:r>
        <w:rPr>
          <w:rFonts w:hint="eastAsia" w:ascii="宋体" w:hAnsi="宋体"/>
          <w:color w:val="auto"/>
          <w:highlight w:val="none"/>
        </w:rPr>
        <w:t>）承包人必须严格执行《广州供电局基建废旧架空线路拆除工作指引》要求，开展拆旧材料损耗控制</w:t>
      </w:r>
      <w:r>
        <w:rPr>
          <w:rFonts w:hint="eastAsia" w:ascii="宋体" w:hAnsi="宋体"/>
          <w:color w:val="auto"/>
          <w:highlight w:val="none"/>
          <w:lang w:eastAsia="zh-CN"/>
        </w:rPr>
        <w:t>（如指引文件有更新，按最新文件执行）</w:t>
      </w:r>
      <w:r>
        <w:rPr>
          <w:rFonts w:hint="eastAsia" w:ascii="宋体" w:hAnsi="宋体"/>
          <w:color w:val="auto"/>
          <w:highlight w:val="none"/>
        </w:rPr>
        <w:t>。</w:t>
      </w:r>
    </w:p>
    <w:p>
      <w:pPr>
        <w:pStyle w:val="5"/>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textAlignment w:val="auto"/>
        <w:rPr>
          <w:rFonts w:hint="eastAsia" w:ascii="宋体" w:hAnsi="宋体"/>
          <w:color w:val="auto"/>
          <w:highlight w:val="none"/>
        </w:rPr>
      </w:pPr>
      <w:r>
        <w:rPr>
          <w:rFonts w:hint="eastAsia" w:ascii="宋体" w:hAnsi="宋体"/>
          <w:color w:val="auto"/>
          <w:highlight w:val="none"/>
          <w:lang w:val="en-US" w:eastAsia="zh-CN"/>
        </w:rPr>
        <w:t>25</w:t>
      </w:r>
      <w:r>
        <w:rPr>
          <w:rFonts w:hint="eastAsia" w:ascii="宋体" w:hAnsi="宋体"/>
          <w:color w:val="auto"/>
          <w:highlight w:val="none"/>
        </w:rPr>
        <w:t>）承包人应根据《广州供电局施工现场仓库设置标准》开展现场临时仓库设置、编码申请和日常管理，对存放于仓库内的甲供设备材料登记造册，每月报监理人员、业主项目部管理人员审查；甲供设备材料在安装前需全部存放于临时仓库内，由乙方并承担保管责任；如仓库内甲供物资材料因保管不善有损坏或遗失，根据采购价格在施工费用中进行扣除。</w:t>
      </w:r>
    </w:p>
    <w:p>
      <w:pPr>
        <w:pStyle w:val="5"/>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textAlignment w:val="auto"/>
        <w:rPr>
          <w:rFonts w:hint="eastAsia" w:ascii="宋体" w:hAnsi="宋体"/>
          <w:color w:val="auto"/>
          <w:highlight w:val="none"/>
        </w:rPr>
      </w:pPr>
      <w:r>
        <w:rPr>
          <w:rFonts w:hint="eastAsia" w:ascii="宋体" w:hAnsi="宋体"/>
          <w:color w:val="auto"/>
          <w:highlight w:val="none"/>
          <w:lang w:val="en-US" w:eastAsia="zh-CN"/>
        </w:rPr>
        <w:t>26</w:t>
      </w:r>
      <w:r>
        <w:rPr>
          <w:rFonts w:hint="eastAsia" w:ascii="宋体" w:hAnsi="宋体"/>
          <w:color w:val="auto"/>
          <w:highlight w:val="none"/>
        </w:rPr>
        <w:t>）承包人须对分包单位劳动用工实施监督管理；</w:t>
      </w:r>
    </w:p>
    <w:p>
      <w:pPr>
        <w:pStyle w:val="5"/>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textAlignment w:val="auto"/>
        <w:rPr>
          <w:rFonts w:hint="eastAsia" w:ascii="宋体" w:hAnsi="宋体"/>
          <w:color w:val="auto"/>
          <w:highlight w:val="none"/>
        </w:rPr>
      </w:pPr>
      <w:r>
        <w:rPr>
          <w:rFonts w:hint="eastAsia" w:ascii="宋体" w:hAnsi="宋体"/>
          <w:color w:val="auto"/>
          <w:highlight w:val="none"/>
          <w:lang w:val="en-US" w:eastAsia="zh-CN"/>
        </w:rPr>
        <w:t>27</w:t>
      </w:r>
      <w:r>
        <w:rPr>
          <w:rFonts w:hint="eastAsia" w:ascii="宋体" w:hAnsi="宋体"/>
          <w:color w:val="auto"/>
          <w:highlight w:val="none"/>
        </w:rPr>
        <w:t>）承包人须实行用工实名制管理，并监督落实分包单位实行用工实名制管理；</w:t>
      </w:r>
    </w:p>
    <w:p>
      <w:pPr>
        <w:pStyle w:val="5"/>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textAlignment w:val="auto"/>
        <w:rPr>
          <w:rFonts w:hint="eastAsia" w:ascii="宋体" w:hAnsi="宋体"/>
          <w:color w:val="auto"/>
          <w:highlight w:val="none"/>
        </w:rPr>
      </w:pPr>
      <w:r>
        <w:rPr>
          <w:rFonts w:hint="eastAsia" w:ascii="宋体" w:hAnsi="宋体"/>
          <w:color w:val="auto"/>
          <w:highlight w:val="none"/>
          <w:lang w:val="en-US" w:eastAsia="zh-CN"/>
        </w:rPr>
        <w:t>28</w:t>
      </w:r>
      <w:r>
        <w:rPr>
          <w:rFonts w:hint="eastAsia" w:ascii="宋体" w:hAnsi="宋体"/>
          <w:color w:val="auto"/>
          <w:highlight w:val="none"/>
        </w:rPr>
        <w:t>）承包人须实行施工现场维权信息公示制度。</w:t>
      </w:r>
      <w:r>
        <w:rPr>
          <w:rFonts w:hint="eastAsia" w:ascii="宋体" w:hAnsi="宋体" w:eastAsia="宋体" w:cs="Times New Roman"/>
          <w:b w:val="0"/>
          <w:bCs w:val="0"/>
          <w:color w:val="auto"/>
          <w:highlight w:val="none"/>
          <w:lang w:eastAsia="zh-CN"/>
        </w:rPr>
        <w:t>】</w:t>
      </w:r>
    </w:p>
    <w:p>
      <w:pPr>
        <w:pStyle w:val="13"/>
        <w:spacing w:after="0"/>
        <w:ind w:left="0" w:leftChars="0" w:firstLine="422" w:firstLineChars="200"/>
        <w:rPr>
          <w:rFonts w:hint="eastAsia" w:ascii="宋体"/>
          <w:color w:val="auto"/>
          <w:highlight w:val="none"/>
        </w:rPr>
      </w:pPr>
      <w:r>
        <w:rPr>
          <w:rFonts w:hint="eastAsia" w:ascii="宋体"/>
          <w:color w:val="auto"/>
          <w:highlight w:val="none"/>
        </w:rPr>
        <w:t xml:space="preserve"> 增加以下内容4.4.3款： </w:t>
      </w:r>
    </w:p>
    <w:p>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推行分包单位农民工工资委托施工总承包单位代发制度。分包单位应当按月考核农民工工作量并编制工资支付表，经农民工本人、分包单位负责人签字盖章确认后，与当月工程进度等情况一并交承包人。</w:t>
      </w:r>
    </w:p>
    <w:p>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承包人应当在工程项目部配备劳资专管员，对分包单位劳动用工实施监督管理，掌握施工现场用工、考勤、工资支付等情况，审核分包单位编制的农民工工资支付表，分包单位应当予以配合。承包人根据分包单位编制的工资支付表，通过农民工工资专用账户直接将工资支付到农民工本人的银行账户，并向分包单位提供代发工资凭证。用于支付农民工工资的银行账户所绑定的农民工本人社会保障卡或者银行卡，用人单位或者其他人员不得以任何理由扣押或者变相扣押。</w:t>
      </w:r>
    </w:p>
    <w:p>
      <w:pPr>
        <w:pStyle w:val="13"/>
        <w:spacing w:after="0"/>
        <w:ind w:left="0" w:leftChars="0" w:firstLine="422" w:firstLineChars="200"/>
        <w:rPr>
          <w:rFonts w:hint="eastAsia" w:ascii="宋体"/>
          <w:color w:val="auto"/>
          <w:highlight w:val="none"/>
        </w:rPr>
      </w:pPr>
      <w:r>
        <w:rPr>
          <w:rFonts w:hint="eastAsia" w:ascii="宋体"/>
          <w:color w:val="auto"/>
          <w:highlight w:val="none"/>
        </w:rPr>
        <w:t>7.</w:t>
      </w:r>
      <w:r>
        <w:rPr>
          <w:rFonts w:hint="eastAsia" w:ascii="宋体"/>
          <w:color w:val="auto"/>
          <w:highlight w:val="none"/>
        </w:rPr>
        <w:tab/>
      </w:r>
      <w:r>
        <w:rPr>
          <w:rFonts w:hint="eastAsia" w:ascii="宋体"/>
          <w:color w:val="auto"/>
          <w:highlight w:val="none"/>
        </w:rPr>
        <w:t>永久设备、材料和工艺</w:t>
      </w:r>
    </w:p>
    <w:p>
      <w:pPr>
        <w:pStyle w:val="13"/>
        <w:spacing w:after="0"/>
        <w:ind w:left="0" w:leftChars="0" w:firstLine="422" w:firstLineChars="200"/>
        <w:rPr>
          <w:rFonts w:hint="eastAsia" w:ascii="宋体"/>
          <w:color w:val="auto"/>
          <w:highlight w:val="none"/>
        </w:rPr>
      </w:pPr>
      <w:r>
        <w:rPr>
          <w:rFonts w:hint="eastAsia" w:ascii="宋体"/>
          <w:color w:val="auto"/>
          <w:highlight w:val="none"/>
        </w:rPr>
        <w:t>替换以下内容作为第7.9款：</w:t>
      </w:r>
    </w:p>
    <w:p>
      <w:pPr>
        <w:pStyle w:val="5"/>
        <w:spacing w:after="0"/>
        <w:ind w:left="0" w:leftChars="0" w:firstLine="420" w:firstLineChars="200"/>
        <w:outlineLvl w:val="3"/>
        <w:rPr>
          <w:rFonts w:ascii="宋体" w:hAnsi="宋体"/>
          <w:color w:val="auto"/>
          <w:szCs w:val="21"/>
          <w:highlight w:val="none"/>
        </w:rPr>
      </w:pPr>
      <w:r>
        <w:rPr>
          <w:rFonts w:hint="eastAsia" w:ascii="宋体" w:hAnsi="宋体"/>
          <w:color w:val="auto"/>
          <w:szCs w:val="21"/>
          <w:highlight w:val="none"/>
        </w:rPr>
        <w:t>7.</w:t>
      </w:r>
      <w:r>
        <w:rPr>
          <w:rFonts w:ascii="宋体" w:hAnsi="宋体"/>
          <w:color w:val="auto"/>
          <w:szCs w:val="21"/>
          <w:highlight w:val="none"/>
        </w:rPr>
        <w:t xml:space="preserve">9 </w:t>
      </w:r>
      <w:r>
        <w:rPr>
          <w:rFonts w:hint="eastAsia" w:ascii="宋体" w:hAnsi="宋体"/>
          <w:color w:val="auto"/>
          <w:szCs w:val="21"/>
          <w:highlight w:val="none"/>
        </w:rPr>
        <w:t>发包人供应材料与工程设备</w:t>
      </w:r>
    </w:p>
    <w:p>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发包人提供的材料和工程设备包括：【详见合同附件</w:t>
      </w:r>
      <w:r>
        <w:rPr>
          <w:rFonts w:hint="eastAsia" w:ascii="宋体"/>
          <w:b w:val="0"/>
          <w:bCs/>
          <w:color w:val="auto"/>
          <w:highlight w:val="none"/>
          <w:lang w:eastAsia="zh-CN"/>
        </w:rPr>
        <w:t>九</w:t>
      </w:r>
      <w:r>
        <w:rPr>
          <w:rFonts w:hint="eastAsia" w:ascii="宋体"/>
          <w:b w:val="0"/>
          <w:bCs/>
          <w:color w:val="auto"/>
          <w:highlight w:val="none"/>
        </w:rPr>
        <w:t>】</w:t>
      </w:r>
    </w:p>
    <w:p>
      <w:pPr>
        <w:pStyle w:val="5"/>
        <w:spacing w:after="0"/>
        <w:ind w:left="0" w:leftChars="0" w:firstLine="420" w:firstLineChars="200"/>
        <w:rPr>
          <w:rFonts w:ascii="宋体" w:hAnsi="宋体"/>
          <w:color w:val="auto"/>
          <w:szCs w:val="21"/>
          <w:highlight w:val="none"/>
        </w:rPr>
      </w:pPr>
      <w:r>
        <w:rPr>
          <w:rFonts w:hint="eastAsia" w:ascii="宋体" w:hAnsi="宋体"/>
          <w:color w:val="auto"/>
          <w:szCs w:val="21"/>
          <w:highlight w:val="none"/>
        </w:rPr>
        <w:t>材料和工程设备的规格、数量、价格、交货方式、交货地点和计划交货日期：</w:t>
      </w:r>
    </w:p>
    <w:p>
      <w:pPr>
        <w:pStyle w:val="5"/>
        <w:spacing w:after="0"/>
        <w:ind w:left="0" w:leftChars="0" w:firstLine="420" w:firstLineChars="200"/>
        <w:rPr>
          <w:rFonts w:hint="eastAsia" w:ascii="宋体" w:hAnsi="宋体"/>
          <w:color w:val="auto"/>
          <w:szCs w:val="21"/>
          <w:highlight w:val="none"/>
          <w:u w:val="single"/>
        </w:rPr>
      </w:pPr>
    </w:p>
    <w:p>
      <w:pPr>
        <w:pStyle w:val="5"/>
        <w:spacing w:after="0"/>
        <w:ind w:left="0" w:leftChars="0" w:firstLine="420" w:firstLineChars="200"/>
        <w:rPr>
          <w:rFonts w:ascii="宋体" w:hAnsi="宋体"/>
          <w:color w:val="auto"/>
          <w:szCs w:val="21"/>
          <w:highlight w:val="none"/>
          <w:u w:val="single"/>
        </w:rPr>
      </w:pP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p>
    <w:p>
      <w:pPr>
        <w:pStyle w:val="5"/>
        <w:spacing w:after="0" w:line="360" w:lineRule="auto"/>
        <w:ind w:left="0" w:leftChars="0" w:firstLine="420" w:firstLineChars="200"/>
        <w:rPr>
          <w:rFonts w:hint="eastAsia" w:ascii="宋体" w:hAnsi="宋体" w:eastAsia="宋体" w:cs="Times New Roman"/>
          <w:color w:val="auto"/>
          <w:szCs w:val="21"/>
          <w:highlight w:val="none"/>
          <w:shd w:val="clear" w:color="auto" w:fill="auto"/>
          <w:lang w:val="en-US" w:eastAsia="zh-CN"/>
        </w:rPr>
      </w:pPr>
      <w:r>
        <w:rPr>
          <w:rFonts w:hint="eastAsia" w:ascii="宋体" w:hAnsi="宋体" w:eastAsia="宋体" w:cs="Times New Roman"/>
          <w:color w:val="auto"/>
          <w:szCs w:val="21"/>
          <w:highlight w:val="none"/>
          <w:shd w:val="clear" w:color="auto" w:fill="auto"/>
          <w:lang w:val="en-US" w:eastAsia="zh-CN"/>
        </w:rPr>
        <w:t>由项目发包人提供的设备、材料的交货地点在临时仓库。承包人必须设置相应的临时仓库，所设的临时仓库应具备汽车送达、吊车作业的条件。承包人负责进行卸车、到货验收（到货验收包括清点数量、验品种、型号、规格等常规验收以及配合质量验收）。临时仓库的设置和管理需满足中国南方电网有限责任公司相关规定和要求。</w:t>
      </w:r>
    </w:p>
    <w:p>
      <w:pPr>
        <w:pStyle w:val="5"/>
        <w:spacing w:after="0" w:line="360" w:lineRule="auto"/>
        <w:ind w:left="0" w:leftChars="0" w:firstLine="420" w:firstLineChars="200"/>
        <w:rPr>
          <w:rFonts w:hint="eastAsia" w:ascii="宋体" w:hAnsi="宋体" w:eastAsia="宋体" w:cs="Times New Roman"/>
          <w:color w:val="auto"/>
          <w:szCs w:val="21"/>
          <w:highlight w:val="none"/>
          <w:shd w:val="clear" w:color="auto" w:fill="auto"/>
          <w:lang w:val="en-US" w:eastAsia="zh-CN"/>
        </w:rPr>
      </w:pPr>
      <w:r>
        <w:rPr>
          <w:rFonts w:hint="eastAsia" w:ascii="宋体" w:hAnsi="宋体" w:eastAsia="宋体" w:cs="Times New Roman"/>
          <w:color w:val="auto"/>
          <w:szCs w:val="21"/>
          <w:highlight w:val="none"/>
          <w:shd w:val="clear" w:color="auto" w:fill="auto"/>
          <w:lang w:val="en-US" w:eastAsia="zh-CN"/>
        </w:rPr>
        <w:t>除发包人提供的材料和工程设备外，其余均由承包人提供。</w:t>
      </w:r>
    </w:p>
    <w:p>
      <w:pPr>
        <w:pStyle w:val="5"/>
        <w:spacing w:after="0" w:line="360" w:lineRule="auto"/>
        <w:ind w:left="0" w:leftChars="0" w:firstLine="420" w:firstLineChars="200"/>
        <w:rPr>
          <w:rFonts w:hint="eastAsia" w:ascii="宋体" w:hAnsi="宋体" w:eastAsia="宋体" w:cs="Times New Roman"/>
          <w:color w:val="auto"/>
          <w:szCs w:val="21"/>
          <w:highlight w:val="none"/>
          <w:shd w:val="clear" w:color="auto" w:fill="auto"/>
          <w:lang w:val="en-US" w:eastAsia="zh-CN"/>
        </w:rPr>
      </w:pPr>
      <w:r>
        <w:rPr>
          <w:rFonts w:hint="eastAsia" w:ascii="宋体" w:hAnsi="宋体" w:eastAsia="宋体" w:cs="Times New Roman"/>
          <w:color w:val="auto"/>
          <w:szCs w:val="21"/>
          <w:highlight w:val="none"/>
          <w:shd w:val="clear" w:color="auto" w:fill="auto"/>
          <w:lang w:val="en-US" w:eastAsia="zh-CN"/>
        </w:rPr>
        <w:t>发包人供应的材料和工程设备，承包人清点后由承包人妥善保管，保管费用由发包人承担，但已标价工程量清单或预算书已经列支或专用合同条款另有约定除外。因承包人原因发生丢失毁损的，由承包人负责赔偿；工程师未通知承包人清点的，承包人不负责材料和工程设备的保管，由此导致丢失毁损的由发包人负责。</w:t>
      </w:r>
    </w:p>
    <w:p>
      <w:pPr>
        <w:pStyle w:val="5"/>
        <w:spacing w:after="0" w:line="360" w:lineRule="auto"/>
        <w:ind w:left="0" w:leftChars="0" w:firstLine="420" w:firstLineChars="200"/>
        <w:rPr>
          <w:rFonts w:hint="eastAsia" w:ascii="宋体" w:hAnsi="宋体" w:eastAsia="宋体" w:cs="Times New Roman"/>
          <w:color w:val="auto"/>
          <w:szCs w:val="21"/>
          <w:highlight w:val="none"/>
          <w:shd w:val="clear" w:color="auto" w:fill="auto"/>
          <w:lang w:val="en-US" w:eastAsia="zh-CN"/>
        </w:rPr>
      </w:pPr>
      <w:r>
        <w:rPr>
          <w:rFonts w:hint="eastAsia" w:ascii="宋体" w:hAnsi="宋体" w:eastAsia="宋体" w:cs="Times New Roman"/>
          <w:color w:val="auto"/>
          <w:szCs w:val="21"/>
          <w:highlight w:val="none"/>
          <w:shd w:val="clear" w:color="auto" w:fill="auto"/>
          <w:lang w:val="en-US" w:eastAsia="zh-CN"/>
        </w:rPr>
        <w:t>发包人供应的材料和工程设备使用前，由承包人负责检验，检验费用由发包人承担，不合格的不得使用。</w:t>
      </w:r>
    </w:p>
    <w:p>
      <w:pPr>
        <w:pStyle w:val="13"/>
        <w:spacing w:after="0"/>
        <w:ind w:left="0" w:leftChars="0" w:firstLine="422" w:firstLineChars="200"/>
        <w:rPr>
          <w:rFonts w:ascii="宋体"/>
          <w:color w:val="auto"/>
          <w:highlight w:val="none"/>
          <w:shd w:val="clear" w:color="auto" w:fill="auto"/>
        </w:rPr>
      </w:pPr>
      <w:r>
        <w:rPr>
          <w:rFonts w:hint="eastAsia" w:ascii="宋体"/>
          <w:color w:val="auto"/>
          <w:highlight w:val="none"/>
          <w:shd w:val="clear" w:color="auto" w:fill="auto"/>
        </w:rPr>
        <w:t>13.</w:t>
      </w:r>
      <w:r>
        <w:rPr>
          <w:rFonts w:hint="eastAsia" w:ascii="宋体"/>
          <w:color w:val="auto"/>
          <w:highlight w:val="none"/>
          <w:shd w:val="clear" w:color="auto" w:fill="auto"/>
        </w:rPr>
        <w:tab/>
      </w:r>
      <w:r>
        <w:rPr>
          <w:rFonts w:hint="eastAsia" w:ascii="宋体"/>
          <w:color w:val="auto"/>
          <w:highlight w:val="none"/>
          <w:shd w:val="clear" w:color="auto" w:fill="auto"/>
        </w:rPr>
        <w:t>变更和调整</w:t>
      </w:r>
    </w:p>
    <w:p>
      <w:pPr>
        <w:pStyle w:val="5"/>
        <w:spacing w:after="0" w:line="360" w:lineRule="auto"/>
        <w:ind w:left="0" w:leftChars="0" w:firstLine="420" w:firstLineChars="200"/>
        <w:rPr>
          <w:rFonts w:ascii="宋体" w:hAnsi="宋体"/>
          <w:color w:val="auto"/>
          <w:szCs w:val="21"/>
          <w:highlight w:val="none"/>
          <w:shd w:val="clear" w:color="auto" w:fill="auto"/>
        </w:rPr>
      </w:pPr>
      <w:r>
        <w:rPr>
          <w:rFonts w:hint="eastAsia" w:ascii="宋体" w:hAnsi="宋体"/>
          <w:color w:val="auto"/>
          <w:szCs w:val="21"/>
          <w:highlight w:val="none"/>
          <w:shd w:val="clear" w:color="auto" w:fill="auto"/>
        </w:rPr>
        <w:t xml:space="preserve">13.1 </w:t>
      </w:r>
      <w:r>
        <w:rPr>
          <w:rFonts w:hint="eastAsia" w:ascii="宋体" w:hAnsi="宋体"/>
          <w:color w:val="auto"/>
          <w:szCs w:val="21"/>
          <w:highlight w:val="none"/>
          <w:shd w:val="clear" w:color="auto" w:fill="auto"/>
        </w:rPr>
        <w:tab/>
      </w:r>
      <w:r>
        <w:rPr>
          <w:rFonts w:hint="eastAsia" w:ascii="宋体" w:hAnsi="宋体"/>
          <w:color w:val="auto"/>
          <w:szCs w:val="21"/>
          <w:highlight w:val="none"/>
          <w:shd w:val="clear" w:color="auto" w:fill="auto"/>
        </w:rPr>
        <w:t xml:space="preserve">有权变更 </w:t>
      </w:r>
    </w:p>
    <w:p>
      <w:pPr>
        <w:pStyle w:val="5"/>
        <w:ind w:left="0" w:leftChars="0" w:firstLine="420" w:firstLineChars="200"/>
        <w:rPr>
          <w:rFonts w:ascii="宋体" w:hAnsi="宋体"/>
          <w:color w:val="auto"/>
          <w:szCs w:val="21"/>
          <w:highlight w:val="none"/>
          <w:shd w:val="clear" w:color="auto" w:fill="auto"/>
        </w:rPr>
      </w:pPr>
    </w:p>
    <w:p>
      <w:pPr>
        <w:pStyle w:val="5"/>
        <w:spacing w:after="0" w:line="360" w:lineRule="auto"/>
        <w:ind w:left="0" w:leftChars="0" w:firstLine="420" w:firstLineChars="200"/>
        <w:rPr>
          <w:rFonts w:hint="default" w:ascii="宋体" w:hAnsi="宋体" w:eastAsia="宋体"/>
          <w:color w:val="auto"/>
          <w:szCs w:val="21"/>
          <w:highlight w:val="none"/>
          <w:shd w:val="clear" w:color="auto" w:fill="auto"/>
          <w:lang w:val="en-US" w:eastAsia="zh-CN"/>
        </w:rPr>
      </w:pPr>
      <w:r>
        <w:rPr>
          <w:rFonts w:hint="eastAsia" w:ascii="宋体" w:hAnsi="宋体"/>
          <w:color w:val="auto"/>
          <w:szCs w:val="21"/>
          <w:highlight w:val="none"/>
          <w:shd w:val="clear" w:color="auto" w:fill="auto"/>
        </w:rPr>
        <w:t>13.3</w:t>
      </w:r>
      <w:r>
        <w:rPr>
          <w:rFonts w:hint="eastAsia" w:ascii="宋体" w:hAnsi="宋体"/>
          <w:color w:val="auto"/>
          <w:szCs w:val="21"/>
          <w:highlight w:val="none"/>
          <w:shd w:val="clear" w:color="auto" w:fill="auto"/>
          <w:lang w:val="en-US" w:eastAsia="zh-CN"/>
        </w:rPr>
        <w:t>.1</w:t>
      </w:r>
      <w:r>
        <w:rPr>
          <w:rFonts w:hint="eastAsia" w:ascii="宋体" w:hAnsi="宋体"/>
          <w:color w:val="auto"/>
          <w:szCs w:val="21"/>
          <w:highlight w:val="none"/>
          <w:shd w:val="clear" w:color="auto" w:fill="auto"/>
        </w:rPr>
        <w:tab/>
      </w:r>
      <w:r>
        <w:rPr>
          <w:rFonts w:hint="eastAsia" w:ascii="宋体" w:hAnsi="宋体"/>
          <w:color w:val="auto"/>
          <w:szCs w:val="21"/>
          <w:highlight w:val="none"/>
          <w:shd w:val="clear" w:color="auto" w:fill="auto"/>
        </w:rPr>
        <w:t>变更</w:t>
      </w:r>
      <w:r>
        <w:rPr>
          <w:rFonts w:hint="eastAsia" w:ascii="宋体" w:hAnsi="宋体"/>
          <w:color w:val="auto"/>
          <w:szCs w:val="21"/>
          <w:highlight w:val="none"/>
          <w:shd w:val="clear" w:color="auto" w:fill="auto"/>
          <w:lang w:val="en-US" w:eastAsia="zh-CN"/>
        </w:rPr>
        <w:t>估价的原则</w:t>
      </w:r>
    </w:p>
    <w:p>
      <w:pPr>
        <w:pStyle w:val="5"/>
        <w:shd w:val="clear" w:color="auto" w:fill="auto"/>
        <w:spacing w:after="0" w:line="360" w:lineRule="auto"/>
        <w:ind w:left="0" w:leftChars="0" w:firstLine="422" w:firstLineChars="200"/>
        <w:rPr>
          <w:rFonts w:hint="eastAsia" w:ascii="宋体" w:hAnsi="宋体"/>
          <w:b/>
          <w:bCs/>
          <w:color w:val="auto"/>
          <w:szCs w:val="21"/>
          <w:highlight w:val="none"/>
          <w:shd w:val="clear" w:color="auto" w:fill="auto"/>
        </w:rPr>
      </w:pPr>
      <w:r>
        <w:rPr>
          <w:rFonts w:hint="eastAsia" w:ascii="宋体" w:hAnsi="宋体"/>
          <w:b/>
          <w:bCs/>
          <w:color w:val="auto"/>
          <w:szCs w:val="21"/>
          <w:highlight w:val="none"/>
          <w:shd w:val="clear" w:color="auto" w:fill="auto"/>
        </w:rPr>
        <w:t>增加以下内容到第13.3</w:t>
      </w:r>
      <w:r>
        <w:rPr>
          <w:rFonts w:hint="eastAsia" w:ascii="宋体" w:hAnsi="宋体"/>
          <w:b/>
          <w:bCs/>
          <w:color w:val="auto"/>
          <w:szCs w:val="21"/>
          <w:highlight w:val="none"/>
          <w:shd w:val="clear" w:color="auto" w:fill="auto"/>
          <w:lang w:val="en-US" w:eastAsia="zh-CN"/>
        </w:rPr>
        <w:t>.1“</w:t>
      </w:r>
      <w:r>
        <w:rPr>
          <w:rFonts w:hint="eastAsia" w:ascii="宋体" w:hAnsi="宋体"/>
          <w:b/>
          <w:bCs/>
          <w:color w:val="auto"/>
          <w:szCs w:val="21"/>
          <w:highlight w:val="none"/>
          <w:shd w:val="clear" w:color="auto" w:fill="auto"/>
        </w:rPr>
        <w:t>（一）清单计价模式</w:t>
      </w:r>
      <w:r>
        <w:rPr>
          <w:rFonts w:hint="eastAsia" w:ascii="宋体" w:hAnsi="宋体"/>
          <w:b/>
          <w:bCs/>
          <w:color w:val="auto"/>
          <w:szCs w:val="21"/>
          <w:highlight w:val="none"/>
          <w:shd w:val="clear" w:color="auto" w:fill="auto"/>
          <w:lang w:eastAsia="zh-CN"/>
        </w:rPr>
        <w:t>”</w:t>
      </w:r>
      <w:r>
        <w:rPr>
          <w:rFonts w:hint="eastAsia" w:ascii="宋体" w:hAnsi="宋体"/>
          <w:b/>
          <w:bCs/>
          <w:color w:val="auto"/>
          <w:szCs w:val="21"/>
          <w:highlight w:val="none"/>
          <w:shd w:val="clear" w:color="auto" w:fill="auto"/>
          <w:lang w:val="en-US" w:eastAsia="zh-CN"/>
        </w:rPr>
        <w:t>款</w:t>
      </w:r>
      <w:r>
        <w:rPr>
          <w:rFonts w:hint="eastAsia" w:ascii="宋体" w:hAnsi="宋体"/>
          <w:b/>
          <w:bCs/>
          <w:color w:val="auto"/>
          <w:szCs w:val="21"/>
          <w:highlight w:val="none"/>
          <w:shd w:val="clear" w:color="auto" w:fill="auto"/>
        </w:rPr>
        <w:t>：</w:t>
      </w:r>
    </w:p>
    <w:p>
      <w:pPr>
        <w:pStyle w:val="5"/>
        <w:shd w:val="clear" w:color="auto" w:fill="auto"/>
        <w:spacing w:after="0" w:line="360" w:lineRule="auto"/>
        <w:ind w:left="0" w:leftChars="0" w:firstLine="420" w:firstLineChars="200"/>
        <w:rPr>
          <w:rFonts w:hint="eastAsia" w:ascii="宋体" w:hAnsi="宋体"/>
          <w:color w:val="auto"/>
          <w:szCs w:val="21"/>
          <w:highlight w:val="none"/>
          <w:shd w:val="clear" w:color="auto" w:fill="auto"/>
        </w:rPr>
      </w:pPr>
      <w:r>
        <w:rPr>
          <w:rFonts w:hint="eastAsia" w:ascii="宋体" w:hAnsi="宋体"/>
          <w:color w:val="auto"/>
          <w:szCs w:val="21"/>
          <w:highlight w:val="none"/>
          <w:shd w:val="clear" w:color="auto" w:fill="auto"/>
          <w:lang w:eastAsia="zh-CN"/>
        </w:rPr>
        <w:t>（</w:t>
      </w:r>
      <w:r>
        <w:rPr>
          <w:rFonts w:hint="eastAsia" w:ascii="宋体" w:hAnsi="宋体"/>
          <w:color w:val="auto"/>
          <w:szCs w:val="21"/>
          <w:highlight w:val="none"/>
          <w:shd w:val="clear" w:color="auto" w:fill="auto"/>
          <w:lang w:val="en-US" w:eastAsia="zh-CN"/>
        </w:rPr>
        <w:t>5</w:t>
      </w:r>
      <w:r>
        <w:rPr>
          <w:rFonts w:hint="eastAsia" w:ascii="宋体" w:hAnsi="宋体"/>
          <w:color w:val="auto"/>
          <w:szCs w:val="21"/>
          <w:highlight w:val="none"/>
          <w:shd w:val="clear" w:color="auto" w:fill="auto"/>
          <w:lang w:eastAsia="zh-CN"/>
        </w:rPr>
        <w:t>）</w:t>
      </w:r>
      <w:r>
        <w:rPr>
          <w:rFonts w:hint="eastAsia" w:ascii="宋体" w:hAnsi="宋体"/>
          <w:color w:val="auto"/>
          <w:szCs w:val="21"/>
          <w:highlight w:val="none"/>
          <w:shd w:val="clear" w:color="auto" w:fill="auto"/>
          <w:lang w:val="en-US" w:eastAsia="zh-CN"/>
        </w:rPr>
        <w:t>已公布工程量清单子目的单价</w:t>
      </w:r>
      <w:r>
        <w:rPr>
          <w:rFonts w:hint="eastAsia" w:ascii="宋体" w:hAnsi="宋体"/>
          <w:color w:val="auto"/>
          <w:szCs w:val="21"/>
          <w:highlight w:val="none"/>
          <w:shd w:val="clear" w:color="auto" w:fill="auto"/>
        </w:rPr>
        <w:t>如出现明显不合理（指合同价格偏离市场价格及现行定额水平±20％以上）的单价和费率，项目发包人有权按照现行相关规定的单价和标准执行。</w:t>
      </w:r>
    </w:p>
    <w:p>
      <w:pPr>
        <w:pStyle w:val="5"/>
        <w:keepNext w:val="0"/>
        <w:keepLines w:val="0"/>
        <w:pageBreakBefore w:val="0"/>
        <w:widowControl w:val="0"/>
        <w:kinsoku/>
        <w:wordWrap/>
        <w:overflowPunct/>
        <w:topLinePunct w:val="0"/>
        <w:bidi w:val="0"/>
        <w:snapToGrid/>
        <w:spacing w:after="0" w:line="360" w:lineRule="auto"/>
        <w:ind w:left="0" w:leftChars="0"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13.5 暂定金额</w:t>
      </w:r>
    </w:p>
    <w:p>
      <w:pPr>
        <w:pStyle w:val="5"/>
        <w:keepNext w:val="0"/>
        <w:keepLines w:val="0"/>
        <w:pageBreakBefore w:val="0"/>
        <w:widowControl w:val="0"/>
        <w:kinsoku/>
        <w:wordWrap/>
        <w:overflowPunct/>
        <w:topLinePunct w:val="0"/>
        <w:bidi w:val="0"/>
        <w:snapToGrid/>
        <w:spacing w:after="0" w:line="360" w:lineRule="auto"/>
        <w:ind w:left="0" w:leftChars="0" w:firstLine="422" w:firstLineChars="200"/>
        <w:textAlignment w:val="auto"/>
        <w:rPr>
          <w:rFonts w:hint="eastAsia" w:ascii="宋体" w:hAnsi="宋体"/>
          <w:b/>
          <w:bCs/>
          <w:color w:val="auto"/>
          <w:sz w:val="21"/>
          <w:szCs w:val="21"/>
          <w:highlight w:val="none"/>
        </w:rPr>
      </w:pPr>
      <w:r>
        <w:rPr>
          <w:rFonts w:hint="eastAsia" w:ascii="宋体" w:hAnsi="宋体"/>
          <w:b/>
          <w:bCs/>
          <w:color w:val="auto"/>
          <w:sz w:val="21"/>
          <w:szCs w:val="21"/>
          <w:highlight w:val="none"/>
          <w:lang w:eastAsia="zh-CN"/>
        </w:rPr>
        <w:t>增加</w:t>
      </w:r>
      <w:r>
        <w:rPr>
          <w:rFonts w:hint="eastAsia" w:ascii="宋体" w:hAnsi="宋体"/>
          <w:b/>
          <w:bCs/>
          <w:color w:val="auto"/>
          <w:sz w:val="21"/>
          <w:szCs w:val="21"/>
          <w:highlight w:val="none"/>
        </w:rPr>
        <w:t>以下内容到第13.5款：</w:t>
      </w:r>
    </w:p>
    <w:p>
      <w:pPr>
        <w:pStyle w:val="6"/>
        <w:keepNext w:val="0"/>
        <w:keepLines w:val="0"/>
        <w:pageBreakBefore w:val="0"/>
        <w:widowControl w:val="0"/>
        <w:kinsoku/>
        <w:wordWrap/>
        <w:overflowPunct/>
        <w:topLinePunct w:val="0"/>
        <w:bidi w:val="0"/>
        <w:snapToGrid/>
        <w:spacing w:line="360" w:lineRule="auto"/>
        <w:ind w:firstLine="422" w:firstLineChars="200"/>
        <w:textAlignment w:val="auto"/>
        <w:rPr>
          <w:rFonts w:hint="eastAsia" w:hAnsi="宋体" w:eastAsia="宋体"/>
          <w:b/>
          <w:bCs/>
          <w:color w:val="auto"/>
          <w:sz w:val="21"/>
          <w:szCs w:val="21"/>
          <w:highlight w:val="none"/>
          <w:lang w:eastAsia="zh-CN"/>
        </w:rPr>
      </w:pPr>
      <w:r>
        <w:rPr>
          <w:rFonts w:hint="eastAsia" w:hAnsi="宋体"/>
          <w:b/>
          <w:color w:val="auto"/>
          <w:sz w:val="21"/>
          <w:szCs w:val="21"/>
          <w:highlight w:val="none"/>
        </w:rPr>
        <w:t>13.5.1</w:t>
      </w:r>
      <w:r>
        <w:rPr>
          <w:rFonts w:hint="eastAsia" w:hAnsi="宋体"/>
          <w:b/>
          <w:bCs/>
          <w:color w:val="auto"/>
          <w:sz w:val="21"/>
          <w:szCs w:val="21"/>
          <w:highlight w:val="none"/>
          <w:lang w:eastAsia="zh-CN"/>
        </w:rPr>
        <w:t>代垫代付费用</w:t>
      </w:r>
    </w:p>
    <w:p>
      <w:pPr>
        <w:pStyle w:val="6"/>
        <w:keepNext w:val="0"/>
        <w:keepLines w:val="0"/>
        <w:pageBreakBefore w:val="0"/>
        <w:widowControl w:val="0"/>
        <w:kinsoku/>
        <w:wordWrap/>
        <w:overflowPunct/>
        <w:topLinePunct w:val="0"/>
        <w:bidi w:val="0"/>
        <w:snapToGrid/>
        <w:spacing w:line="360" w:lineRule="auto"/>
        <w:ind w:firstLine="420" w:firstLineChars="200"/>
        <w:textAlignment w:val="auto"/>
        <w:rPr>
          <w:rFonts w:hint="eastAsia" w:hAnsi="宋体"/>
          <w:bCs/>
          <w:color w:val="auto"/>
          <w:sz w:val="21"/>
          <w:szCs w:val="21"/>
          <w:highlight w:val="none"/>
          <w:u w:val="none"/>
        </w:rPr>
      </w:pPr>
      <w:r>
        <w:rPr>
          <w:rFonts w:hint="eastAsia" w:hAnsi="宋体"/>
          <w:bCs/>
          <w:color w:val="auto"/>
          <w:sz w:val="21"/>
          <w:szCs w:val="21"/>
          <w:highlight w:val="none"/>
          <w:u w:val="none"/>
        </w:rPr>
        <w:t>（1）行政事业性收费</w:t>
      </w:r>
    </w:p>
    <w:p>
      <w:pPr>
        <w:pStyle w:val="6"/>
        <w:keepNext w:val="0"/>
        <w:keepLines w:val="0"/>
        <w:pageBreakBefore w:val="0"/>
        <w:widowControl w:val="0"/>
        <w:kinsoku/>
        <w:wordWrap/>
        <w:overflowPunct/>
        <w:topLinePunct w:val="0"/>
        <w:bidi w:val="0"/>
        <w:snapToGrid/>
        <w:spacing w:line="360" w:lineRule="auto"/>
        <w:ind w:firstLine="420" w:firstLineChars="200"/>
        <w:textAlignment w:val="auto"/>
        <w:rPr>
          <w:rFonts w:hint="eastAsia" w:hAnsi="宋体"/>
          <w:bCs/>
          <w:color w:val="auto"/>
          <w:sz w:val="21"/>
          <w:szCs w:val="21"/>
          <w:highlight w:val="none"/>
          <w:u w:val="single"/>
        </w:rPr>
      </w:pPr>
      <w:r>
        <w:rPr>
          <w:rFonts w:hint="eastAsia" w:hAnsi="宋体"/>
          <w:bCs/>
          <w:color w:val="auto"/>
          <w:sz w:val="21"/>
          <w:szCs w:val="21"/>
          <w:highlight w:val="none"/>
          <w:u w:val="single"/>
        </w:rPr>
        <w:t>由行政事业性单位按相关收费文件收费，承包人凭相关行政事业单位开具的有效收费凭证或发票按实结算。</w:t>
      </w:r>
    </w:p>
    <w:p>
      <w:pPr>
        <w:pStyle w:val="5"/>
        <w:keepNext w:val="0"/>
        <w:keepLines w:val="0"/>
        <w:pageBreakBefore w:val="0"/>
        <w:widowControl w:val="0"/>
        <w:numPr>
          <w:ilvl w:val="0"/>
          <w:numId w:val="2"/>
        </w:numPr>
        <w:kinsoku/>
        <w:wordWrap/>
        <w:overflowPunct/>
        <w:topLinePunct w:val="0"/>
        <w:bidi w:val="0"/>
        <w:snapToGrid/>
        <w:spacing w:beforeAutospacing="0" w:after="0" w:line="360" w:lineRule="auto"/>
        <w:ind w:left="0" w:leftChars="0" w:firstLine="420" w:firstLineChars="200"/>
        <w:textAlignment w:val="auto"/>
        <w:rPr>
          <w:rFonts w:hint="eastAsia" w:hAnsi="宋体"/>
          <w:bCs/>
          <w:color w:val="auto"/>
          <w:sz w:val="21"/>
          <w:szCs w:val="21"/>
          <w:highlight w:val="none"/>
          <w:u w:val="none"/>
        </w:rPr>
      </w:pPr>
      <w:r>
        <w:rPr>
          <w:rFonts w:hint="eastAsia" w:hAnsi="宋体"/>
          <w:bCs/>
          <w:color w:val="auto"/>
          <w:sz w:val="21"/>
          <w:szCs w:val="21"/>
          <w:highlight w:val="none"/>
          <w:u w:val="none"/>
        </w:rPr>
        <w:t>赔偿/补偿类代垫代付费用</w:t>
      </w:r>
    </w:p>
    <w:p>
      <w:pPr>
        <w:pStyle w:val="6"/>
        <w:keepNext w:val="0"/>
        <w:keepLines w:val="0"/>
        <w:pageBreakBefore w:val="0"/>
        <w:widowControl w:val="0"/>
        <w:kinsoku/>
        <w:wordWrap/>
        <w:overflowPunct/>
        <w:topLinePunct w:val="0"/>
        <w:bidi w:val="0"/>
        <w:snapToGrid/>
        <w:spacing w:line="360" w:lineRule="auto"/>
        <w:ind w:firstLine="420" w:firstLineChars="200"/>
        <w:textAlignment w:val="auto"/>
        <w:rPr>
          <w:rFonts w:hint="eastAsia" w:hAnsi="宋体" w:cs="宋体"/>
          <w:color w:val="auto"/>
          <w:kern w:val="0"/>
          <w:sz w:val="21"/>
          <w:szCs w:val="21"/>
          <w:highlight w:val="none"/>
          <w:u w:val="single"/>
        </w:rPr>
      </w:pPr>
      <w:r>
        <w:rPr>
          <w:rFonts w:hint="eastAsia" w:hAnsi="宋体" w:cs="宋体"/>
          <w:color w:val="auto"/>
          <w:kern w:val="0"/>
          <w:sz w:val="21"/>
          <w:szCs w:val="21"/>
          <w:highlight w:val="none"/>
          <w:u w:val="single"/>
        </w:rPr>
        <w:t>项目实施过程中如发生电缆线路临时占用租用赔偿、项目零星赔偿等，需要承包人进行代垫代付的，应先由建设单位与受赔方确认费用，并在费用明细表中共同盖章确认交承包人进行费用垫支，结算时（根据实际情况计算税金）按实结算。</w:t>
      </w:r>
    </w:p>
    <w:p>
      <w:pPr>
        <w:pStyle w:val="6"/>
        <w:keepNext w:val="0"/>
        <w:keepLines w:val="0"/>
        <w:pageBreakBefore w:val="0"/>
        <w:widowControl w:val="0"/>
        <w:kinsoku/>
        <w:wordWrap/>
        <w:overflowPunct/>
        <w:topLinePunct w:val="0"/>
        <w:bidi w:val="0"/>
        <w:snapToGrid/>
        <w:spacing w:line="360" w:lineRule="auto"/>
        <w:ind w:firstLine="420" w:firstLineChars="200"/>
        <w:textAlignment w:val="auto"/>
        <w:rPr>
          <w:rFonts w:hint="eastAsia" w:hAnsi="宋体" w:cs="宋体"/>
          <w:color w:val="auto"/>
          <w:kern w:val="0"/>
          <w:sz w:val="21"/>
          <w:szCs w:val="21"/>
          <w:highlight w:val="none"/>
          <w:u w:val="single"/>
        </w:rPr>
      </w:pPr>
      <w:r>
        <w:rPr>
          <w:rFonts w:hint="eastAsia" w:hAnsi="宋体" w:cs="宋体"/>
          <w:color w:val="auto"/>
          <w:kern w:val="0"/>
          <w:sz w:val="21"/>
          <w:szCs w:val="21"/>
          <w:highlight w:val="none"/>
          <w:u w:val="none"/>
        </w:rPr>
        <w:t>（</w:t>
      </w:r>
      <w:r>
        <w:rPr>
          <w:rFonts w:hint="eastAsia" w:hAnsi="宋体" w:cs="宋体"/>
          <w:color w:val="auto"/>
          <w:kern w:val="0"/>
          <w:sz w:val="21"/>
          <w:szCs w:val="21"/>
          <w:highlight w:val="none"/>
          <w:u w:val="none"/>
          <w:lang w:val="en-US" w:eastAsia="zh-CN"/>
        </w:rPr>
        <w:t>3</w:t>
      </w:r>
      <w:r>
        <w:rPr>
          <w:rFonts w:hint="eastAsia" w:hAnsi="宋体" w:cs="宋体"/>
          <w:color w:val="auto"/>
          <w:kern w:val="0"/>
          <w:sz w:val="21"/>
          <w:szCs w:val="21"/>
          <w:highlight w:val="none"/>
          <w:u w:val="none"/>
        </w:rPr>
        <w:t>）其他：</w:t>
      </w:r>
      <w:r>
        <w:rPr>
          <w:rFonts w:hint="eastAsia" w:hAnsi="宋体" w:cs="宋体"/>
          <w:color w:val="auto"/>
          <w:kern w:val="0"/>
          <w:sz w:val="21"/>
          <w:szCs w:val="21"/>
          <w:highlight w:val="none"/>
          <w:u w:val="single"/>
        </w:rPr>
        <w:t xml:space="preserve">         /            。</w:t>
      </w:r>
    </w:p>
    <w:p>
      <w:pPr>
        <w:pStyle w:val="5"/>
        <w:keepNext w:val="0"/>
        <w:keepLines w:val="0"/>
        <w:pageBreakBefore w:val="0"/>
        <w:widowControl w:val="0"/>
        <w:kinsoku/>
        <w:wordWrap/>
        <w:overflowPunct/>
        <w:topLinePunct w:val="0"/>
        <w:bidi w:val="0"/>
        <w:snapToGrid/>
        <w:spacing w:after="0" w:line="360" w:lineRule="auto"/>
        <w:ind w:left="0" w:leftChars="0" w:firstLine="422" w:firstLineChars="200"/>
        <w:textAlignment w:val="auto"/>
        <w:rPr>
          <w:rFonts w:hint="eastAsia" w:ascii="宋体" w:hAnsi="宋体"/>
          <w:b/>
          <w:color w:val="auto"/>
          <w:sz w:val="21"/>
          <w:szCs w:val="21"/>
          <w:highlight w:val="none"/>
        </w:rPr>
      </w:pPr>
      <w:r>
        <w:rPr>
          <w:rFonts w:hint="eastAsia" w:ascii="宋体" w:hAnsi="宋体"/>
          <w:b/>
          <w:color w:val="auto"/>
          <w:sz w:val="21"/>
          <w:szCs w:val="21"/>
          <w:highlight w:val="none"/>
        </w:rPr>
        <w:t>13.5.2 专业工程暂估价</w:t>
      </w:r>
    </w:p>
    <w:p>
      <w:pPr>
        <w:pStyle w:val="5"/>
        <w:keepNext w:val="0"/>
        <w:keepLines w:val="0"/>
        <w:pageBreakBefore w:val="0"/>
        <w:widowControl w:val="0"/>
        <w:kinsoku/>
        <w:wordWrap/>
        <w:overflowPunct/>
        <w:topLinePunct w:val="0"/>
        <w:bidi w:val="0"/>
        <w:snapToGrid/>
        <w:spacing w:after="0" w:line="360" w:lineRule="auto"/>
        <w:ind w:left="0" w:leftChars="0" w:firstLine="422" w:firstLineChars="200"/>
        <w:textAlignment w:val="auto"/>
        <w:rPr>
          <w:rFonts w:hint="eastAsia" w:ascii="宋体" w:hAnsi="宋体"/>
          <w:b/>
          <w:color w:val="auto"/>
          <w:sz w:val="21"/>
          <w:szCs w:val="21"/>
          <w:highlight w:val="none"/>
        </w:rPr>
      </w:pPr>
      <w:r>
        <w:rPr>
          <w:rFonts w:hint="eastAsia" w:ascii="宋体" w:hAnsi="宋体"/>
          <w:b/>
          <w:color w:val="auto"/>
          <w:sz w:val="21"/>
          <w:szCs w:val="21"/>
          <w:highlight w:val="none"/>
        </w:rPr>
        <w:t>以下结算方式仅适用于在本工程</w:t>
      </w:r>
      <w:r>
        <w:rPr>
          <w:rFonts w:hint="eastAsia" w:ascii="宋体" w:hAnsi="宋体"/>
          <w:b/>
          <w:color w:val="auto"/>
          <w:sz w:val="21"/>
          <w:szCs w:val="21"/>
          <w:highlight w:val="none"/>
          <w:lang w:eastAsia="zh-CN"/>
        </w:rPr>
        <w:t>招标文件及配套附件</w:t>
      </w:r>
      <w:r>
        <w:rPr>
          <w:rFonts w:hint="eastAsia" w:ascii="宋体" w:hAnsi="宋体"/>
          <w:b/>
          <w:color w:val="auto"/>
          <w:sz w:val="21"/>
          <w:szCs w:val="21"/>
          <w:highlight w:val="none"/>
        </w:rPr>
        <w:t>中</w:t>
      </w:r>
      <w:r>
        <w:rPr>
          <w:rFonts w:hint="eastAsia" w:ascii="宋体" w:hAnsi="宋体"/>
          <w:b/>
          <w:color w:val="auto"/>
          <w:sz w:val="21"/>
          <w:szCs w:val="21"/>
          <w:highlight w:val="none"/>
          <w:lang w:eastAsia="zh-CN"/>
        </w:rPr>
        <w:t>明确</w:t>
      </w:r>
      <w:r>
        <w:rPr>
          <w:rFonts w:hint="eastAsia" w:ascii="宋体" w:hAnsi="宋体"/>
          <w:b/>
          <w:color w:val="auto"/>
          <w:sz w:val="21"/>
          <w:szCs w:val="21"/>
          <w:highlight w:val="none"/>
        </w:rPr>
        <w:t>以暂估价单独列项的项目，若</w:t>
      </w:r>
      <w:r>
        <w:rPr>
          <w:rFonts w:hint="eastAsia" w:ascii="宋体" w:hAnsi="宋体"/>
          <w:b/>
          <w:color w:val="auto"/>
          <w:sz w:val="21"/>
          <w:szCs w:val="21"/>
          <w:highlight w:val="none"/>
          <w:lang w:eastAsia="zh-CN"/>
        </w:rPr>
        <w:t>招标文件及配套附件</w:t>
      </w:r>
      <w:r>
        <w:rPr>
          <w:rFonts w:hint="eastAsia" w:ascii="宋体" w:hAnsi="宋体"/>
          <w:b/>
          <w:color w:val="auto"/>
          <w:sz w:val="21"/>
          <w:szCs w:val="21"/>
          <w:highlight w:val="none"/>
        </w:rPr>
        <w:t>中未约定为暂估价，则按施工图包干结算；若招标文件包含范围但施工图未有相应内容，实际过程中发生的，结算时可参照执行。</w:t>
      </w:r>
    </w:p>
    <w:p>
      <w:pPr>
        <w:pStyle w:val="5"/>
        <w:keepNext w:val="0"/>
        <w:keepLines w:val="0"/>
        <w:pageBreakBefore w:val="0"/>
        <w:widowControl w:val="0"/>
        <w:kinsoku/>
        <w:wordWrap/>
        <w:overflowPunct/>
        <w:topLinePunct w:val="0"/>
        <w:bidi w:val="0"/>
        <w:snapToGrid/>
        <w:spacing w:beforeAutospacing="0" w:after="0" w:line="360" w:lineRule="auto"/>
        <w:ind w:left="0" w:leftChars="0" w:firstLine="422" w:firstLineChars="200"/>
        <w:textAlignment w:val="auto"/>
        <w:rPr>
          <w:rFonts w:hint="eastAsia" w:ascii="宋体" w:hAnsi="宋体"/>
          <w:b/>
          <w:bCs/>
          <w:color w:val="auto"/>
          <w:sz w:val="21"/>
          <w:szCs w:val="21"/>
          <w:highlight w:val="none"/>
        </w:rPr>
      </w:pPr>
      <w:r>
        <w:rPr>
          <w:rFonts w:hint="eastAsia" w:ascii="宋体" w:hAnsi="宋体"/>
          <w:b/>
          <w:bCs/>
          <w:color w:val="auto"/>
          <w:sz w:val="21"/>
          <w:szCs w:val="21"/>
          <w:highlight w:val="none"/>
        </w:rPr>
        <w:t>若以下规则均不适用，则双方另行协商约定。</w:t>
      </w:r>
    </w:p>
    <w:p>
      <w:pPr>
        <w:pStyle w:val="5"/>
        <w:keepNext w:val="0"/>
        <w:keepLines w:val="0"/>
        <w:pageBreakBefore w:val="0"/>
        <w:widowControl w:val="0"/>
        <w:kinsoku/>
        <w:wordWrap/>
        <w:overflowPunct/>
        <w:topLinePunct w:val="0"/>
        <w:bidi w:val="0"/>
        <w:snapToGrid/>
        <w:spacing w:after="0" w:line="360" w:lineRule="auto"/>
        <w:ind w:left="0" w:leftChars="0" w:firstLine="420" w:firstLineChars="200"/>
        <w:textAlignment w:val="auto"/>
        <w:rPr>
          <w:rFonts w:hint="eastAsia" w:ascii="宋体" w:hAnsi="宋体"/>
          <w:b w:val="0"/>
          <w:bCs/>
          <w:color w:val="auto"/>
          <w:sz w:val="21"/>
          <w:szCs w:val="21"/>
          <w:highlight w:val="none"/>
          <w:u w:val="single"/>
        </w:rPr>
      </w:pPr>
      <w:r>
        <w:rPr>
          <w:rFonts w:hint="eastAsia" w:ascii="宋体" w:hAnsi="宋体"/>
          <w:b w:val="0"/>
          <w:bCs/>
          <w:color w:val="auto"/>
          <w:sz w:val="21"/>
          <w:szCs w:val="21"/>
          <w:highlight w:val="none"/>
          <w:u w:val="single"/>
        </w:rPr>
        <w:t>（1）</w:t>
      </w:r>
      <w:r>
        <w:rPr>
          <w:rFonts w:hint="eastAsia" w:hAnsi="宋体"/>
          <w:b w:val="0"/>
          <w:bCs/>
          <w:color w:val="auto"/>
          <w:sz w:val="21"/>
          <w:szCs w:val="21"/>
          <w:highlight w:val="none"/>
          <w:u w:val="single"/>
        </w:rPr>
        <w:t>站外给排水</w:t>
      </w:r>
    </w:p>
    <w:p>
      <w:pPr>
        <w:pStyle w:val="5"/>
        <w:keepNext w:val="0"/>
        <w:keepLines w:val="0"/>
        <w:pageBreakBefore w:val="0"/>
        <w:widowControl w:val="0"/>
        <w:kinsoku/>
        <w:wordWrap/>
        <w:overflowPunct/>
        <w:topLinePunct w:val="0"/>
        <w:bidi w:val="0"/>
        <w:snapToGrid/>
        <w:spacing w:beforeAutospacing="0" w:after="0" w:line="360" w:lineRule="auto"/>
        <w:ind w:left="0" w:leftChars="0" w:firstLine="420" w:firstLineChars="200"/>
        <w:textAlignment w:val="auto"/>
        <w:rPr>
          <w:rFonts w:hint="eastAsia" w:ascii="宋体" w:hAnsi="宋体"/>
          <w:b w:val="0"/>
          <w:bCs/>
          <w:color w:val="auto"/>
          <w:sz w:val="21"/>
          <w:szCs w:val="21"/>
          <w:highlight w:val="none"/>
          <w:u w:val="single"/>
        </w:rPr>
      </w:pPr>
      <w:r>
        <w:rPr>
          <w:rFonts w:hint="eastAsia" w:hAnsi="宋体"/>
          <w:b w:val="0"/>
          <w:bCs/>
          <w:color w:val="auto"/>
          <w:sz w:val="21"/>
          <w:szCs w:val="21"/>
          <w:highlight w:val="none"/>
          <w:u w:val="single"/>
        </w:rPr>
        <w:t>按实际工程量并计取中标下浮率进行结算。费用标准参照《广东省市政工程综合定额（2018）》《广东省房屋建筑与装饰工程综合定额（2018）》《广东省通用安装工程综合定额（2018）》及其计价程序；人工材料机械价差调整按广州市建设工程造价管理站发布的该项工作开工日期当月调差文件计取价差；中标下浮率（%）＝[1－(投标报价-安全文明施工费-暂估价）/（最高投标限价-安全文明施工费-暂估价)] ×100%。无可套取定额的，按相关收费文件或合同计算。待工程整体完工后由第三方造价审核机构审核，与主合同一并结算。</w:t>
      </w:r>
    </w:p>
    <w:p>
      <w:pPr>
        <w:pStyle w:val="5"/>
        <w:keepNext w:val="0"/>
        <w:keepLines w:val="0"/>
        <w:pageBreakBefore w:val="0"/>
        <w:widowControl w:val="0"/>
        <w:kinsoku/>
        <w:wordWrap/>
        <w:overflowPunct/>
        <w:topLinePunct w:val="0"/>
        <w:bidi w:val="0"/>
        <w:snapToGrid/>
        <w:spacing w:after="0" w:line="360" w:lineRule="auto"/>
        <w:ind w:left="0" w:leftChars="0" w:firstLine="420" w:firstLineChars="200"/>
        <w:textAlignment w:val="auto"/>
        <w:rPr>
          <w:rFonts w:hint="eastAsia" w:ascii="宋体" w:hAnsi="宋体"/>
          <w:b w:val="0"/>
          <w:bCs/>
          <w:color w:val="auto"/>
          <w:sz w:val="21"/>
          <w:szCs w:val="21"/>
          <w:highlight w:val="none"/>
          <w:u w:val="single"/>
        </w:rPr>
      </w:pPr>
      <w:r>
        <w:rPr>
          <w:rFonts w:hint="eastAsia" w:ascii="宋体" w:hAnsi="宋体"/>
          <w:b w:val="0"/>
          <w:bCs/>
          <w:color w:val="auto"/>
          <w:sz w:val="21"/>
          <w:szCs w:val="21"/>
          <w:highlight w:val="none"/>
          <w:u w:val="single"/>
        </w:rPr>
        <w:t>（2）市政路面修复</w:t>
      </w:r>
    </w:p>
    <w:p>
      <w:pPr>
        <w:pStyle w:val="6"/>
        <w:keepNext w:val="0"/>
        <w:keepLines w:val="0"/>
        <w:pageBreakBefore w:val="0"/>
        <w:widowControl w:val="0"/>
        <w:kinsoku/>
        <w:wordWrap/>
        <w:overflowPunct/>
        <w:topLinePunct w:val="0"/>
        <w:bidi w:val="0"/>
        <w:snapToGrid/>
        <w:spacing w:line="360" w:lineRule="auto"/>
        <w:ind w:firstLine="420" w:firstLineChars="200"/>
        <w:textAlignment w:val="auto"/>
        <w:rPr>
          <w:rFonts w:hint="eastAsia" w:hAnsi="宋体"/>
          <w:b w:val="0"/>
          <w:bCs/>
          <w:color w:val="auto"/>
          <w:sz w:val="21"/>
          <w:szCs w:val="21"/>
          <w:highlight w:val="none"/>
          <w:u w:val="single"/>
        </w:rPr>
      </w:pPr>
      <w:r>
        <w:rPr>
          <w:rFonts w:hint="eastAsia" w:hAnsi="宋体"/>
          <w:b w:val="0"/>
          <w:bCs/>
          <w:color w:val="auto"/>
          <w:sz w:val="21"/>
          <w:szCs w:val="21"/>
          <w:highlight w:val="none"/>
          <w:u w:val="single"/>
        </w:rPr>
        <w:t>市政路面修复（含养护、维护一年、质量检测）由承包人负责与有资质的施工单位、质量检测单位分别签订合同，负责保质保量完成路面修复并确保顺利通过市政道路主管部门验收，在保修期内负责所修复道路的养护和维护工作。修复标准按施工图纸标准修复，须对修复质量进行监测，并承诺1年质保期（具体视市政主管部门的要求）。对城市道路不能按时修复或修复质量达不到施工图纸标准的，责令限时整改。</w:t>
      </w:r>
    </w:p>
    <w:p>
      <w:pPr>
        <w:pStyle w:val="6"/>
        <w:keepNext w:val="0"/>
        <w:keepLines w:val="0"/>
        <w:pageBreakBefore w:val="0"/>
        <w:widowControl w:val="0"/>
        <w:kinsoku/>
        <w:wordWrap/>
        <w:overflowPunct/>
        <w:topLinePunct w:val="0"/>
        <w:bidi w:val="0"/>
        <w:snapToGrid/>
        <w:spacing w:line="360" w:lineRule="auto"/>
        <w:ind w:firstLine="420" w:firstLineChars="200"/>
        <w:textAlignment w:val="auto"/>
        <w:rPr>
          <w:rFonts w:hint="eastAsia" w:hAnsi="宋体"/>
          <w:b w:val="0"/>
          <w:bCs/>
          <w:color w:val="auto"/>
          <w:sz w:val="21"/>
          <w:szCs w:val="21"/>
          <w:highlight w:val="none"/>
          <w:u w:val="single"/>
        </w:rPr>
      </w:pPr>
      <w:r>
        <w:rPr>
          <w:rFonts w:hint="eastAsia" w:hAnsi="宋体"/>
          <w:b w:val="0"/>
          <w:bCs/>
          <w:color w:val="auto"/>
          <w:sz w:val="21"/>
          <w:szCs w:val="21"/>
          <w:highlight w:val="none"/>
          <w:u w:val="single"/>
        </w:rPr>
        <w:t>结算时：</w:t>
      </w:r>
    </w:p>
    <w:p>
      <w:pPr>
        <w:pStyle w:val="6"/>
        <w:keepNext w:val="0"/>
        <w:keepLines w:val="0"/>
        <w:pageBreakBefore w:val="0"/>
        <w:widowControl w:val="0"/>
        <w:kinsoku/>
        <w:wordWrap/>
        <w:overflowPunct/>
        <w:topLinePunct w:val="0"/>
        <w:bidi w:val="0"/>
        <w:snapToGrid/>
        <w:spacing w:line="360" w:lineRule="auto"/>
        <w:ind w:firstLine="420" w:firstLineChars="200"/>
        <w:textAlignment w:val="auto"/>
        <w:rPr>
          <w:rFonts w:hint="eastAsia" w:hAnsi="宋体"/>
          <w:b w:val="0"/>
          <w:bCs/>
          <w:color w:val="auto"/>
          <w:sz w:val="21"/>
          <w:szCs w:val="21"/>
          <w:highlight w:val="none"/>
          <w:u w:val="single"/>
        </w:rPr>
      </w:pPr>
      <w:r>
        <w:rPr>
          <w:rFonts w:hint="eastAsia" w:hAnsi="宋体" w:cs="宋体"/>
          <w:b w:val="0"/>
          <w:bCs/>
          <w:color w:val="auto"/>
          <w:sz w:val="21"/>
          <w:szCs w:val="21"/>
          <w:highlight w:val="none"/>
          <w:u w:val="single"/>
        </w:rPr>
        <w:t>①</w:t>
      </w:r>
      <w:r>
        <w:rPr>
          <w:rFonts w:hint="eastAsia" w:hAnsi="宋体"/>
          <w:b w:val="0"/>
          <w:bCs/>
          <w:color w:val="auto"/>
          <w:sz w:val="21"/>
          <w:szCs w:val="21"/>
          <w:highlight w:val="none"/>
          <w:u w:val="single"/>
        </w:rPr>
        <w:t xml:space="preserve">质量检测费用根据现有检测收费文件计算； </w:t>
      </w:r>
    </w:p>
    <w:p>
      <w:pPr>
        <w:pStyle w:val="6"/>
        <w:keepNext w:val="0"/>
        <w:keepLines w:val="0"/>
        <w:pageBreakBefore w:val="0"/>
        <w:widowControl w:val="0"/>
        <w:kinsoku/>
        <w:wordWrap/>
        <w:overflowPunct/>
        <w:topLinePunct w:val="0"/>
        <w:bidi w:val="0"/>
        <w:snapToGrid/>
        <w:spacing w:line="360" w:lineRule="auto"/>
        <w:ind w:firstLine="420" w:firstLineChars="200"/>
        <w:textAlignment w:val="auto"/>
        <w:rPr>
          <w:rFonts w:hint="eastAsia" w:hAnsi="宋体"/>
          <w:b w:val="0"/>
          <w:bCs/>
          <w:color w:val="auto"/>
          <w:sz w:val="21"/>
          <w:szCs w:val="21"/>
          <w:highlight w:val="none"/>
          <w:u w:val="single"/>
        </w:rPr>
      </w:pPr>
      <w:r>
        <w:rPr>
          <w:rFonts w:hint="eastAsia" w:hAnsi="宋体" w:cs="宋体"/>
          <w:b w:val="0"/>
          <w:bCs/>
          <w:color w:val="auto"/>
          <w:sz w:val="21"/>
          <w:szCs w:val="21"/>
          <w:highlight w:val="none"/>
          <w:u w:val="single"/>
        </w:rPr>
        <w:t>②</w:t>
      </w:r>
      <w:r>
        <w:rPr>
          <w:rFonts w:hint="eastAsia" w:hAnsi="宋体"/>
          <w:b w:val="0"/>
          <w:bCs/>
          <w:color w:val="auto"/>
          <w:sz w:val="21"/>
          <w:szCs w:val="21"/>
          <w:highlight w:val="none"/>
          <w:u w:val="single"/>
        </w:rPr>
        <w:t>施工及质量保修、维（养）护部分费用标准参照《广东省市政工程综合定额（2018）》《广东省通用安装工程综合定额（2018）》及其计价程序，人工材料机械价差调整按广州市建设工程造价管理站发布的该项工作开工日期当月调差文件计取价差，由承包人按实际施工图纸计量，并乘以中标下浮率计算，待工程整体完工后由第三方造价审核机构审核，与主合同一并结算。其中：中标下浮率（%）＝[1－(投标报价-安全文明施工费-暂估价）/（最高投标限价-安全文明施工费-暂估价)] ×100%。</w:t>
      </w:r>
    </w:p>
    <w:p>
      <w:pPr>
        <w:pStyle w:val="6"/>
        <w:keepNext w:val="0"/>
        <w:keepLines w:val="0"/>
        <w:pageBreakBefore w:val="0"/>
        <w:widowControl w:val="0"/>
        <w:kinsoku/>
        <w:wordWrap/>
        <w:overflowPunct/>
        <w:topLinePunct w:val="0"/>
        <w:bidi w:val="0"/>
        <w:snapToGrid/>
        <w:spacing w:line="360" w:lineRule="auto"/>
        <w:ind w:firstLine="420" w:firstLineChars="200"/>
        <w:textAlignment w:val="auto"/>
        <w:rPr>
          <w:rFonts w:hint="eastAsia" w:hAnsi="宋体"/>
          <w:b w:val="0"/>
          <w:bCs/>
          <w:color w:val="auto"/>
          <w:sz w:val="21"/>
          <w:szCs w:val="21"/>
          <w:highlight w:val="none"/>
          <w:u w:val="single"/>
        </w:rPr>
      </w:pPr>
      <w:r>
        <w:rPr>
          <w:rFonts w:hint="eastAsia" w:hAnsi="宋体"/>
          <w:b w:val="0"/>
          <w:bCs/>
          <w:color w:val="auto"/>
          <w:sz w:val="21"/>
          <w:szCs w:val="21"/>
          <w:highlight w:val="none"/>
          <w:u w:val="single"/>
        </w:rPr>
        <w:t>如在该工程涉及的道路修复工程实施前，政府相关部门调整了道路修复和费用收取模式，以新政策为准对合同范围、费用等进行相应调整。</w:t>
      </w:r>
    </w:p>
    <w:p>
      <w:pPr>
        <w:pStyle w:val="5"/>
        <w:keepNext w:val="0"/>
        <w:keepLines w:val="0"/>
        <w:pageBreakBefore w:val="0"/>
        <w:widowControl w:val="0"/>
        <w:kinsoku/>
        <w:wordWrap/>
        <w:overflowPunct/>
        <w:topLinePunct w:val="0"/>
        <w:bidi w:val="0"/>
        <w:snapToGrid/>
        <w:spacing w:after="0" w:line="360" w:lineRule="auto"/>
        <w:ind w:left="0" w:leftChars="0" w:firstLine="420" w:firstLineChars="200"/>
        <w:textAlignment w:val="auto"/>
        <w:rPr>
          <w:rFonts w:hint="eastAsia" w:ascii="宋体" w:hAnsi="宋体"/>
          <w:b w:val="0"/>
          <w:bCs/>
          <w:color w:val="auto"/>
          <w:sz w:val="21"/>
          <w:szCs w:val="21"/>
          <w:highlight w:val="none"/>
          <w:u w:val="single"/>
        </w:rPr>
      </w:pPr>
      <w:r>
        <w:rPr>
          <w:rFonts w:hint="eastAsia" w:ascii="宋体" w:hAnsi="宋体"/>
          <w:b w:val="0"/>
          <w:bCs/>
          <w:color w:val="auto"/>
          <w:sz w:val="21"/>
          <w:szCs w:val="21"/>
          <w:highlight w:val="none"/>
          <w:u w:val="single"/>
        </w:rPr>
        <w:t>（3）</w:t>
      </w:r>
      <w:r>
        <w:rPr>
          <w:rFonts w:hint="eastAsia" w:hAnsi="宋体"/>
          <w:b w:val="0"/>
          <w:bCs/>
          <w:color w:val="auto"/>
          <w:sz w:val="21"/>
          <w:szCs w:val="21"/>
          <w:highlight w:val="none"/>
          <w:u w:val="single"/>
        </w:rPr>
        <w:t>路面修复（非市政路面修复部分）</w:t>
      </w:r>
    </w:p>
    <w:p>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rPr>
          <w:rFonts w:hint="eastAsia" w:ascii="宋体" w:hAnsi="宋体"/>
          <w:b w:val="0"/>
          <w:bCs/>
          <w:color w:val="auto"/>
          <w:sz w:val="21"/>
          <w:szCs w:val="21"/>
          <w:highlight w:val="none"/>
          <w:u w:val="single"/>
        </w:rPr>
      </w:pPr>
      <w:r>
        <w:rPr>
          <w:rFonts w:hint="eastAsia" w:ascii="宋体" w:hAnsi="宋体"/>
          <w:b w:val="0"/>
          <w:bCs/>
          <w:color w:val="auto"/>
          <w:sz w:val="21"/>
          <w:szCs w:val="21"/>
          <w:highlight w:val="none"/>
          <w:u w:val="single"/>
        </w:rPr>
        <w:t>①属于公路局管辖部分，且公路部门能开具收费凭证的，按公路部门开具的收费凭证结算</w:t>
      </w:r>
      <w:r>
        <w:rPr>
          <w:rFonts w:hint="eastAsia" w:ascii="宋体" w:hAnsi="宋体"/>
          <w:b w:val="0"/>
          <w:bCs/>
          <w:color w:val="auto"/>
          <w:sz w:val="21"/>
          <w:szCs w:val="21"/>
          <w:highlight w:val="none"/>
          <w:u w:val="single"/>
          <w:lang w:eastAsia="zh-CN"/>
        </w:rPr>
        <w:t>；</w:t>
      </w:r>
      <w:r>
        <w:rPr>
          <w:rFonts w:hint="eastAsia" w:ascii="宋体" w:hAnsi="宋体"/>
          <w:b w:val="0"/>
          <w:bCs/>
          <w:color w:val="auto"/>
          <w:sz w:val="21"/>
          <w:szCs w:val="21"/>
          <w:highlight w:val="none"/>
          <w:u w:val="single"/>
        </w:rPr>
        <w:t>公路局未有明确费用标准的，费用标准参照《广东省市政工程综合定额（2018）》《广东省通用安装工程综合定额（2018）》及其计价程序，人工材料机械价差调整按广州市建设工程造价管理站发布的该项工作开工日期当月调差文件计取价差，由承包人按实际施工图纸计量，并乘以中标下浮率计算，待工程整体完工后由第三方造价审核机构审核，与主合同一并结算。其中：中标下浮率（%）＝[1－(投标报价-安全文明施工费-暂估价）/（最高投标限价-安全文明施工费-暂估价)] ×100%。</w:t>
      </w:r>
    </w:p>
    <w:p>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rPr>
          <w:rFonts w:hint="eastAsia" w:ascii="宋体" w:hAnsi="宋体"/>
          <w:b w:val="0"/>
          <w:bCs/>
          <w:color w:val="auto"/>
          <w:sz w:val="21"/>
          <w:szCs w:val="21"/>
          <w:highlight w:val="none"/>
          <w:u w:val="single"/>
        </w:rPr>
      </w:pPr>
      <w:r>
        <w:rPr>
          <w:rFonts w:hint="eastAsia" w:ascii="宋体" w:hAnsi="宋体"/>
          <w:b w:val="0"/>
          <w:bCs/>
          <w:color w:val="auto"/>
          <w:sz w:val="21"/>
          <w:szCs w:val="21"/>
          <w:highlight w:val="none"/>
          <w:u w:val="single"/>
        </w:rPr>
        <w:t>②其余路面修复工程（既不属于市政路、也不属于公路局管辖部分的）：按实际工程量并计取中标下浮率进行结算。费用标准参照《广东省市政工程综合定额（2018）》《广东省通用安装工程综合定额（2018）》及其计价程序，人工材料机械价差调整按广州市建设工程造价管理站发布的该项工作开工日期当月调差文件计取价差，由承包人按实际施工图纸计量，并乘以中标下浮率计算，待工程整体完工后由第三方造价审核机构审核，与主合同一并结算。其中：中标下浮率（%）＝[1－(投标报价-安全文明施工费-暂估价）/（最高投标限价-安全文明施工费-暂估价)] ×100%。</w:t>
      </w:r>
    </w:p>
    <w:p>
      <w:pPr>
        <w:pStyle w:val="6"/>
        <w:keepNext w:val="0"/>
        <w:keepLines w:val="0"/>
        <w:pageBreakBefore w:val="0"/>
        <w:widowControl w:val="0"/>
        <w:kinsoku/>
        <w:wordWrap/>
        <w:overflowPunct/>
        <w:topLinePunct w:val="0"/>
        <w:bidi w:val="0"/>
        <w:snapToGrid/>
        <w:spacing w:line="360" w:lineRule="auto"/>
        <w:ind w:firstLine="420"/>
        <w:textAlignment w:val="auto"/>
        <w:rPr>
          <w:rFonts w:hint="eastAsia" w:ascii="宋体" w:hAnsi="宋体"/>
          <w:b w:val="0"/>
          <w:bCs/>
          <w:color w:val="auto"/>
          <w:sz w:val="21"/>
          <w:szCs w:val="21"/>
          <w:highlight w:val="none"/>
          <w:u w:val="single"/>
        </w:rPr>
      </w:pPr>
      <w:r>
        <w:rPr>
          <w:rFonts w:hint="eastAsia" w:ascii="宋体" w:hAnsi="宋体"/>
          <w:b w:val="0"/>
          <w:bCs/>
          <w:color w:val="auto"/>
          <w:sz w:val="21"/>
          <w:szCs w:val="21"/>
          <w:highlight w:val="none"/>
          <w:u w:val="single"/>
        </w:rPr>
        <w:t>（4）管线迁移及悬吊保护</w:t>
      </w:r>
    </w:p>
    <w:p>
      <w:pPr>
        <w:pStyle w:val="5"/>
        <w:keepNext w:val="0"/>
        <w:keepLines w:val="0"/>
        <w:pageBreakBefore w:val="0"/>
        <w:widowControl w:val="0"/>
        <w:kinsoku/>
        <w:wordWrap/>
        <w:overflowPunct/>
        <w:topLinePunct w:val="0"/>
        <w:bidi w:val="0"/>
        <w:snapToGrid/>
        <w:spacing w:after="0" w:line="360" w:lineRule="auto"/>
        <w:ind w:left="0" w:leftChars="0" w:firstLine="420" w:firstLineChars="200"/>
        <w:textAlignment w:val="auto"/>
        <w:rPr>
          <w:rFonts w:hint="eastAsia" w:ascii="宋体" w:hAnsi="宋体"/>
          <w:b w:val="0"/>
          <w:bCs/>
          <w:color w:val="auto"/>
          <w:sz w:val="21"/>
          <w:szCs w:val="21"/>
          <w:highlight w:val="none"/>
          <w:u w:val="single"/>
        </w:rPr>
      </w:pPr>
      <w:r>
        <w:rPr>
          <w:rFonts w:hint="eastAsia" w:ascii="宋体" w:hAnsi="宋体"/>
          <w:b w:val="0"/>
          <w:bCs/>
          <w:color w:val="auto"/>
          <w:sz w:val="21"/>
          <w:szCs w:val="21"/>
          <w:highlight w:val="none"/>
          <w:u w:val="single"/>
        </w:rPr>
        <w:t>按实际工程量并计取中标下浮率进行结算。费用标准参照《广东省市政工程综合定额（2018）》《广东省房屋建筑与装饰工程综合定额（2018）》《广东省通用安装工程综合定额（2018）》及其计价程序，人工材料机械价差调整按广州市建设工程造价管理站发布的该项工作开工日期当月调差文件计取价差，若涉及其他行业定额的按其行业定额及其计价程序；中标下浮率（%）＝[1－(投标报价-安全文明施工费-暂估价）/（最高投标限价-安全文明施工费-暂估价)] ×100%。无可套取定额的，按相关收费文件或合同计算。待工程整体完工后由第三方造价审核机构审核，与主合同一并结算。</w:t>
      </w:r>
    </w:p>
    <w:p>
      <w:pPr>
        <w:pStyle w:val="6"/>
        <w:keepNext w:val="0"/>
        <w:keepLines w:val="0"/>
        <w:pageBreakBefore w:val="0"/>
        <w:widowControl w:val="0"/>
        <w:kinsoku/>
        <w:wordWrap/>
        <w:overflowPunct/>
        <w:topLinePunct w:val="0"/>
        <w:bidi w:val="0"/>
        <w:snapToGrid/>
        <w:spacing w:line="360" w:lineRule="auto"/>
        <w:ind w:firstLine="420"/>
        <w:textAlignment w:val="auto"/>
        <w:rPr>
          <w:rFonts w:hint="eastAsia" w:ascii="宋体" w:hAnsi="宋体"/>
          <w:b w:val="0"/>
          <w:bCs/>
          <w:color w:val="auto"/>
          <w:sz w:val="21"/>
          <w:szCs w:val="21"/>
          <w:highlight w:val="none"/>
          <w:u w:val="single"/>
        </w:rPr>
      </w:pPr>
      <w:r>
        <w:rPr>
          <w:rFonts w:hint="eastAsia" w:ascii="宋体" w:hAnsi="宋体"/>
          <w:b w:val="0"/>
          <w:bCs/>
          <w:color w:val="auto"/>
          <w:sz w:val="21"/>
          <w:szCs w:val="21"/>
          <w:highlight w:val="none"/>
          <w:u w:val="single"/>
        </w:rPr>
        <w:t>（</w:t>
      </w:r>
      <w:r>
        <w:rPr>
          <w:rFonts w:hint="eastAsia" w:hAnsi="宋体"/>
          <w:b w:val="0"/>
          <w:bCs/>
          <w:color w:val="auto"/>
          <w:sz w:val="21"/>
          <w:szCs w:val="21"/>
          <w:highlight w:val="none"/>
          <w:u w:val="single"/>
          <w:lang w:val="en-US" w:eastAsia="zh-CN"/>
        </w:rPr>
        <w:t>5</w:t>
      </w:r>
      <w:r>
        <w:rPr>
          <w:rFonts w:hint="eastAsia" w:ascii="宋体" w:hAnsi="宋体"/>
          <w:b w:val="0"/>
          <w:bCs/>
          <w:color w:val="auto"/>
          <w:sz w:val="21"/>
          <w:szCs w:val="21"/>
          <w:highlight w:val="none"/>
          <w:u w:val="single"/>
        </w:rPr>
        <w:t>）20kV及以下电力线路迁改工程</w:t>
      </w:r>
    </w:p>
    <w:p>
      <w:pPr>
        <w:pStyle w:val="5"/>
        <w:keepNext w:val="0"/>
        <w:keepLines w:val="0"/>
        <w:pageBreakBefore w:val="0"/>
        <w:widowControl w:val="0"/>
        <w:kinsoku/>
        <w:wordWrap/>
        <w:overflowPunct/>
        <w:topLinePunct w:val="0"/>
        <w:bidi w:val="0"/>
        <w:snapToGrid/>
        <w:spacing w:after="0" w:line="360" w:lineRule="auto"/>
        <w:ind w:left="0" w:leftChars="0" w:firstLine="420" w:firstLineChars="200"/>
        <w:textAlignment w:val="auto"/>
        <w:rPr>
          <w:rFonts w:hint="eastAsia" w:ascii="宋体" w:hAnsi="宋体"/>
          <w:b w:val="0"/>
          <w:bCs/>
          <w:color w:val="auto"/>
          <w:sz w:val="21"/>
          <w:szCs w:val="21"/>
          <w:highlight w:val="none"/>
          <w:u w:val="single"/>
        </w:rPr>
      </w:pPr>
      <w:r>
        <w:rPr>
          <w:rFonts w:hint="eastAsia" w:ascii="宋体" w:hAnsi="宋体"/>
          <w:b w:val="0"/>
          <w:bCs/>
          <w:color w:val="auto"/>
          <w:sz w:val="21"/>
          <w:szCs w:val="21"/>
          <w:highlight w:val="none"/>
          <w:u w:val="single"/>
        </w:rPr>
        <w:t>按实际工程量并计取中标下浮率进行结算。费用标准参照《20kV及以下配电网工程建设预算编制与计算规定》（20</w:t>
      </w:r>
      <w:r>
        <w:rPr>
          <w:rFonts w:hint="eastAsia" w:ascii="宋体" w:hAnsi="宋体"/>
          <w:b w:val="0"/>
          <w:bCs/>
          <w:color w:val="auto"/>
          <w:sz w:val="21"/>
          <w:szCs w:val="21"/>
          <w:highlight w:val="none"/>
          <w:u w:val="single"/>
          <w:lang w:val="en-US" w:eastAsia="zh-CN"/>
        </w:rPr>
        <w:t>22</w:t>
      </w:r>
      <w:r>
        <w:rPr>
          <w:rFonts w:hint="eastAsia" w:ascii="宋体" w:hAnsi="宋体"/>
          <w:b w:val="0"/>
          <w:bCs/>
          <w:color w:val="auto"/>
          <w:sz w:val="21"/>
          <w:szCs w:val="21"/>
          <w:highlight w:val="none"/>
          <w:u w:val="single"/>
        </w:rPr>
        <w:t>年版）；定额执行《20kV及以下配电网工程预算定额》（20</w:t>
      </w:r>
      <w:r>
        <w:rPr>
          <w:rFonts w:hint="eastAsia" w:ascii="宋体" w:hAnsi="宋体"/>
          <w:b w:val="0"/>
          <w:bCs/>
          <w:color w:val="auto"/>
          <w:sz w:val="21"/>
          <w:szCs w:val="21"/>
          <w:highlight w:val="none"/>
          <w:u w:val="single"/>
          <w:lang w:val="en-US" w:eastAsia="zh-CN"/>
        </w:rPr>
        <w:t>22</w:t>
      </w:r>
      <w:r>
        <w:rPr>
          <w:rFonts w:hint="eastAsia" w:ascii="宋体" w:hAnsi="宋体"/>
          <w:b w:val="0"/>
          <w:bCs/>
          <w:color w:val="auto"/>
          <w:sz w:val="21"/>
          <w:szCs w:val="21"/>
          <w:highlight w:val="none"/>
          <w:u w:val="single"/>
        </w:rPr>
        <w:t>年版），人工材料机械价差调整按广州市建设工程造价管理站发布的该项工作开工日期当月调差文件计取价差。中标下浮率（%）＝[1－(投标报价-安全文明施工费-暂估价）/（最高投标限价-安全文明施工费-暂估价)] ×100%。无可套取定额的或涉及赔偿，按相关收费文件或合同计算。待工程整体完工后由第三方造价审核机构审核，与主合同一并结算。</w:t>
      </w:r>
    </w:p>
    <w:p>
      <w:pPr>
        <w:pStyle w:val="5"/>
        <w:keepNext w:val="0"/>
        <w:keepLines w:val="0"/>
        <w:pageBreakBefore w:val="0"/>
        <w:widowControl w:val="0"/>
        <w:kinsoku/>
        <w:wordWrap/>
        <w:overflowPunct/>
        <w:topLinePunct w:val="0"/>
        <w:bidi w:val="0"/>
        <w:snapToGrid/>
        <w:spacing w:after="0" w:line="360" w:lineRule="auto"/>
        <w:ind w:left="0" w:leftChars="0" w:firstLine="420" w:firstLineChars="200"/>
        <w:textAlignment w:val="auto"/>
        <w:rPr>
          <w:rFonts w:hint="eastAsia" w:ascii="宋体" w:hAnsi="宋体" w:eastAsia="宋体"/>
          <w:b w:val="0"/>
          <w:bCs/>
          <w:color w:val="auto"/>
          <w:sz w:val="21"/>
          <w:szCs w:val="21"/>
          <w:highlight w:val="none"/>
          <w:u w:val="single"/>
          <w:lang w:val="en-US" w:eastAsia="zh-CN"/>
        </w:rPr>
      </w:pPr>
      <w:r>
        <w:rPr>
          <w:rFonts w:hint="eastAsia" w:ascii="宋体" w:hAnsi="宋体"/>
          <w:b w:val="0"/>
          <w:bCs/>
          <w:color w:val="auto"/>
          <w:sz w:val="21"/>
          <w:szCs w:val="21"/>
          <w:highlight w:val="none"/>
          <w:u w:val="single"/>
        </w:rPr>
        <w:t>（</w:t>
      </w:r>
      <w:r>
        <w:rPr>
          <w:rFonts w:hint="eastAsia" w:ascii="宋体" w:hAnsi="宋体"/>
          <w:b w:val="0"/>
          <w:bCs/>
          <w:color w:val="auto"/>
          <w:sz w:val="21"/>
          <w:szCs w:val="21"/>
          <w:highlight w:val="none"/>
          <w:u w:val="single"/>
          <w:lang w:val="en-US" w:eastAsia="zh-CN"/>
        </w:rPr>
        <w:t>6</w:t>
      </w:r>
      <w:r>
        <w:rPr>
          <w:rFonts w:hint="eastAsia" w:ascii="宋体" w:hAnsi="宋体"/>
          <w:b w:val="0"/>
          <w:bCs/>
          <w:color w:val="auto"/>
          <w:sz w:val="21"/>
          <w:szCs w:val="21"/>
          <w:highlight w:val="none"/>
          <w:u w:val="single"/>
        </w:rPr>
        <w:t>）</w:t>
      </w:r>
      <w:r>
        <w:rPr>
          <w:rFonts w:hint="eastAsia" w:ascii="宋体" w:hAnsi="宋体"/>
          <w:b w:val="0"/>
          <w:bCs/>
          <w:color w:val="auto"/>
          <w:sz w:val="21"/>
          <w:szCs w:val="21"/>
          <w:highlight w:val="none"/>
          <w:u w:val="single"/>
          <w:lang w:val="en-US" w:eastAsia="zh-CN"/>
        </w:rPr>
        <w:t>专业通信</w:t>
      </w:r>
      <w:r>
        <w:rPr>
          <w:rFonts w:hint="eastAsia" w:ascii="宋体" w:hAnsi="宋体"/>
          <w:b w:val="0"/>
          <w:bCs/>
          <w:color w:val="auto"/>
          <w:sz w:val="21"/>
          <w:szCs w:val="21"/>
          <w:highlight w:val="none"/>
          <w:u w:val="single"/>
        </w:rPr>
        <w:t>工程</w:t>
      </w:r>
      <w:r>
        <w:rPr>
          <w:rFonts w:hint="eastAsia" w:ascii="宋体" w:hAnsi="宋体"/>
          <w:b w:val="0"/>
          <w:bCs/>
          <w:color w:val="auto"/>
          <w:sz w:val="21"/>
          <w:szCs w:val="21"/>
          <w:highlight w:val="none"/>
          <w:u w:val="single"/>
          <w:lang w:val="en-US" w:eastAsia="zh-CN"/>
        </w:rPr>
        <w:t>迁移</w:t>
      </w:r>
    </w:p>
    <w:p>
      <w:pPr>
        <w:pStyle w:val="6"/>
        <w:keepNext w:val="0"/>
        <w:keepLines w:val="0"/>
        <w:pageBreakBefore w:val="0"/>
        <w:widowControl w:val="0"/>
        <w:kinsoku/>
        <w:wordWrap/>
        <w:overflowPunct/>
        <w:topLinePunct w:val="0"/>
        <w:bidi w:val="0"/>
        <w:snapToGrid/>
        <w:spacing w:line="360" w:lineRule="auto"/>
        <w:ind w:firstLine="420" w:firstLineChars="200"/>
        <w:textAlignment w:val="auto"/>
        <w:rPr>
          <w:rFonts w:hint="eastAsia" w:hAnsi="宋体"/>
          <w:b w:val="0"/>
          <w:bCs/>
          <w:color w:val="auto"/>
          <w:sz w:val="21"/>
          <w:szCs w:val="21"/>
          <w:highlight w:val="none"/>
          <w:u w:val="single"/>
        </w:rPr>
      </w:pPr>
      <w:r>
        <w:rPr>
          <w:rFonts w:ascii="宋体" w:hAnsi="宋体" w:eastAsia="宋体" w:cs="宋体"/>
          <w:b w:val="0"/>
          <w:bCs/>
          <w:color w:val="auto"/>
          <w:sz w:val="21"/>
          <w:szCs w:val="21"/>
          <w:highlight w:val="none"/>
          <w:u w:val="single"/>
        </w:rPr>
        <w:t>按实际工程量并计取中标下浮率进行结算。费用标准参照《信息通信建设工程预算定额（2017）》及其计价程序，人工材料机械价差调整按广州市建设工程造价管理站发布的该项工作开工日期当月调差文件计取价差，若涉及其他行业定额的按其行业定额及其计价程序；中标下浮率（%）＝[1－(投标报价-安全文明施工费-暂估价）/（最高投标限价-安全文明施工费-暂估价)] ×100%。无可套取定额的，按相关收费文件或合同计算。待工程整体完工后由第三方造价审核机构审核，与主合同一并结算。</w:t>
      </w:r>
    </w:p>
    <w:p>
      <w:pPr>
        <w:pStyle w:val="5"/>
        <w:keepNext w:val="0"/>
        <w:keepLines w:val="0"/>
        <w:pageBreakBefore w:val="0"/>
        <w:widowControl w:val="0"/>
        <w:kinsoku/>
        <w:wordWrap/>
        <w:overflowPunct/>
        <w:topLinePunct w:val="0"/>
        <w:bidi w:val="0"/>
        <w:snapToGrid/>
        <w:spacing w:after="0" w:line="360" w:lineRule="auto"/>
        <w:ind w:left="0" w:leftChars="0" w:firstLine="420" w:firstLineChars="200"/>
        <w:textAlignment w:val="auto"/>
        <w:rPr>
          <w:rFonts w:hint="eastAsia" w:ascii="宋体" w:hAnsi="宋体"/>
          <w:b w:val="0"/>
          <w:bCs/>
          <w:color w:val="auto"/>
          <w:sz w:val="21"/>
          <w:szCs w:val="21"/>
          <w:highlight w:val="none"/>
          <w:u w:val="single"/>
        </w:rPr>
      </w:pPr>
      <w:r>
        <w:rPr>
          <w:rFonts w:hint="eastAsia" w:ascii="宋体" w:hAnsi="宋体"/>
          <w:b w:val="0"/>
          <w:bCs/>
          <w:color w:val="auto"/>
          <w:sz w:val="21"/>
          <w:szCs w:val="21"/>
          <w:highlight w:val="none"/>
          <w:u w:val="single"/>
        </w:rPr>
        <w:t>（</w:t>
      </w:r>
      <w:r>
        <w:rPr>
          <w:rFonts w:hint="eastAsia" w:ascii="宋体" w:hAnsi="宋体"/>
          <w:b w:val="0"/>
          <w:bCs/>
          <w:color w:val="auto"/>
          <w:sz w:val="21"/>
          <w:szCs w:val="21"/>
          <w:highlight w:val="none"/>
          <w:u w:val="single"/>
          <w:lang w:val="en-US" w:eastAsia="zh-CN"/>
        </w:rPr>
        <w:t>7</w:t>
      </w:r>
      <w:r>
        <w:rPr>
          <w:rFonts w:hint="eastAsia" w:ascii="宋体" w:hAnsi="宋体"/>
          <w:b w:val="0"/>
          <w:bCs/>
          <w:color w:val="auto"/>
          <w:sz w:val="21"/>
          <w:szCs w:val="21"/>
          <w:highlight w:val="none"/>
          <w:u w:val="single"/>
        </w:rPr>
        <w:t>）</w:t>
      </w:r>
      <w:r>
        <w:rPr>
          <w:rFonts w:hint="eastAsia" w:ascii="宋体" w:hAnsi="宋体"/>
          <w:b w:val="0"/>
          <w:bCs/>
          <w:color w:val="auto"/>
          <w:sz w:val="21"/>
          <w:szCs w:val="21"/>
          <w:highlight w:val="none"/>
          <w:u w:val="single"/>
          <w:lang w:val="en-US" w:eastAsia="zh-CN"/>
        </w:rPr>
        <w:t>光伏</w:t>
      </w:r>
      <w:r>
        <w:rPr>
          <w:rFonts w:hint="eastAsia" w:ascii="宋体" w:hAnsi="宋体"/>
          <w:b w:val="0"/>
          <w:bCs/>
          <w:color w:val="auto"/>
          <w:sz w:val="21"/>
          <w:szCs w:val="21"/>
          <w:highlight w:val="none"/>
          <w:u w:val="single"/>
        </w:rPr>
        <w:t>工程</w:t>
      </w:r>
    </w:p>
    <w:p>
      <w:pPr>
        <w:pStyle w:val="6"/>
        <w:keepNext w:val="0"/>
        <w:keepLines w:val="0"/>
        <w:pageBreakBefore w:val="0"/>
        <w:widowControl w:val="0"/>
        <w:kinsoku/>
        <w:wordWrap/>
        <w:overflowPunct/>
        <w:topLinePunct w:val="0"/>
        <w:bidi w:val="0"/>
        <w:snapToGrid/>
        <w:spacing w:line="360" w:lineRule="auto"/>
        <w:ind w:firstLine="420" w:firstLineChars="200"/>
        <w:textAlignment w:val="auto"/>
        <w:rPr>
          <w:rFonts w:hint="eastAsia" w:hAnsi="宋体"/>
          <w:b w:val="0"/>
          <w:bCs/>
          <w:color w:val="auto"/>
          <w:sz w:val="21"/>
          <w:szCs w:val="21"/>
          <w:highlight w:val="none"/>
          <w:u w:val="single"/>
        </w:rPr>
      </w:pPr>
      <w:r>
        <w:rPr>
          <w:rFonts w:hint="eastAsia" w:hAnsi="宋体"/>
          <w:b w:val="0"/>
          <w:bCs/>
          <w:color w:val="auto"/>
          <w:sz w:val="21"/>
          <w:szCs w:val="21"/>
          <w:highlight w:val="none"/>
          <w:u w:val="single"/>
        </w:rPr>
        <w:t>按实际工程量并计取中标下浮率进行结算。</w:t>
      </w:r>
      <w:r>
        <w:rPr>
          <w:rFonts w:ascii="宋体" w:hAnsi="宋体" w:eastAsia="宋体" w:cs="宋体"/>
          <w:b w:val="0"/>
          <w:bCs/>
          <w:color w:val="auto"/>
          <w:sz w:val="21"/>
          <w:szCs w:val="21"/>
          <w:highlight w:val="none"/>
          <w:u w:val="single"/>
        </w:rPr>
        <w:t>费用标准参照《光伏发电工程概算定额（NB/T 32035-2016）》及其计价程序，若涉及行业定额的按其行业定额及其计价程序；人工材料机械价差调整按广州市建设工程造价管理站发布的该项工作开工日期当月调差文件计取价差；中标下浮率（%）＝[1－(投标报价-安全文明施工费-暂估价）/（最高投标限价-安全文明施工费-暂估价)] ×100%。无可套取定额的，按相关收费文件或合同计算。待工程整体完工后由第三方造价审核机构审核，与主合同一并结算。</w:t>
      </w:r>
    </w:p>
    <w:p>
      <w:pPr>
        <w:pStyle w:val="5"/>
        <w:keepNext w:val="0"/>
        <w:keepLines w:val="0"/>
        <w:pageBreakBefore w:val="0"/>
        <w:widowControl w:val="0"/>
        <w:kinsoku/>
        <w:wordWrap/>
        <w:overflowPunct/>
        <w:topLinePunct w:val="0"/>
        <w:bidi w:val="0"/>
        <w:snapToGrid/>
        <w:spacing w:after="0" w:line="360" w:lineRule="auto"/>
        <w:ind w:left="0" w:leftChars="0" w:firstLine="420" w:firstLineChars="200"/>
        <w:textAlignment w:val="auto"/>
        <w:rPr>
          <w:rFonts w:hint="eastAsia" w:ascii="宋体" w:hAnsi="宋体"/>
          <w:b w:val="0"/>
          <w:bCs/>
          <w:color w:val="auto"/>
          <w:sz w:val="21"/>
          <w:szCs w:val="21"/>
          <w:highlight w:val="none"/>
          <w:u w:val="single"/>
        </w:rPr>
      </w:pPr>
      <w:r>
        <w:rPr>
          <w:rFonts w:hint="eastAsia" w:ascii="宋体" w:hAnsi="宋体"/>
          <w:b w:val="0"/>
          <w:bCs/>
          <w:color w:val="auto"/>
          <w:sz w:val="21"/>
          <w:szCs w:val="21"/>
          <w:highlight w:val="none"/>
          <w:u w:val="single"/>
        </w:rPr>
        <w:t>（</w:t>
      </w:r>
      <w:r>
        <w:rPr>
          <w:rFonts w:hint="eastAsia" w:ascii="宋体" w:hAnsi="宋体"/>
          <w:b w:val="0"/>
          <w:bCs/>
          <w:color w:val="auto"/>
          <w:sz w:val="21"/>
          <w:szCs w:val="21"/>
          <w:highlight w:val="none"/>
          <w:u w:val="single"/>
          <w:lang w:val="en-US" w:eastAsia="zh-CN"/>
        </w:rPr>
        <w:t>8</w:t>
      </w:r>
      <w:r>
        <w:rPr>
          <w:rFonts w:hint="eastAsia" w:ascii="宋体" w:hAnsi="宋体"/>
          <w:b w:val="0"/>
          <w:bCs/>
          <w:color w:val="auto"/>
          <w:sz w:val="21"/>
          <w:szCs w:val="21"/>
          <w:highlight w:val="none"/>
          <w:u w:val="single"/>
        </w:rPr>
        <w:t>）绿化迁移及恢复</w:t>
      </w:r>
    </w:p>
    <w:p>
      <w:pPr>
        <w:pStyle w:val="6"/>
        <w:keepNext w:val="0"/>
        <w:keepLines w:val="0"/>
        <w:pageBreakBefore w:val="0"/>
        <w:widowControl w:val="0"/>
        <w:kinsoku/>
        <w:wordWrap/>
        <w:overflowPunct/>
        <w:topLinePunct w:val="0"/>
        <w:bidi w:val="0"/>
        <w:snapToGrid/>
        <w:spacing w:line="360" w:lineRule="auto"/>
        <w:ind w:firstLine="420" w:firstLineChars="200"/>
        <w:textAlignment w:val="auto"/>
        <w:rPr>
          <w:rFonts w:hint="eastAsia" w:hAnsi="宋体"/>
          <w:b w:val="0"/>
          <w:bCs/>
          <w:color w:val="auto"/>
          <w:sz w:val="21"/>
          <w:szCs w:val="21"/>
          <w:highlight w:val="none"/>
          <w:u w:val="single"/>
        </w:rPr>
      </w:pPr>
      <w:r>
        <w:rPr>
          <w:rFonts w:hint="eastAsia" w:hAnsi="宋体"/>
          <w:b w:val="0"/>
          <w:bCs/>
          <w:color w:val="auto"/>
          <w:sz w:val="21"/>
          <w:szCs w:val="21"/>
          <w:highlight w:val="none"/>
          <w:u w:val="single"/>
        </w:rPr>
        <w:t>按实际工程量并计取中标下浮率进行结算。费用标准参照《广东省园林绿化工程综合定额（2018）》《广东省市政工程综合定额（2018）》《广东省房屋建筑与装饰工程综合定额（2018）》《广东省通用安装工程综合定额（2018）》及其计价程序，人工材料机械价差调整按广州市建设工程造价管理站发布的该项工作开工日期当月调差文件计取价差，若涉及行业定额的按其行业定额及其计价程序；中标下浮率（%）＝[1－(投标报价-安全文明施工费-暂估价）/（最高投标限价-安全文明施工费-暂估价)] ×100%。无可套取定额的，按相关收费文件或合同计算。待工程整体完工后由第三方造价审核机构审核，与主合同一并结算。</w:t>
      </w:r>
    </w:p>
    <w:p>
      <w:pPr>
        <w:pStyle w:val="5"/>
        <w:keepNext w:val="0"/>
        <w:keepLines w:val="0"/>
        <w:pageBreakBefore w:val="0"/>
        <w:widowControl w:val="0"/>
        <w:kinsoku/>
        <w:wordWrap/>
        <w:overflowPunct/>
        <w:topLinePunct w:val="0"/>
        <w:bidi w:val="0"/>
        <w:snapToGrid/>
        <w:spacing w:after="0" w:line="360" w:lineRule="auto"/>
        <w:ind w:left="0" w:leftChars="0" w:firstLine="420" w:firstLineChars="200"/>
        <w:textAlignment w:val="auto"/>
        <w:rPr>
          <w:rFonts w:hint="eastAsia" w:ascii="宋体" w:hAnsi="宋体"/>
          <w:b w:val="0"/>
          <w:bCs/>
          <w:color w:val="auto"/>
          <w:sz w:val="21"/>
          <w:szCs w:val="21"/>
          <w:highlight w:val="none"/>
          <w:u w:val="single"/>
        </w:rPr>
      </w:pPr>
      <w:r>
        <w:rPr>
          <w:rFonts w:hint="eastAsia" w:ascii="宋体" w:hAnsi="宋体"/>
          <w:b w:val="0"/>
          <w:bCs/>
          <w:color w:val="auto"/>
          <w:sz w:val="21"/>
          <w:szCs w:val="21"/>
          <w:highlight w:val="none"/>
          <w:u w:val="single"/>
        </w:rPr>
        <w:t>（</w:t>
      </w:r>
      <w:r>
        <w:rPr>
          <w:rFonts w:hint="eastAsia" w:ascii="宋体" w:hAnsi="宋体"/>
          <w:b w:val="0"/>
          <w:bCs/>
          <w:color w:val="auto"/>
          <w:sz w:val="21"/>
          <w:szCs w:val="21"/>
          <w:highlight w:val="none"/>
          <w:u w:val="single"/>
          <w:lang w:val="en-US" w:eastAsia="zh-CN"/>
        </w:rPr>
        <w:t>9</w:t>
      </w:r>
      <w:r>
        <w:rPr>
          <w:rFonts w:hint="eastAsia" w:ascii="宋体" w:hAnsi="宋体"/>
          <w:b w:val="0"/>
          <w:bCs/>
          <w:color w:val="auto"/>
          <w:sz w:val="21"/>
          <w:szCs w:val="21"/>
          <w:highlight w:val="none"/>
          <w:u w:val="single"/>
        </w:rPr>
        <w:t>）复耕复垦</w:t>
      </w:r>
    </w:p>
    <w:p>
      <w:pPr>
        <w:pStyle w:val="6"/>
        <w:keepNext w:val="0"/>
        <w:keepLines w:val="0"/>
        <w:pageBreakBefore w:val="0"/>
        <w:widowControl w:val="0"/>
        <w:kinsoku/>
        <w:wordWrap/>
        <w:overflowPunct/>
        <w:topLinePunct w:val="0"/>
        <w:bidi w:val="0"/>
        <w:snapToGrid/>
        <w:spacing w:line="360" w:lineRule="auto"/>
        <w:ind w:firstLine="420" w:firstLineChars="200"/>
        <w:textAlignment w:val="auto"/>
        <w:rPr>
          <w:rFonts w:hint="eastAsia" w:hAnsi="宋体"/>
          <w:b w:val="0"/>
          <w:bCs/>
          <w:color w:val="auto"/>
          <w:sz w:val="21"/>
          <w:szCs w:val="21"/>
          <w:highlight w:val="none"/>
          <w:u w:val="single"/>
        </w:rPr>
      </w:pPr>
      <w:r>
        <w:rPr>
          <w:rFonts w:hint="eastAsia" w:hAnsi="宋体"/>
          <w:b w:val="0"/>
          <w:bCs/>
          <w:color w:val="auto"/>
          <w:sz w:val="21"/>
          <w:szCs w:val="21"/>
          <w:highlight w:val="none"/>
          <w:u w:val="single"/>
        </w:rPr>
        <w:t>按实际工程量并计取中标下浮率进行结算。费用标准参照《广东省园林绿化综合定额（2018）》《广东省市政工程综合定额（2018）》《广东省房屋建筑与装饰工程综合定额（2018）》及其计价程序，人工材料机械价差调整按广州市建设工程造价管理站发布的该项工作开工日期当月调差文件计取价差，若涉及行业定额的按其行业定额及其计价程序；中标下浮率（%）＝[1－(投标报价-安全文明施工费-暂估价）/（最高投标限价-安全文明施工费-暂估价)] ×100%。无可套取定额的，按相关收费文件或合同计算。待工程整体完工后由第三方造价审核机构审核，与主合同一并结算。</w:t>
      </w:r>
    </w:p>
    <w:p>
      <w:pPr>
        <w:pStyle w:val="5"/>
        <w:keepNext w:val="0"/>
        <w:keepLines w:val="0"/>
        <w:pageBreakBefore w:val="0"/>
        <w:widowControl w:val="0"/>
        <w:kinsoku/>
        <w:wordWrap/>
        <w:overflowPunct/>
        <w:topLinePunct w:val="0"/>
        <w:bidi w:val="0"/>
        <w:snapToGrid/>
        <w:spacing w:after="0" w:line="360" w:lineRule="auto"/>
        <w:ind w:left="0" w:leftChars="0" w:firstLine="420" w:firstLineChars="200"/>
        <w:textAlignment w:val="auto"/>
        <w:rPr>
          <w:rFonts w:hint="eastAsia" w:ascii="宋体" w:hAnsi="宋体"/>
          <w:b w:val="0"/>
          <w:bCs/>
          <w:color w:val="auto"/>
          <w:sz w:val="21"/>
          <w:szCs w:val="21"/>
          <w:highlight w:val="none"/>
          <w:u w:val="single"/>
        </w:rPr>
      </w:pPr>
      <w:r>
        <w:rPr>
          <w:rFonts w:hint="eastAsia" w:ascii="宋体" w:hAnsi="宋体"/>
          <w:b w:val="0"/>
          <w:bCs/>
          <w:color w:val="auto"/>
          <w:sz w:val="21"/>
          <w:szCs w:val="21"/>
          <w:highlight w:val="none"/>
          <w:u w:val="single"/>
        </w:rPr>
        <w:t>（</w:t>
      </w:r>
      <w:r>
        <w:rPr>
          <w:rFonts w:hint="eastAsia" w:ascii="宋体" w:hAnsi="宋体"/>
          <w:b w:val="0"/>
          <w:bCs/>
          <w:color w:val="auto"/>
          <w:sz w:val="21"/>
          <w:szCs w:val="21"/>
          <w:highlight w:val="none"/>
          <w:u w:val="single"/>
          <w:lang w:val="en-US" w:eastAsia="zh-CN"/>
        </w:rPr>
        <w:t>10</w:t>
      </w:r>
      <w:r>
        <w:rPr>
          <w:rFonts w:hint="eastAsia" w:ascii="宋体" w:hAnsi="宋体"/>
          <w:b w:val="0"/>
          <w:bCs/>
          <w:color w:val="auto"/>
          <w:sz w:val="21"/>
          <w:szCs w:val="21"/>
          <w:highlight w:val="none"/>
          <w:u w:val="single"/>
        </w:rPr>
        <w:t>）快速路交通管制</w:t>
      </w:r>
    </w:p>
    <w:p>
      <w:pPr>
        <w:pStyle w:val="6"/>
        <w:keepNext w:val="0"/>
        <w:keepLines w:val="0"/>
        <w:pageBreakBefore w:val="0"/>
        <w:widowControl w:val="0"/>
        <w:kinsoku/>
        <w:wordWrap/>
        <w:overflowPunct/>
        <w:topLinePunct w:val="0"/>
        <w:bidi w:val="0"/>
        <w:snapToGrid/>
        <w:spacing w:line="360" w:lineRule="auto"/>
        <w:ind w:firstLine="420" w:firstLineChars="200"/>
        <w:textAlignment w:val="auto"/>
        <w:rPr>
          <w:rFonts w:hint="eastAsia" w:hAnsi="宋体"/>
          <w:b w:val="0"/>
          <w:bCs/>
          <w:color w:val="auto"/>
          <w:sz w:val="21"/>
          <w:szCs w:val="21"/>
          <w:highlight w:val="none"/>
          <w:u w:val="single"/>
        </w:rPr>
      </w:pPr>
      <w:r>
        <w:rPr>
          <w:rFonts w:hint="eastAsia" w:hAnsi="宋体"/>
          <w:b w:val="0"/>
          <w:bCs/>
          <w:color w:val="auto"/>
          <w:sz w:val="21"/>
          <w:szCs w:val="21"/>
          <w:highlight w:val="none"/>
          <w:u w:val="single"/>
        </w:rPr>
        <w:t>结算时按实相关收费文件或合同计算；若承包人既无法定的承包资格又无法定的分包权的，由招标人另行发包；若以上规则均不适用，中标后双方协商约定。</w:t>
      </w:r>
    </w:p>
    <w:p>
      <w:pPr>
        <w:pStyle w:val="5"/>
        <w:keepNext w:val="0"/>
        <w:keepLines w:val="0"/>
        <w:pageBreakBefore w:val="0"/>
        <w:widowControl w:val="0"/>
        <w:kinsoku/>
        <w:wordWrap/>
        <w:overflowPunct/>
        <w:topLinePunct w:val="0"/>
        <w:bidi w:val="0"/>
        <w:snapToGrid/>
        <w:spacing w:after="0" w:line="360" w:lineRule="auto"/>
        <w:ind w:left="0" w:leftChars="0" w:firstLine="420" w:firstLineChars="200"/>
        <w:textAlignment w:val="auto"/>
        <w:rPr>
          <w:rFonts w:hint="eastAsia" w:ascii="宋体" w:hAnsi="宋体"/>
          <w:b w:val="0"/>
          <w:bCs/>
          <w:color w:val="auto"/>
          <w:sz w:val="21"/>
          <w:szCs w:val="21"/>
          <w:highlight w:val="none"/>
          <w:u w:val="single"/>
        </w:rPr>
      </w:pPr>
      <w:r>
        <w:rPr>
          <w:rFonts w:hint="eastAsia" w:ascii="宋体" w:hAnsi="宋体"/>
          <w:b w:val="0"/>
          <w:bCs/>
          <w:color w:val="auto"/>
          <w:sz w:val="21"/>
          <w:szCs w:val="21"/>
          <w:highlight w:val="none"/>
          <w:u w:val="single"/>
        </w:rPr>
        <w:t>（1</w:t>
      </w:r>
      <w:r>
        <w:rPr>
          <w:rFonts w:hint="eastAsia" w:ascii="宋体" w:hAnsi="宋体"/>
          <w:b w:val="0"/>
          <w:bCs/>
          <w:color w:val="auto"/>
          <w:sz w:val="21"/>
          <w:szCs w:val="21"/>
          <w:highlight w:val="none"/>
          <w:u w:val="single"/>
          <w:lang w:val="en-US" w:eastAsia="zh-CN"/>
        </w:rPr>
        <w:t>1</w:t>
      </w:r>
      <w:r>
        <w:rPr>
          <w:rFonts w:hint="eastAsia" w:ascii="宋体" w:hAnsi="宋体"/>
          <w:b w:val="0"/>
          <w:bCs/>
          <w:color w:val="auto"/>
          <w:sz w:val="21"/>
          <w:szCs w:val="21"/>
          <w:highlight w:val="none"/>
          <w:u w:val="single"/>
        </w:rPr>
        <w:t>） 铁路红线用地占用费、铁路临时用地费、铁路相关部门施工配合费、铁路运输补偿费、铁路栏栅开口费、穿铁路施工行车干扰增加费、铁路消防报建费</w:t>
      </w:r>
    </w:p>
    <w:p>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rPr>
          <w:rFonts w:hint="eastAsia" w:ascii="宋体" w:hAnsi="宋体" w:cs="宋体"/>
          <w:b w:val="0"/>
          <w:bCs/>
          <w:color w:val="auto"/>
          <w:kern w:val="0"/>
          <w:sz w:val="21"/>
          <w:szCs w:val="21"/>
          <w:highlight w:val="none"/>
          <w:u w:val="single"/>
        </w:rPr>
      </w:pPr>
      <w:r>
        <w:rPr>
          <w:rFonts w:hint="eastAsia" w:ascii="宋体" w:hAnsi="宋体" w:cs="宋体"/>
          <w:b w:val="0"/>
          <w:bCs/>
          <w:color w:val="auto"/>
          <w:kern w:val="0"/>
          <w:sz w:val="21"/>
          <w:szCs w:val="21"/>
          <w:highlight w:val="none"/>
          <w:u w:val="single"/>
        </w:rPr>
        <w:t>以上各项如实际发生，结算时以铁路部门开具的发票（需含由铁路部门确认的收费内容明细），或实施期间铁路部门有效收费标准文件作为依据按实结算。如收费标准需要按工期计价的，需要由铁路部门确认，或监理单位及建设单位共同签证。在该工程涉及的跨越配合实施前，若铁路部门调整了费用收取模式，则以最新的收费标准对合同范围、费用等进行相应调整。</w:t>
      </w:r>
    </w:p>
    <w:p>
      <w:pPr>
        <w:pStyle w:val="5"/>
        <w:keepNext w:val="0"/>
        <w:keepLines w:val="0"/>
        <w:pageBreakBefore w:val="0"/>
        <w:widowControl w:val="0"/>
        <w:kinsoku/>
        <w:wordWrap/>
        <w:overflowPunct/>
        <w:topLinePunct w:val="0"/>
        <w:bidi w:val="0"/>
        <w:snapToGrid/>
        <w:spacing w:after="0" w:line="360" w:lineRule="auto"/>
        <w:ind w:left="0" w:leftChars="0" w:firstLine="420" w:firstLineChars="200"/>
        <w:textAlignment w:val="auto"/>
        <w:rPr>
          <w:rFonts w:hint="eastAsia" w:ascii="宋体" w:hAnsi="宋体"/>
          <w:b w:val="0"/>
          <w:bCs/>
          <w:color w:val="auto"/>
          <w:sz w:val="21"/>
          <w:szCs w:val="21"/>
          <w:highlight w:val="none"/>
          <w:u w:val="single"/>
        </w:rPr>
      </w:pPr>
      <w:r>
        <w:rPr>
          <w:rFonts w:hint="eastAsia" w:ascii="宋体" w:hAnsi="宋体"/>
          <w:b w:val="0"/>
          <w:bCs/>
          <w:color w:val="auto"/>
          <w:sz w:val="21"/>
          <w:szCs w:val="21"/>
          <w:highlight w:val="none"/>
          <w:u w:val="single"/>
        </w:rPr>
        <w:t>（1</w:t>
      </w:r>
      <w:r>
        <w:rPr>
          <w:rFonts w:hint="eastAsia" w:ascii="宋体" w:hAnsi="宋体"/>
          <w:b w:val="0"/>
          <w:bCs/>
          <w:color w:val="auto"/>
          <w:sz w:val="21"/>
          <w:szCs w:val="21"/>
          <w:highlight w:val="none"/>
          <w:u w:val="single"/>
          <w:lang w:val="en-US" w:eastAsia="zh-CN"/>
        </w:rPr>
        <w:t>2</w:t>
      </w:r>
      <w:r>
        <w:rPr>
          <w:rFonts w:hint="eastAsia" w:ascii="宋体" w:hAnsi="宋体"/>
          <w:b w:val="0"/>
          <w:bCs/>
          <w:color w:val="auto"/>
          <w:sz w:val="21"/>
          <w:szCs w:val="21"/>
          <w:highlight w:val="none"/>
          <w:u w:val="single"/>
        </w:rPr>
        <w:t>）与铁路相关的管线防护、铁路线路加固，受下穿铁路顶管施工影响的地方通信线路迁改、无线基站防护，通信工程、信号工程、电力及接触网工程</w:t>
      </w:r>
    </w:p>
    <w:p>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rPr>
          <w:rFonts w:hint="eastAsia" w:ascii="宋体" w:hAnsi="宋体" w:cs="宋体"/>
          <w:b w:val="0"/>
          <w:bCs/>
          <w:color w:val="auto"/>
          <w:kern w:val="0"/>
          <w:sz w:val="21"/>
          <w:szCs w:val="21"/>
          <w:highlight w:val="none"/>
          <w:u w:val="single"/>
        </w:rPr>
      </w:pPr>
      <w:r>
        <w:rPr>
          <w:rFonts w:hint="eastAsia" w:ascii="宋体" w:hAnsi="宋体" w:cs="宋体"/>
          <w:b w:val="0"/>
          <w:bCs/>
          <w:color w:val="auto"/>
          <w:kern w:val="0"/>
          <w:sz w:val="21"/>
          <w:szCs w:val="21"/>
          <w:highlight w:val="none"/>
          <w:u w:val="single"/>
        </w:rPr>
        <w:t>以上各项如实际发生，结算时按实际工程量，依据《广东省市政工程综合定额（2018）》《广东省房屋建筑与装饰工程综合定额（2018）》《广东省通用安装工程综合定额（2018）》及其计价程序，人工材料机械价差调整按广州市建设工程造价管理站发布的该项工作开工日期当月调差文件计取价差，若以上定额不能满足计价需要，不足部分可参照行业定额及其计价程序计算。无论采用何种定额均需计取中标下浮率进行结算，中标下浮率（%）＝[1－(投标报价-安全文明施工费-暂估价）/（最高投标限价-安全文明施工费-暂估价)] ×100%。</w:t>
      </w:r>
    </w:p>
    <w:p>
      <w:pPr>
        <w:pStyle w:val="5"/>
        <w:keepNext w:val="0"/>
        <w:keepLines w:val="0"/>
        <w:pageBreakBefore w:val="0"/>
        <w:widowControl w:val="0"/>
        <w:kinsoku/>
        <w:wordWrap/>
        <w:overflowPunct/>
        <w:topLinePunct w:val="0"/>
        <w:bidi w:val="0"/>
        <w:snapToGrid/>
        <w:spacing w:after="0" w:line="360" w:lineRule="auto"/>
        <w:ind w:left="0" w:leftChars="0" w:firstLine="420" w:firstLineChars="200"/>
        <w:textAlignment w:val="auto"/>
        <w:rPr>
          <w:rFonts w:hint="eastAsia" w:ascii="宋体" w:hAnsi="宋体"/>
          <w:b w:val="0"/>
          <w:bCs/>
          <w:color w:val="auto"/>
          <w:sz w:val="21"/>
          <w:szCs w:val="21"/>
          <w:highlight w:val="none"/>
          <w:u w:val="single"/>
        </w:rPr>
      </w:pPr>
      <w:r>
        <w:rPr>
          <w:rFonts w:hint="eastAsia" w:ascii="宋体" w:hAnsi="宋体"/>
          <w:b w:val="0"/>
          <w:bCs/>
          <w:color w:val="auto"/>
          <w:sz w:val="21"/>
          <w:szCs w:val="21"/>
          <w:highlight w:val="none"/>
          <w:u w:val="single"/>
        </w:rPr>
        <w:t>（1</w:t>
      </w:r>
      <w:r>
        <w:rPr>
          <w:rFonts w:hint="eastAsia" w:ascii="宋体" w:hAnsi="宋体"/>
          <w:b w:val="0"/>
          <w:bCs/>
          <w:color w:val="auto"/>
          <w:sz w:val="21"/>
          <w:szCs w:val="21"/>
          <w:highlight w:val="none"/>
          <w:u w:val="single"/>
          <w:lang w:val="en-US" w:eastAsia="zh-CN"/>
        </w:rPr>
        <w:t>3</w:t>
      </w:r>
      <w:r>
        <w:rPr>
          <w:rFonts w:hint="eastAsia" w:ascii="宋体" w:hAnsi="宋体"/>
          <w:b w:val="0"/>
          <w:bCs/>
          <w:color w:val="auto"/>
          <w:sz w:val="21"/>
          <w:szCs w:val="21"/>
          <w:highlight w:val="none"/>
          <w:u w:val="single"/>
        </w:rPr>
        <w:t>）其他：交通疏解费用标准参照《广东省市政工程综合定额（2018）》《广东省通用安装工程综合定额（2018）》及其计价程序，交通疏导员按</w:t>
      </w:r>
      <w:r>
        <w:rPr>
          <w:rFonts w:hint="eastAsia" w:ascii="宋体" w:hAnsi="宋体"/>
          <w:b w:val="0"/>
          <w:bCs/>
          <w:color w:val="auto"/>
          <w:sz w:val="21"/>
          <w:szCs w:val="21"/>
          <w:highlight w:val="none"/>
          <w:u w:val="single"/>
          <w:lang w:eastAsia="zh-CN"/>
        </w:rPr>
        <w:t>全费用综合单价</w:t>
      </w:r>
      <w:r>
        <w:rPr>
          <w:rFonts w:hint="eastAsia" w:ascii="宋体" w:hAnsi="宋体"/>
          <w:b w:val="0"/>
          <w:bCs/>
          <w:color w:val="auto"/>
          <w:sz w:val="21"/>
          <w:szCs w:val="21"/>
          <w:highlight w:val="none"/>
          <w:u w:val="single"/>
          <w:lang w:val="en-US" w:eastAsia="zh-CN"/>
        </w:rPr>
        <w:t>300</w:t>
      </w:r>
      <w:r>
        <w:rPr>
          <w:rFonts w:hint="eastAsia" w:ascii="宋体" w:hAnsi="宋体"/>
          <w:b w:val="0"/>
          <w:bCs/>
          <w:color w:val="auto"/>
          <w:sz w:val="21"/>
          <w:szCs w:val="21"/>
          <w:highlight w:val="none"/>
          <w:u w:val="single"/>
        </w:rPr>
        <w:t>元/工日计取，人工材料机械价差调整按广州市建设工程造价管理站发布的该项工作开工日期当月调差文件计取价差，由承包人按实际交通疏解方案计量，并乘以中标下浮率计算，待工程整体完工后由第三方造价审核机构审核，与主合同一并结算。其中：中标下浮率（%）＝[1－(投标报价-安全文明施工费-暂估价）/（最高投标限价-安全文明施工费-暂估价)] ×100%。）。</w:t>
      </w:r>
    </w:p>
    <w:p>
      <w:pPr>
        <w:pStyle w:val="5"/>
        <w:spacing w:after="0"/>
        <w:ind w:left="0" w:leftChars="0" w:firstLine="420" w:firstLineChars="200"/>
        <w:outlineLvl w:val="3"/>
        <w:rPr>
          <w:rFonts w:ascii="宋体" w:hAnsi="宋体"/>
          <w:color w:val="auto"/>
          <w:szCs w:val="21"/>
          <w:highlight w:val="none"/>
        </w:rPr>
      </w:pPr>
      <w:r>
        <w:rPr>
          <w:rFonts w:hint="eastAsia" w:ascii="宋体" w:hAnsi="宋体"/>
          <w:color w:val="auto"/>
          <w:szCs w:val="21"/>
          <w:highlight w:val="none"/>
        </w:rPr>
        <w:t xml:space="preserve">13.8 </w:t>
      </w:r>
      <w:r>
        <w:rPr>
          <w:rFonts w:hint="eastAsia" w:ascii="宋体" w:hAnsi="宋体"/>
          <w:color w:val="auto"/>
          <w:szCs w:val="21"/>
          <w:highlight w:val="none"/>
        </w:rPr>
        <w:tab/>
      </w:r>
      <w:r>
        <w:rPr>
          <w:rFonts w:hint="eastAsia" w:ascii="宋体" w:hAnsi="宋体"/>
          <w:color w:val="auto"/>
          <w:szCs w:val="21"/>
          <w:highlight w:val="none"/>
        </w:rPr>
        <w:t>费用变化引起的调整</w:t>
      </w:r>
    </w:p>
    <w:p>
      <w:pPr>
        <w:pStyle w:val="5"/>
        <w:keepNext w:val="0"/>
        <w:keepLines w:val="0"/>
        <w:pageBreakBefore w:val="0"/>
        <w:kinsoku/>
        <w:wordWrap/>
        <w:overflowPunct/>
        <w:topLinePunct w:val="0"/>
        <w:bidi w:val="0"/>
        <w:spacing w:after="0" w:line="360" w:lineRule="auto"/>
        <w:ind w:left="0" w:leftChars="0" w:firstLine="422" w:firstLineChars="200"/>
        <w:outlineLvl w:val="9"/>
        <w:rPr>
          <w:rFonts w:hint="eastAsia" w:ascii="宋体" w:hAnsi="宋体" w:eastAsia="宋体" w:cs="Times New Roman"/>
          <w:b/>
          <w:bCs/>
          <w:color w:val="auto"/>
          <w:szCs w:val="21"/>
          <w:highlight w:val="none"/>
          <w:shd w:val="clear" w:color="auto" w:fill="auto"/>
        </w:rPr>
      </w:pPr>
      <w:r>
        <w:rPr>
          <w:rFonts w:hint="eastAsia" w:ascii="宋体" w:hAnsi="宋体" w:eastAsia="宋体" w:cs="Times New Roman"/>
          <w:b/>
          <w:bCs/>
          <w:color w:val="auto"/>
          <w:szCs w:val="21"/>
          <w:highlight w:val="none"/>
          <w:shd w:val="clear" w:color="auto" w:fill="auto"/>
          <w:lang w:val="en-US" w:eastAsia="zh-CN"/>
        </w:rPr>
        <w:t>替换</w:t>
      </w:r>
      <w:r>
        <w:rPr>
          <w:rFonts w:hint="eastAsia" w:ascii="宋体" w:hAnsi="宋体" w:eastAsia="宋体" w:cs="Times New Roman"/>
          <w:b/>
          <w:bCs/>
          <w:color w:val="auto"/>
          <w:szCs w:val="21"/>
          <w:highlight w:val="none"/>
          <w:shd w:val="clear" w:color="auto" w:fill="auto"/>
        </w:rPr>
        <w:t>以下内容作为13.</w:t>
      </w:r>
      <w:r>
        <w:rPr>
          <w:rFonts w:hint="eastAsia" w:ascii="宋体" w:hAnsi="宋体" w:eastAsia="宋体" w:cs="Times New Roman"/>
          <w:b/>
          <w:bCs/>
          <w:color w:val="auto"/>
          <w:szCs w:val="21"/>
          <w:highlight w:val="none"/>
          <w:shd w:val="clear" w:color="auto" w:fill="auto"/>
          <w:lang w:val="en-US" w:eastAsia="zh-CN"/>
        </w:rPr>
        <w:t>8“</w:t>
      </w:r>
      <w:r>
        <w:rPr>
          <w:rFonts w:hint="eastAsia" w:ascii="宋体" w:hAnsi="宋体"/>
          <w:b/>
          <w:bCs/>
          <w:color w:val="auto"/>
          <w:szCs w:val="21"/>
          <w:highlight w:val="none"/>
          <w:shd w:val="clear" w:color="auto" w:fill="auto"/>
        </w:rPr>
        <w:t>（</w:t>
      </w:r>
      <w:r>
        <w:rPr>
          <w:rFonts w:hint="eastAsia" w:ascii="宋体" w:hAnsi="宋体"/>
          <w:b/>
          <w:bCs/>
          <w:color w:val="auto"/>
          <w:szCs w:val="21"/>
          <w:highlight w:val="none"/>
          <w:shd w:val="clear" w:color="auto" w:fill="auto"/>
          <w:lang w:val="en-US" w:eastAsia="zh-CN"/>
        </w:rPr>
        <w:t>一</w:t>
      </w:r>
      <w:r>
        <w:rPr>
          <w:rFonts w:ascii="宋体" w:hAnsi="宋体"/>
          <w:b/>
          <w:bCs/>
          <w:color w:val="auto"/>
          <w:szCs w:val="21"/>
          <w:highlight w:val="none"/>
          <w:shd w:val="clear" w:color="auto" w:fill="auto"/>
        </w:rPr>
        <w:t>）</w:t>
      </w:r>
      <w:r>
        <w:rPr>
          <w:rFonts w:hint="eastAsia" w:ascii="宋体" w:hAnsi="宋体"/>
          <w:b/>
          <w:color w:val="auto"/>
          <w:szCs w:val="21"/>
          <w:highlight w:val="none"/>
        </w:rPr>
        <w:t>清单计价模式的约定</w:t>
      </w:r>
      <w:r>
        <w:rPr>
          <w:rFonts w:hint="eastAsia" w:ascii="宋体" w:hAnsi="宋体"/>
          <w:b/>
          <w:bCs/>
          <w:color w:val="auto"/>
          <w:szCs w:val="21"/>
          <w:highlight w:val="none"/>
          <w:shd w:val="clear" w:color="auto" w:fill="auto"/>
        </w:rPr>
        <w:t>：</w:t>
      </w:r>
      <w:r>
        <w:rPr>
          <w:rFonts w:hint="eastAsia" w:ascii="宋体" w:hAnsi="宋体" w:eastAsia="宋体" w:cs="Times New Roman"/>
          <w:b/>
          <w:bCs/>
          <w:color w:val="auto"/>
          <w:szCs w:val="21"/>
          <w:highlight w:val="none"/>
          <w:shd w:val="clear" w:color="auto" w:fill="auto"/>
          <w:lang w:val="en-US" w:eastAsia="zh-CN"/>
        </w:rPr>
        <w:t>”</w:t>
      </w:r>
      <w:r>
        <w:rPr>
          <w:rFonts w:hint="eastAsia" w:ascii="宋体" w:hAnsi="宋体" w:eastAsia="宋体" w:cs="Times New Roman"/>
          <w:b/>
          <w:bCs/>
          <w:color w:val="auto"/>
          <w:szCs w:val="21"/>
          <w:highlight w:val="none"/>
          <w:shd w:val="clear" w:color="auto" w:fill="auto"/>
        </w:rPr>
        <w:t>款：</w:t>
      </w:r>
    </w:p>
    <w:p>
      <w:pPr>
        <w:pStyle w:val="5"/>
        <w:spacing w:after="0"/>
        <w:ind w:left="0" w:leftChars="0" w:firstLine="422" w:firstLineChars="200"/>
        <w:rPr>
          <w:rFonts w:hint="eastAsia" w:ascii="宋体" w:hAnsi="宋体"/>
          <w:b/>
          <w:color w:val="auto"/>
          <w:szCs w:val="21"/>
          <w:highlight w:val="none"/>
        </w:rPr>
      </w:pPr>
      <w:r>
        <w:rPr>
          <w:rFonts w:hint="eastAsia" w:ascii="宋体" w:hAnsi="宋体"/>
          <w:b/>
          <w:color w:val="auto"/>
          <w:szCs w:val="21"/>
          <w:highlight w:val="none"/>
        </w:rPr>
        <w:t>（一</w:t>
      </w:r>
      <w:r>
        <w:rPr>
          <w:rFonts w:ascii="宋体" w:hAnsi="宋体"/>
          <w:b/>
          <w:color w:val="auto"/>
          <w:szCs w:val="21"/>
          <w:highlight w:val="none"/>
        </w:rPr>
        <w:t>）</w:t>
      </w:r>
      <w:r>
        <w:rPr>
          <w:rFonts w:hint="eastAsia" w:ascii="宋体" w:hAnsi="宋体"/>
          <w:b/>
          <w:color w:val="auto"/>
          <w:szCs w:val="21"/>
          <w:highlight w:val="none"/>
        </w:rPr>
        <w:t>清单计价模式的约定：</w:t>
      </w:r>
    </w:p>
    <w:p>
      <w:pPr>
        <w:pStyle w:val="5"/>
        <w:spacing w:after="0" w:line="360" w:lineRule="auto"/>
        <w:ind w:left="0" w:leftChars="0" w:firstLine="420" w:firstLineChars="200"/>
        <w:rPr>
          <w:rFonts w:hint="eastAsia" w:ascii="宋体" w:hAnsi="宋体"/>
          <w:color w:val="auto"/>
          <w:szCs w:val="21"/>
          <w:highlight w:val="none"/>
          <w:shd w:val="clear" w:color="auto" w:fill="auto"/>
        </w:rPr>
      </w:pPr>
      <w:r>
        <w:rPr>
          <w:rFonts w:hint="eastAsia" w:ascii="宋体" w:hAnsi="宋体"/>
          <w:color w:val="auto"/>
          <w:szCs w:val="21"/>
          <w:highlight w:val="none"/>
          <w:shd w:val="clear" w:color="auto" w:fill="auto"/>
        </w:rPr>
        <w:t xml:space="preserve">本合同中，因建设需要取消的单项工程，按中标合同价款中的相应费用减少合同价款；因建设需要，发包人委托承包人开展属于本工程的相关建设内容但在本次承包报价范围以外的建设费用，依据以下估价原则增加合同价款： </w:t>
      </w:r>
    </w:p>
    <w:p>
      <w:pPr>
        <w:pStyle w:val="5"/>
        <w:spacing w:after="0" w:line="360" w:lineRule="auto"/>
        <w:ind w:left="0" w:leftChars="0" w:firstLine="420" w:firstLineChars="200"/>
        <w:rPr>
          <w:rFonts w:hint="eastAsia" w:ascii="宋体" w:hAnsi="宋体"/>
          <w:color w:val="auto"/>
          <w:szCs w:val="21"/>
          <w:highlight w:val="none"/>
          <w:shd w:val="clear" w:color="auto" w:fill="auto"/>
        </w:rPr>
      </w:pPr>
      <w:r>
        <w:rPr>
          <w:rFonts w:hint="eastAsia" w:ascii="宋体" w:hAnsi="宋体"/>
          <w:color w:val="auto"/>
          <w:szCs w:val="21"/>
          <w:highlight w:val="none"/>
          <w:shd w:val="clear" w:color="auto" w:fill="auto"/>
        </w:rPr>
        <w:t>（1）已标价工程量清单或预算书有相同项目的，按照相同项目单价认定；</w:t>
      </w:r>
    </w:p>
    <w:p>
      <w:pPr>
        <w:pStyle w:val="5"/>
        <w:spacing w:after="0" w:line="360" w:lineRule="auto"/>
        <w:ind w:left="0" w:leftChars="0" w:firstLine="420" w:firstLineChars="200"/>
        <w:rPr>
          <w:rFonts w:hint="eastAsia" w:ascii="宋体" w:hAnsi="宋体"/>
          <w:color w:val="auto"/>
          <w:szCs w:val="21"/>
          <w:highlight w:val="none"/>
          <w:shd w:val="clear" w:color="auto" w:fill="auto"/>
        </w:rPr>
      </w:pPr>
      <w:r>
        <w:rPr>
          <w:rFonts w:hint="eastAsia" w:ascii="宋体" w:hAnsi="宋体"/>
          <w:color w:val="auto"/>
          <w:szCs w:val="21"/>
          <w:highlight w:val="none"/>
          <w:shd w:val="clear" w:color="auto" w:fill="auto"/>
        </w:rPr>
        <w:t>（2）已标价工程量清单或预算书中无相同项目，但有类似项目的，参照类似项目的单价认定；</w:t>
      </w:r>
    </w:p>
    <w:p>
      <w:pPr>
        <w:pStyle w:val="5"/>
        <w:spacing w:after="0" w:line="360" w:lineRule="auto"/>
        <w:ind w:left="0" w:leftChars="0" w:firstLine="420" w:firstLineChars="200"/>
        <w:rPr>
          <w:rFonts w:hint="eastAsia" w:ascii="宋体" w:hAnsi="宋体"/>
          <w:color w:val="auto"/>
          <w:szCs w:val="21"/>
          <w:highlight w:val="none"/>
          <w:shd w:val="clear" w:color="auto" w:fill="auto"/>
        </w:rPr>
      </w:pPr>
      <w:r>
        <w:rPr>
          <w:rFonts w:hint="eastAsia" w:ascii="宋体" w:hAnsi="宋体"/>
          <w:color w:val="auto"/>
          <w:szCs w:val="21"/>
          <w:highlight w:val="none"/>
          <w:shd w:val="clear" w:color="auto" w:fill="auto"/>
        </w:rPr>
        <w:t>（3）变更导致实际完成的变更工程量与已标价工程量清单或预算书中列明的该项目工程量的变化幅度超过15%的，或已标价工程量清单或预算书中无相同项目及类似项目单价的，按照合理的成本与利润构成的原则，由合同当事人按照第13.8.1条〔决定〕确定变更工作的单价。</w:t>
      </w:r>
    </w:p>
    <w:p>
      <w:pPr>
        <w:pStyle w:val="5"/>
        <w:shd w:val="clear" w:color="auto" w:fill="auto"/>
        <w:spacing w:after="0" w:line="360" w:lineRule="auto"/>
        <w:ind w:left="0" w:leftChars="0" w:firstLine="420" w:firstLineChars="200"/>
        <w:rPr>
          <w:rFonts w:hint="eastAsia" w:ascii="宋体" w:hAnsi="宋体" w:eastAsia="宋体"/>
          <w:color w:val="auto"/>
          <w:szCs w:val="21"/>
          <w:highlight w:val="none"/>
          <w:shd w:val="clear" w:color="auto" w:fill="auto"/>
        </w:rPr>
      </w:pPr>
      <w:r>
        <w:rPr>
          <w:rFonts w:hint="eastAsia" w:ascii="宋体" w:hAnsi="宋体" w:eastAsia="宋体"/>
          <w:color w:val="auto"/>
          <w:szCs w:val="21"/>
          <w:highlight w:val="none"/>
          <w:shd w:val="clear" w:color="auto" w:fill="auto"/>
        </w:rPr>
        <w:t>13.8.1工程变更</w:t>
      </w:r>
    </w:p>
    <w:p>
      <w:pPr>
        <w:pStyle w:val="5"/>
        <w:shd w:val="clear" w:color="auto" w:fill="auto"/>
        <w:spacing w:after="0" w:line="360" w:lineRule="auto"/>
        <w:ind w:left="0" w:leftChars="0" w:firstLine="420" w:firstLineChars="200"/>
        <w:rPr>
          <w:rFonts w:hint="eastAsia" w:ascii="宋体" w:hAnsi="宋体" w:eastAsia="宋体"/>
          <w:color w:val="auto"/>
          <w:szCs w:val="21"/>
          <w:highlight w:val="none"/>
          <w:shd w:val="clear" w:color="auto" w:fill="auto"/>
        </w:rPr>
      </w:pPr>
      <w:r>
        <w:rPr>
          <w:rFonts w:hint="eastAsia" w:ascii="宋体" w:hAnsi="宋体" w:eastAsia="宋体"/>
          <w:color w:val="auto"/>
          <w:szCs w:val="21"/>
          <w:highlight w:val="none"/>
          <w:shd w:val="clear" w:color="auto" w:fill="auto"/>
        </w:rPr>
        <w:t>（1）工程变更引起招标工程量清单项目或其工程量发生变化，应按照下列规定调整:</w:t>
      </w:r>
    </w:p>
    <w:p>
      <w:pPr>
        <w:pStyle w:val="5"/>
        <w:shd w:val="clear" w:color="auto" w:fill="auto"/>
        <w:spacing w:after="0" w:line="360" w:lineRule="auto"/>
        <w:ind w:left="0" w:leftChars="0" w:firstLine="420" w:firstLineChars="200"/>
        <w:rPr>
          <w:rFonts w:hint="eastAsia" w:ascii="宋体" w:hAnsi="宋体" w:eastAsia="宋体"/>
          <w:color w:val="auto"/>
          <w:szCs w:val="21"/>
          <w:highlight w:val="none"/>
          <w:shd w:val="clear" w:color="auto" w:fill="auto"/>
        </w:rPr>
      </w:pPr>
      <w:r>
        <w:rPr>
          <w:rFonts w:hint="eastAsia" w:ascii="宋体" w:hAnsi="宋体" w:eastAsia="宋体"/>
          <w:color w:val="auto"/>
          <w:szCs w:val="21"/>
          <w:highlight w:val="none"/>
          <w:shd w:val="clear" w:color="auto" w:fill="auto"/>
        </w:rPr>
        <w:t>（a） 招标工程量清单中有适用于变更工程项目的，采用该项目的综合单价;但当工程变更导致该清单项目的工程量发生变化，且工程偏差超过15%，此时，该项目综合单价应按照13.8.4条的规定调整。</w:t>
      </w:r>
    </w:p>
    <w:p>
      <w:pPr>
        <w:pStyle w:val="5"/>
        <w:shd w:val="clear" w:color="auto" w:fill="auto"/>
        <w:spacing w:after="0" w:line="360" w:lineRule="auto"/>
        <w:ind w:left="0" w:leftChars="0" w:firstLine="420" w:firstLineChars="200"/>
        <w:rPr>
          <w:rFonts w:hint="eastAsia" w:ascii="宋体" w:hAnsi="宋体" w:eastAsia="宋体"/>
          <w:color w:val="auto"/>
          <w:szCs w:val="21"/>
          <w:highlight w:val="none"/>
          <w:shd w:val="clear" w:color="auto" w:fill="auto"/>
        </w:rPr>
      </w:pPr>
      <w:r>
        <w:rPr>
          <w:rFonts w:hint="eastAsia" w:ascii="宋体" w:hAnsi="宋体" w:eastAsia="宋体"/>
          <w:color w:val="auto"/>
          <w:szCs w:val="21"/>
          <w:highlight w:val="none"/>
          <w:shd w:val="clear" w:color="auto" w:fill="auto"/>
        </w:rPr>
        <w:t>（b） 招标工程量清单中没有适用、但有类似于变更工程项目的，可在合理范围内参照类似项目的综合单价。</w:t>
      </w:r>
    </w:p>
    <w:p>
      <w:pPr>
        <w:pStyle w:val="5"/>
        <w:shd w:val="clear" w:color="auto" w:fill="auto"/>
        <w:spacing w:after="0" w:line="360" w:lineRule="auto"/>
        <w:ind w:left="0" w:leftChars="0" w:firstLine="420" w:firstLineChars="200"/>
        <w:rPr>
          <w:rFonts w:hint="eastAsia" w:ascii="宋体" w:hAnsi="宋体" w:eastAsia="宋体"/>
          <w:color w:val="auto"/>
          <w:szCs w:val="21"/>
          <w:highlight w:val="none"/>
          <w:shd w:val="clear" w:color="auto" w:fill="auto"/>
        </w:rPr>
      </w:pPr>
      <w:r>
        <w:rPr>
          <w:rFonts w:hint="eastAsia" w:ascii="宋体" w:hAnsi="宋体" w:eastAsia="宋体"/>
          <w:color w:val="auto"/>
          <w:szCs w:val="21"/>
          <w:highlight w:val="none"/>
          <w:shd w:val="clear" w:color="auto" w:fill="auto"/>
        </w:rPr>
        <w:t>（c）招标工程量清单中没有适用也没有类似于变更工程项目的，由承包人根据变更工程资料、计量规则和计价办法、工程造价管理机构发布的信息价格和承包人报价浮动率提出变更工程项目的综合单价，报发包人确认后调整。承包人报价浮动率可按下列公式计算。</w:t>
      </w:r>
    </w:p>
    <w:p>
      <w:pPr>
        <w:pStyle w:val="5"/>
        <w:shd w:val="clear" w:color="auto" w:fill="auto"/>
        <w:spacing w:after="0" w:line="360" w:lineRule="auto"/>
        <w:ind w:left="0" w:leftChars="0" w:firstLine="420" w:firstLineChars="200"/>
        <w:rPr>
          <w:rFonts w:hint="eastAsia" w:ascii="宋体" w:hAnsi="宋体" w:eastAsia="宋体"/>
          <w:color w:val="auto"/>
          <w:szCs w:val="21"/>
          <w:highlight w:val="none"/>
          <w:shd w:val="clear" w:color="auto" w:fill="auto"/>
        </w:rPr>
      </w:pPr>
      <w:r>
        <w:rPr>
          <w:rFonts w:hint="eastAsia" w:ascii="宋体" w:hAnsi="宋体" w:eastAsia="宋体"/>
          <w:color w:val="auto"/>
          <w:szCs w:val="21"/>
          <w:highlight w:val="none"/>
          <w:shd w:val="clear" w:color="auto" w:fill="auto"/>
        </w:rPr>
        <w:t>招标工程：承包人报价浮动率L=（1-中标价/招标控制价)×100%;</w:t>
      </w:r>
    </w:p>
    <w:p>
      <w:pPr>
        <w:pStyle w:val="5"/>
        <w:shd w:val="clear" w:color="auto" w:fill="auto"/>
        <w:spacing w:after="0" w:line="360" w:lineRule="auto"/>
        <w:ind w:left="0" w:leftChars="0" w:firstLine="420" w:firstLineChars="200"/>
        <w:rPr>
          <w:rFonts w:hint="eastAsia" w:ascii="宋体" w:hAnsi="宋体" w:eastAsia="宋体"/>
          <w:color w:val="auto"/>
          <w:szCs w:val="21"/>
          <w:highlight w:val="none"/>
          <w:shd w:val="clear" w:color="auto" w:fill="auto"/>
        </w:rPr>
      </w:pPr>
      <w:r>
        <w:rPr>
          <w:rFonts w:hint="eastAsia" w:ascii="宋体" w:hAnsi="宋体" w:eastAsia="宋体"/>
          <w:color w:val="auto"/>
          <w:szCs w:val="21"/>
          <w:highlight w:val="none"/>
          <w:shd w:val="clear" w:color="auto" w:fill="auto"/>
        </w:rPr>
        <w:t>非招标工程：承包人报价浮动率L=（1-报价值/施工图预算)×100%;</w:t>
      </w:r>
    </w:p>
    <w:p>
      <w:pPr>
        <w:pStyle w:val="5"/>
        <w:shd w:val="clear" w:color="auto" w:fill="auto"/>
        <w:spacing w:after="0" w:line="360" w:lineRule="auto"/>
        <w:ind w:left="0" w:leftChars="0" w:firstLine="420" w:firstLineChars="200"/>
        <w:rPr>
          <w:rFonts w:hint="eastAsia" w:ascii="宋体" w:hAnsi="宋体" w:eastAsia="宋体"/>
          <w:color w:val="auto"/>
          <w:szCs w:val="21"/>
          <w:highlight w:val="none"/>
          <w:shd w:val="clear" w:color="auto" w:fill="auto"/>
        </w:rPr>
      </w:pPr>
      <w:r>
        <w:rPr>
          <w:rFonts w:hint="eastAsia" w:ascii="宋体" w:hAnsi="宋体" w:eastAsia="宋体"/>
          <w:color w:val="auto"/>
          <w:szCs w:val="21"/>
          <w:highlight w:val="none"/>
          <w:shd w:val="clear" w:color="auto" w:fill="auto"/>
        </w:rPr>
        <w:t>（d） 招标工程量清单中没有适用也没有类似于变更工程项目，且工程造价管理机构发布的信息价格缺价的，由承包人根据变更工程资料、计量规则、计价办法和通过市场调整等取得有合法依据的市场价格提出变更工程项目的综合单价，报发包人确认后调整。</w:t>
      </w:r>
    </w:p>
    <w:p>
      <w:pPr>
        <w:pStyle w:val="5"/>
        <w:shd w:val="clear" w:color="auto" w:fill="auto"/>
        <w:spacing w:after="0" w:line="360" w:lineRule="auto"/>
        <w:ind w:left="0" w:leftChars="0" w:firstLine="420" w:firstLineChars="200"/>
        <w:rPr>
          <w:rFonts w:hint="eastAsia" w:ascii="宋体" w:hAnsi="宋体" w:eastAsia="宋体"/>
          <w:color w:val="auto"/>
          <w:szCs w:val="21"/>
          <w:highlight w:val="none"/>
          <w:shd w:val="clear" w:color="auto" w:fill="auto"/>
        </w:rPr>
      </w:pPr>
      <w:r>
        <w:rPr>
          <w:rFonts w:hint="eastAsia" w:ascii="宋体" w:hAnsi="宋体" w:eastAsia="宋体"/>
          <w:color w:val="auto"/>
          <w:szCs w:val="21"/>
          <w:highlight w:val="none"/>
          <w:shd w:val="clear" w:color="auto" w:fill="auto"/>
        </w:rPr>
        <w:t>（2）工程变更引起施工方案改变，并使措施项目发生变化的，承包人提出调整措施项目费的，应事先将拟实施的方案提交发包人确认，并详细说明与原方案措施项目相比的变化情况。 拟实施的方案经发承包双方确认后执行。并应按照下列规定调整措施项目费：</w:t>
      </w:r>
    </w:p>
    <w:p>
      <w:pPr>
        <w:pStyle w:val="5"/>
        <w:shd w:val="clear" w:color="auto" w:fill="auto"/>
        <w:spacing w:after="0" w:line="360" w:lineRule="auto"/>
        <w:ind w:left="0" w:leftChars="0" w:firstLine="420" w:firstLineChars="200"/>
        <w:rPr>
          <w:rFonts w:hint="eastAsia" w:ascii="宋体" w:hAnsi="宋体" w:eastAsia="宋体"/>
          <w:color w:val="auto"/>
          <w:szCs w:val="21"/>
          <w:highlight w:val="none"/>
          <w:shd w:val="clear" w:color="auto" w:fill="auto"/>
        </w:rPr>
      </w:pPr>
      <w:r>
        <w:rPr>
          <w:rFonts w:hint="eastAsia" w:ascii="宋体" w:hAnsi="宋体" w:eastAsia="宋体"/>
          <w:color w:val="auto"/>
          <w:szCs w:val="21"/>
          <w:highlight w:val="none"/>
          <w:shd w:val="clear" w:color="auto" w:fill="auto"/>
        </w:rPr>
        <w:t>（a） 安全文明施工费按照实际发生变化的措施项目依据电力行业费用计算标准的规定计算。</w:t>
      </w:r>
    </w:p>
    <w:p>
      <w:pPr>
        <w:pStyle w:val="5"/>
        <w:shd w:val="clear" w:color="auto" w:fill="auto"/>
        <w:spacing w:after="0" w:line="360" w:lineRule="auto"/>
        <w:ind w:left="0" w:leftChars="0" w:firstLine="420" w:firstLineChars="200"/>
        <w:rPr>
          <w:rFonts w:hint="eastAsia" w:ascii="宋体" w:hAnsi="宋体" w:eastAsia="宋体"/>
          <w:color w:val="auto"/>
          <w:szCs w:val="21"/>
          <w:highlight w:val="none"/>
          <w:shd w:val="clear" w:color="auto" w:fill="auto"/>
        </w:rPr>
      </w:pPr>
      <w:r>
        <w:rPr>
          <w:rFonts w:hint="eastAsia" w:ascii="宋体" w:hAnsi="宋体" w:eastAsia="宋体"/>
          <w:color w:val="auto"/>
          <w:szCs w:val="21"/>
          <w:highlight w:val="none"/>
          <w:shd w:val="clear" w:color="auto" w:fill="auto"/>
        </w:rPr>
        <w:t>（b） 采用综合单价计算的措施项目费，按照实际发生变化的措施项目按13.8.1条的规定确定综合单价。</w:t>
      </w:r>
    </w:p>
    <w:p>
      <w:pPr>
        <w:pStyle w:val="5"/>
        <w:shd w:val="clear" w:color="auto" w:fill="auto"/>
        <w:spacing w:after="0" w:line="360" w:lineRule="auto"/>
        <w:ind w:left="0" w:leftChars="0" w:firstLine="420" w:firstLineChars="200"/>
        <w:rPr>
          <w:rFonts w:hint="eastAsia" w:ascii="宋体" w:hAnsi="宋体" w:eastAsia="宋体"/>
          <w:color w:val="auto"/>
          <w:szCs w:val="21"/>
          <w:highlight w:val="none"/>
          <w:shd w:val="clear" w:color="auto" w:fill="auto"/>
        </w:rPr>
      </w:pPr>
      <w:r>
        <w:rPr>
          <w:rFonts w:hint="eastAsia" w:ascii="宋体" w:hAnsi="宋体" w:eastAsia="宋体"/>
          <w:color w:val="auto"/>
          <w:szCs w:val="21"/>
          <w:highlight w:val="none"/>
          <w:shd w:val="clear" w:color="auto" w:fill="auto"/>
        </w:rPr>
        <w:t>（c） 按总价（或系数）计算的措施项目费，按照实际发生变化的措施项目调整，但应考虑承包人报价浮动因素，即调整金额按照实际调整金额乘以13.8.1条规定的承包人报价浮动率计算。</w:t>
      </w:r>
    </w:p>
    <w:p>
      <w:pPr>
        <w:pStyle w:val="5"/>
        <w:shd w:val="clear" w:color="auto" w:fill="auto"/>
        <w:spacing w:after="0" w:line="360" w:lineRule="auto"/>
        <w:ind w:left="0" w:leftChars="0" w:firstLine="420" w:firstLineChars="200"/>
        <w:rPr>
          <w:rFonts w:hint="eastAsia" w:ascii="宋体" w:hAnsi="宋体" w:eastAsia="宋体"/>
          <w:color w:val="auto"/>
          <w:szCs w:val="21"/>
          <w:highlight w:val="none"/>
          <w:shd w:val="clear" w:color="auto" w:fill="auto"/>
        </w:rPr>
      </w:pPr>
      <w:r>
        <w:rPr>
          <w:rFonts w:hint="eastAsia" w:ascii="宋体" w:hAnsi="宋体" w:eastAsia="宋体"/>
          <w:color w:val="auto"/>
          <w:szCs w:val="21"/>
          <w:highlight w:val="none"/>
          <w:shd w:val="clear" w:color="auto" w:fill="auto"/>
        </w:rPr>
        <w:t>如果承包人未事先将拟实施的方案提交给发包人确认，则视为工程变更不引起措施项目费的调整或承包人放弃调整措施项目费的权利。</w:t>
      </w:r>
    </w:p>
    <w:p>
      <w:pPr>
        <w:pStyle w:val="5"/>
        <w:shd w:val="clear" w:color="auto" w:fill="auto"/>
        <w:spacing w:after="0" w:line="360" w:lineRule="auto"/>
        <w:ind w:left="0" w:leftChars="0" w:firstLine="420" w:firstLineChars="200"/>
        <w:rPr>
          <w:rFonts w:hint="eastAsia" w:ascii="宋体" w:hAnsi="宋体" w:eastAsia="宋体"/>
          <w:color w:val="auto"/>
          <w:szCs w:val="21"/>
          <w:highlight w:val="none"/>
          <w:shd w:val="clear" w:color="auto" w:fill="auto"/>
        </w:rPr>
      </w:pPr>
      <w:r>
        <w:rPr>
          <w:rFonts w:hint="eastAsia" w:ascii="宋体" w:hAnsi="宋体" w:eastAsia="宋体"/>
          <w:color w:val="auto"/>
          <w:szCs w:val="21"/>
          <w:highlight w:val="none"/>
          <w:shd w:val="clear" w:color="auto" w:fill="auto"/>
        </w:rPr>
        <w:t>（3）当发包人提出的工程变更因非承包人原因删减了合同中的某项原定工作或工程，致使承包人发生的费用或（和）得到的收益不能被包括在其他已支付或应支付的项目中，也未被包括含在任何替代的工作或工程中，承包人有权提出并得到合理的利润补偿。</w:t>
      </w:r>
    </w:p>
    <w:p>
      <w:pPr>
        <w:pStyle w:val="5"/>
        <w:shd w:val="clear" w:color="auto" w:fill="auto"/>
        <w:spacing w:after="0" w:line="360" w:lineRule="auto"/>
        <w:ind w:left="0" w:leftChars="0" w:firstLine="420" w:firstLineChars="200"/>
        <w:rPr>
          <w:rFonts w:hint="eastAsia" w:ascii="宋体" w:hAnsi="宋体" w:eastAsia="宋体"/>
          <w:color w:val="auto"/>
          <w:szCs w:val="21"/>
          <w:highlight w:val="none"/>
          <w:shd w:val="clear" w:color="auto" w:fill="auto"/>
        </w:rPr>
      </w:pPr>
      <w:r>
        <w:rPr>
          <w:rFonts w:hint="eastAsia" w:ascii="宋体" w:hAnsi="宋体" w:eastAsia="宋体"/>
          <w:color w:val="auto"/>
          <w:szCs w:val="21"/>
          <w:highlight w:val="none"/>
          <w:shd w:val="clear" w:color="auto" w:fill="auto"/>
        </w:rPr>
        <w:t>（4）因承包人原因造成工程质量达不到规范要求出现报废或返工增加的费用，不予调整合同价款。</w:t>
      </w:r>
    </w:p>
    <w:p>
      <w:pPr>
        <w:pStyle w:val="5"/>
        <w:shd w:val="clear" w:color="auto" w:fill="auto"/>
        <w:spacing w:after="0" w:line="360" w:lineRule="auto"/>
        <w:ind w:left="0" w:leftChars="0" w:firstLine="420" w:firstLineChars="200"/>
        <w:rPr>
          <w:rFonts w:hint="eastAsia" w:ascii="宋体" w:hAnsi="宋体" w:eastAsia="宋体"/>
          <w:color w:val="auto"/>
          <w:szCs w:val="21"/>
          <w:highlight w:val="none"/>
          <w:shd w:val="clear" w:color="auto" w:fill="auto"/>
        </w:rPr>
      </w:pPr>
      <w:r>
        <w:rPr>
          <w:rFonts w:hint="eastAsia" w:ascii="宋体" w:hAnsi="宋体" w:eastAsia="宋体"/>
          <w:color w:val="auto"/>
          <w:szCs w:val="21"/>
          <w:highlight w:val="none"/>
          <w:shd w:val="clear" w:color="auto" w:fill="auto"/>
        </w:rPr>
        <w:t>13.8.2 特征描述不符</w:t>
      </w:r>
    </w:p>
    <w:p>
      <w:pPr>
        <w:pStyle w:val="5"/>
        <w:shd w:val="clear" w:color="auto" w:fill="auto"/>
        <w:spacing w:after="0" w:line="360" w:lineRule="auto"/>
        <w:ind w:left="0" w:leftChars="0" w:firstLine="420" w:firstLineChars="200"/>
        <w:rPr>
          <w:rFonts w:hint="eastAsia" w:ascii="宋体" w:hAnsi="宋体" w:eastAsia="宋体"/>
          <w:color w:val="auto"/>
          <w:szCs w:val="21"/>
          <w:highlight w:val="none"/>
          <w:shd w:val="clear" w:color="auto" w:fill="auto"/>
        </w:rPr>
      </w:pPr>
      <w:r>
        <w:rPr>
          <w:rFonts w:hint="eastAsia" w:ascii="宋体" w:hAnsi="宋体" w:eastAsia="宋体"/>
          <w:color w:val="auto"/>
          <w:szCs w:val="21"/>
          <w:highlight w:val="none"/>
          <w:shd w:val="clear" w:color="auto" w:fill="auto"/>
        </w:rPr>
        <w:t>（1）发包人在招标工程量清单中对项目特征的描述，应被认为是准确的和全面的，并且与实际施工要求相符合。承包人应按照发包人提供的招标工程量清单，根据其项目特征描述的内容及有关要求实施合同工程，直到项目被改变为止。</w:t>
      </w:r>
    </w:p>
    <w:p>
      <w:pPr>
        <w:pStyle w:val="5"/>
        <w:shd w:val="clear" w:color="auto" w:fill="auto"/>
        <w:spacing w:after="0" w:line="360" w:lineRule="auto"/>
        <w:ind w:left="0" w:leftChars="0" w:firstLine="420" w:firstLineChars="200"/>
        <w:rPr>
          <w:rFonts w:hint="eastAsia" w:ascii="宋体" w:hAnsi="宋体" w:eastAsia="宋体"/>
          <w:color w:val="auto"/>
          <w:szCs w:val="21"/>
          <w:highlight w:val="none"/>
          <w:shd w:val="clear" w:color="auto" w:fill="auto"/>
        </w:rPr>
      </w:pPr>
      <w:r>
        <w:rPr>
          <w:rFonts w:hint="eastAsia" w:ascii="宋体" w:hAnsi="宋体" w:eastAsia="宋体"/>
          <w:color w:val="auto"/>
          <w:szCs w:val="21"/>
          <w:highlight w:val="none"/>
          <w:shd w:val="clear" w:color="auto" w:fill="auto"/>
        </w:rPr>
        <w:t>（2）承包人应按照发包人提供的设计图纸实施合同工程，若在合同履行期间，出现设计图纸（含设计变更）与招标工程量清单任一项目的特征描述不符，且该变化引起该项目的工程造价增减变化的，按照实际施工的项目特征按工程变更相关条款的规定重新确定相应工程量清单项目的综合单价，调整合同价款。</w:t>
      </w:r>
    </w:p>
    <w:p>
      <w:pPr>
        <w:pStyle w:val="5"/>
        <w:spacing w:after="0" w:line="360" w:lineRule="auto"/>
        <w:ind w:left="0" w:leftChars="0" w:firstLine="420" w:firstLineChars="200"/>
        <w:rPr>
          <w:rFonts w:hint="eastAsia" w:ascii="宋体" w:hAnsi="宋体"/>
          <w:color w:val="auto"/>
          <w:szCs w:val="21"/>
          <w:highlight w:val="none"/>
          <w:shd w:val="clear" w:color="auto" w:fill="auto"/>
        </w:rPr>
      </w:pPr>
      <w:r>
        <w:rPr>
          <w:rFonts w:hint="eastAsia" w:ascii="宋体" w:hAnsi="宋体"/>
          <w:color w:val="auto"/>
          <w:szCs w:val="21"/>
          <w:highlight w:val="none"/>
          <w:shd w:val="clear" w:color="auto" w:fill="auto"/>
        </w:rPr>
        <w:t>13.8.3工程量清单缺项</w:t>
      </w:r>
    </w:p>
    <w:p>
      <w:pPr>
        <w:pStyle w:val="5"/>
        <w:spacing w:after="0" w:line="360" w:lineRule="auto"/>
        <w:ind w:left="0" w:leftChars="0" w:firstLine="420" w:firstLineChars="200"/>
        <w:rPr>
          <w:rFonts w:hint="eastAsia" w:ascii="宋体" w:hAnsi="宋体"/>
          <w:color w:val="auto"/>
          <w:szCs w:val="21"/>
          <w:highlight w:val="none"/>
          <w:shd w:val="clear" w:color="auto" w:fill="auto"/>
        </w:rPr>
      </w:pPr>
      <w:r>
        <w:rPr>
          <w:rFonts w:hint="eastAsia" w:ascii="宋体" w:hAnsi="宋体"/>
          <w:color w:val="auto"/>
          <w:szCs w:val="21"/>
          <w:highlight w:val="none"/>
          <w:shd w:val="clear" w:color="auto" w:fill="auto"/>
        </w:rPr>
        <w:t>（1）合同履行期间，由于招标工程量清单中缺项，新增分部分项工程量清单项目的，应按照第13.8.1条的规定确定综合单价，调整合同价款。</w:t>
      </w:r>
    </w:p>
    <w:p>
      <w:pPr>
        <w:pStyle w:val="5"/>
        <w:spacing w:after="0" w:line="360" w:lineRule="auto"/>
        <w:ind w:left="0" w:leftChars="0" w:firstLine="420" w:firstLineChars="200"/>
        <w:rPr>
          <w:rFonts w:hint="eastAsia" w:ascii="宋体" w:hAnsi="宋体"/>
          <w:color w:val="auto"/>
          <w:szCs w:val="21"/>
          <w:highlight w:val="none"/>
          <w:shd w:val="clear" w:color="auto" w:fill="auto"/>
        </w:rPr>
      </w:pPr>
      <w:r>
        <w:rPr>
          <w:rFonts w:hint="eastAsia" w:ascii="宋体" w:hAnsi="宋体"/>
          <w:color w:val="auto"/>
          <w:szCs w:val="21"/>
          <w:highlight w:val="none"/>
          <w:shd w:val="clear" w:color="auto" w:fill="auto"/>
        </w:rPr>
        <w:t>（2）新增分部分项工程量清单后，引起措施项目发生变化的，应按照第13.8.1条的规定，在承包人提交的实施方案被发包人批准后，计算调整合同价款。</w:t>
      </w:r>
    </w:p>
    <w:p>
      <w:pPr>
        <w:pStyle w:val="5"/>
        <w:spacing w:after="0" w:line="360" w:lineRule="auto"/>
        <w:ind w:left="0" w:leftChars="0" w:firstLine="420" w:firstLineChars="200"/>
        <w:rPr>
          <w:rFonts w:hint="eastAsia" w:ascii="宋体" w:hAnsi="宋体"/>
          <w:color w:val="auto"/>
          <w:szCs w:val="21"/>
          <w:highlight w:val="none"/>
          <w:shd w:val="clear" w:color="auto" w:fill="auto"/>
          <w:lang w:eastAsia="zh-CN"/>
        </w:rPr>
      </w:pPr>
      <w:r>
        <w:rPr>
          <w:rFonts w:hint="eastAsia" w:ascii="宋体" w:hAnsi="宋体"/>
          <w:color w:val="auto"/>
          <w:szCs w:val="21"/>
          <w:highlight w:val="none"/>
          <w:shd w:val="clear" w:color="auto" w:fill="auto"/>
        </w:rPr>
        <w:t>（3）由于招标工程量清单中措施项目缺项，承包人应将新增措施项目实施方案提交发包人批准后，按照第13.8.1条的规定计算调整</w:t>
      </w:r>
      <w:r>
        <w:rPr>
          <w:rFonts w:hint="eastAsia" w:ascii="宋体" w:hAnsi="宋体"/>
          <w:color w:val="auto"/>
          <w:szCs w:val="21"/>
          <w:highlight w:val="none"/>
          <w:shd w:val="clear" w:color="auto" w:fill="auto"/>
          <w:lang w:eastAsia="zh-CN"/>
        </w:rPr>
        <w:t>。</w:t>
      </w:r>
    </w:p>
    <w:p>
      <w:pPr>
        <w:pStyle w:val="5"/>
        <w:spacing w:after="0" w:line="360" w:lineRule="auto"/>
        <w:ind w:left="0" w:leftChars="0" w:firstLine="420" w:firstLineChars="200"/>
        <w:rPr>
          <w:rFonts w:hint="eastAsia" w:ascii="宋体" w:hAnsi="宋体"/>
          <w:color w:val="auto"/>
          <w:szCs w:val="21"/>
          <w:highlight w:val="none"/>
          <w:shd w:val="clear" w:color="auto" w:fill="auto"/>
          <w:lang w:eastAsia="zh-CN"/>
        </w:rPr>
      </w:pPr>
      <w:r>
        <w:rPr>
          <w:rFonts w:hint="eastAsia" w:ascii="宋体" w:hAnsi="宋体"/>
          <w:color w:val="auto"/>
          <w:szCs w:val="21"/>
          <w:highlight w:val="none"/>
          <w:shd w:val="clear" w:color="auto" w:fill="auto"/>
          <w:lang w:eastAsia="zh-CN"/>
        </w:rPr>
        <w:t>13.8.4 工程量偏差</w:t>
      </w:r>
    </w:p>
    <w:p>
      <w:pPr>
        <w:pStyle w:val="5"/>
        <w:spacing w:after="0" w:line="360" w:lineRule="auto"/>
        <w:ind w:left="0" w:leftChars="0" w:firstLine="420" w:firstLineChars="200"/>
        <w:rPr>
          <w:rFonts w:hint="eastAsia" w:ascii="宋体" w:hAnsi="宋体"/>
          <w:color w:val="auto"/>
          <w:szCs w:val="21"/>
          <w:highlight w:val="none"/>
          <w:shd w:val="clear" w:color="auto" w:fill="auto"/>
          <w:lang w:eastAsia="zh-CN"/>
        </w:rPr>
      </w:pPr>
      <w:r>
        <w:rPr>
          <w:rFonts w:hint="eastAsia" w:ascii="宋体" w:hAnsi="宋体"/>
          <w:color w:val="auto"/>
          <w:szCs w:val="21"/>
          <w:highlight w:val="none"/>
          <w:shd w:val="clear" w:color="auto" w:fill="auto"/>
          <w:lang w:eastAsia="zh-CN"/>
        </w:rPr>
        <w:t>(1) 合同履行期间，若实际工程量与招标工程量清单出现偏差，且符合本标准13.8.4(2)、13.8.4(3)条规定的，发承包双方应调整合同价款。</w:t>
      </w:r>
    </w:p>
    <w:p>
      <w:pPr>
        <w:pStyle w:val="5"/>
        <w:spacing w:after="0" w:line="360" w:lineRule="auto"/>
        <w:ind w:left="0" w:leftChars="0" w:firstLine="420" w:firstLineChars="200"/>
        <w:rPr>
          <w:rFonts w:hint="eastAsia" w:ascii="宋体" w:hAnsi="宋体"/>
          <w:color w:val="auto"/>
          <w:szCs w:val="21"/>
          <w:highlight w:val="none"/>
          <w:shd w:val="clear" w:color="auto" w:fill="auto"/>
          <w:lang w:eastAsia="zh-CN"/>
        </w:rPr>
      </w:pPr>
      <w:r>
        <w:rPr>
          <w:rFonts w:hint="eastAsia" w:ascii="宋体" w:hAnsi="宋体"/>
          <w:color w:val="auto"/>
          <w:szCs w:val="21"/>
          <w:highlight w:val="none"/>
          <w:shd w:val="clear" w:color="auto" w:fill="auto"/>
          <w:lang w:eastAsia="zh-CN"/>
        </w:rPr>
        <w:t>(2) 对于任一招标工程量清单项目，如果因本条规定的工程量偏差、工程变更等原因导致工程量偏差超过1 5 % ，调整的原则为: 当工程量增加15% 以上时，其增加超出15%部分的工程量的综合单价应予调低; 当工程量减少15% 以上时，减少后剩余部分的工程量的综合单价应予调高。此时，按下列公式调整结算分部分项工程费:</w:t>
      </w:r>
    </w:p>
    <w:p>
      <w:pPr>
        <w:pStyle w:val="5"/>
        <w:spacing w:after="0" w:line="360" w:lineRule="auto"/>
        <w:ind w:left="0" w:leftChars="0" w:firstLine="420" w:firstLineChars="200"/>
        <w:rPr>
          <w:rFonts w:hint="eastAsia" w:ascii="宋体" w:hAnsi="宋体"/>
          <w:color w:val="auto"/>
          <w:szCs w:val="21"/>
          <w:highlight w:val="none"/>
          <w:shd w:val="clear" w:color="auto" w:fill="auto"/>
          <w:lang w:eastAsia="zh-CN"/>
        </w:rPr>
      </w:pPr>
      <w:r>
        <w:rPr>
          <w:rFonts w:hint="eastAsia" w:ascii="宋体" w:hAnsi="宋体"/>
          <w:color w:val="auto"/>
          <w:szCs w:val="21"/>
          <w:highlight w:val="none"/>
          <w:shd w:val="clear" w:color="auto" w:fill="auto"/>
          <w:lang w:eastAsia="zh-CN"/>
        </w:rPr>
        <w:t>（a） 当Q1&gt;1.15×Q0 时，S=1.15×Q0×P0+( Q1-1.15×Q0)×P0×0.9</w:t>
      </w:r>
    </w:p>
    <w:p>
      <w:pPr>
        <w:pStyle w:val="5"/>
        <w:spacing w:after="0" w:line="360" w:lineRule="auto"/>
        <w:ind w:left="0" w:leftChars="0" w:firstLine="420" w:firstLineChars="200"/>
        <w:rPr>
          <w:rFonts w:hint="eastAsia" w:ascii="宋体" w:hAnsi="宋体"/>
          <w:color w:val="auto"/>
          <w:szCs w:val="21"/>
          <w:highlight w:val="none"/>
          <w:shd w:val="clear" w:color="auto" w:fill="auto"/>
          <w:lang w:eastAsia="zh-CN"/>
        </w:rPr>
      </w:pPr>
      <w:r>
        <w:rPr>
          <w:rFonts w:hint="eastAsia" w:ascii="宋体" w:hAnsi="宋体"/>
          <w:color w:val="auto"/>
          <w:szCs w:val="21"/>
          <w:highlight w:val="none"/>
          <w:shd w:val="clear" w:color="auto" w:fill="auto"/>
          <w:lang w:eastAsia="zh-CN"/>
        </w:rPr>
        <w:t>（b） 当Q1&lt;0.85×Q0 时，S= Q1×P0×1.1</w:t>
      </w:r>
    </w:p>
    <w:p>
      <w:pPr>
        <w:pStyle w:val="5"/>
        <w:spacing w:after="0" w:line="360" w:lineRule="auto"/>
        <w:ind w:left="0" w:leftChars="0" w:firstLine="420" w:firstLineChars="200"/>
        <w:rPr>
          <w:rFonts w:hint="eastAsia" w:ascii="宋体" w:hAnsi="宋体"/>
          <w:color w:val="auto"/>
          <w:szCs w:val="21"/>
          <w:highlight w:val="none"/>
          <w:shd w:val="clear" w:color="auto" w:fill="auto"/>
          <w:lang w:eastAsia="zh-CN"/>
        </w:rPr>
      </w:pPr>
      <w:r>
        <w:rPr>
          <w:rFonts w:hint="eastAsia" w:ascii="宋体" w:hAnsi="宋体"/>
          <w:color w:val="auto"/>
          <w:szCs w:val="21"/>
          <w:highlight w:val="none"/>
          <w:shd w:val="clear" w:color="auto" w:fill="auto"/>
          <w:lang w:eastAsia="zh-CN"/>
        </w:rPr>
        <w:t>式中:S 表示调整后的某一分部分项工程费结算价；Q1表示最终完成的工程量；Q0表示招标工程量清单中列出的工程量；P0表示承包人在工程量清单中填报的综合单价。</w:t>
      </w:r>
    </w:p>
    <w:p>
      <w:pPr>
        <w:pStyle w:val="5"/>
        <w:spacing w:after="0" w:line="360" w:lineRule="auto"/>
        <w:ind w:left="0" w:leftChars="0" w:firstLine="420" w:firstLineChars="200"/>
        <w:rPr>
          <w:rFonts w:hint="eastAsia" w:ascii="宋体" w:hAnsi="宋体"/>
          <w:color w:val="auto"/>
          <w:szCs w:val="21"/>
          <w:highlight w:val="none"/>
          <w:shd w:val="clear" w:color="auto" w:fill="auto"/>
          <w:lang w:eastAsia="zh-CN"/>
        </w:rPr>
      </w:pPr>
      <w:r>
        <w:rPr>
          <w:rFonts w:hint="eastAsia" w:ascii="宋体" w:hAnsi="宋体"/>
          <w:color w:val="auto"/>
          <w:szCs w:val="21"/>
          <w:highlight w:val="none"/>
          <w:shd w:val="clear" w:color="auto" w:fill="auto"/>
          <w:lang w:eastAsia="zh-CN"/>
        </w:rPr>
        <w:t>(3) 如果工程量出现本标准第13.8.4(2)条的变化，且该变化引起相关措施项目相应发生变化， 如按总价项目(或系数〉计价的，工程量增加的措施项目费调增，工程量减少的措施项目费调减。</w:t>
      </w:r>
    </w:p>
    <w:p>
      <w:pPr>
        <w:pStyle w:val="5"/>
        <w:keepNext w:val="0"/>
        <w:keepLines w:val="0"/>
        <w:pageBreakBefore w:val="0"/>
        <w:kinsoku/>
        <w:wordWrap/>
        <w:overflowPunct/>
        <w:topLinePunct w:val="0"/>
        <w:bidi w:val="0"/>
        <w:spacing w:after="0" w:line="360" w:lineRule="auto"/>
        <w:ind w:left="0" w:leftChars="0" w:firstLine="422" w:firstLineChars="200"/>
        <w:outlineLvl w:val="9"/>
        <w:rPr>
          <w:rFonts w:hint="eastAsia" w:ascii="宋体" w:hAnsi="宋体" w:eastAsia="宋体" w:cs="Times New Roman"/>
          <w:b/>
          <w:bCs/>
          <w:color w:val="auto"/>
          <w:szCs w:val="21"/>
          <w:highlight w:val="none"/>
          <w:shd w:val="clear" w:color="auto" w:fill="auto"/>
        </w:rPr>
      </w:pPr>
      <w:r>
        <w:rPr>
          <w:rFonts w:hint="eastAsia" w:ascii="宋体" w:hAnsi="宋体" w:eastAsia="宋体" w:cs="Times New Roman"/>
          <w:b/>
          <w:bCs/>
          <w:color w:val="auto"/>
          <w:szCs w:val="21"/>
          <w:highlight w:val="none"/>
          <w:shd w:val="clear" w:color="auto" w:fill="auto"/>
          <w:lang w:val="en-US" w:eastAsia="zh-CN"/>
        </w:rPr>
        <w:t>替换</w:t>
      </w:r>
      <w:r>
        <w:rPr>
          <w:rFonts w:hint="eastAsia" w:ascii="宋体" w:hAnsi="宋体" w:eastAsia="宋体" w:cs="Times New Roman"/>
          <w:b/>
          <w:bCs/>
          <w:color w:val="auto"/>
          <w:szCs w:val="21"/>
          <w:highlight w:val="none"/>
          <w:shd w:val="clear" w:color="auto" w:fill="auto"/>
        </w:rPr>
        <w:t>以下内容作为13.</w:t>
      </w:r>
      <w:r>
        <w:rPr>
          <w:rFonts w:hint="eastAsia" w:ascii="宋体" w:hAnsi="宋体" w:eastAsia="宋体" w:cs="Times New Roman"/>
          <w:b/>
          <w:bCs/>
          <w:color w:val="auto"/>
          <w:szCs w:val="21"/>
          <w:highlight w:val="none"/>
          <w:shd w:val="clear" w:color="auto" w:fill="auto"/>
          <w:lang w:val="en-US" w:eastAsia="zh-CN"/>
        </w:rPr>
        <w:t>8“</w:t>
      </w:r>
      <w:r>
        <w:rPr>
          <w:rFonts w:hint="eastAsia" w:ascii="宋体" w:hAnsi="宋体"/>
          <w:b/>
          <w:bCs/>
          <w:color w:val="auto"/>
          <w:szCs w:val="21"/>
          <w:highlight w:val="none"/>
          <w:shd w:val="clear" w:color="auto" w:fill="auto"/>
        </w:rPr>
        <w:t>（二</w:t>
      </w:r>
      <w:r>
        <w:rPr>
          <w:rFonts w:ascii="宋体" w:hAnsi="宋体"/>
          <w:b/>
          <w:bCs/>
          <w:color w:val="auto"/>
          <w:szCs w:val="21"/>
          <w:highlight w:val="none"/>
          <w:shd w:val="clear" w:color="auto" w:fill="auto"/>
        </w:rPr>
        <w:t>）</w:t>
      </w:r>
      <w:r>
        <w:rPr>
          <w:rFonts w:hint="eastAsia" w:ascii="宋体" w:hAnsi="宋体"/>
          <w:b/>
          <w:bCs/>
          <w:color w:val="auto"/>
          <w:szCs w:val="21"/>
          <w:highlight w:val="none"/>
          <w:shd w:val="clear" w:color="auto" w:fill="auto"/>
        </w:rPr>
        <w:t>定额计价模式的约定：</w:t>
      </w:r>
      <w:r>
        <w:rPr>
          <w:rFonts w:hint="eastAsia" w:ascii="宋体" w:hAnsi="宋体" w:eastAsia="宋体" w:cs="Times New Roman"/>
          <w:b/>
          <w:bCs/>
          <w:color w:val="auto"/>
          <w:szCs w:val="21"/>
          <w:highlight w:val="none"/>
          <w:shd w:val="clear" w:color="auto" w:fill="auto"/>
          <w:lang w:val="en-US" w:eastAsia="zh-CN"/>
        </w:rPr>
        <w:t>”</w:t>
      </w:r>
      <w:r>
        <w:rPr>
          <w:rFonts w:hint="eastAsia" w:ascii="宋体" w:hAnsi="宋体" w:eastAsia="宋体" w:cs="Times New Roman"/>
          <w:b/>
          <w:bCs/>
          <w:color w:val="auto"/>
          <w:szCs w:val="21"/>
          <w:highlight w:val="none"/>
          <w:shd w:val="clear" w:color="auto" w:fill="auto"/>
        </w:rPr>
        <w:t>款：</w:t>
      </w:r>
    </w:p>
    <w:p>
      <w:pPr>
        <w:pStyle w:val="5"/>
        <w:spacing w:after="0" w:line="360" w:lineRule="auto"/>
        <w:ind w:left="0" w:leftChars="0" w:firstLine="422" w:firstLineChars="200"/>
        <w:rPr>
          <w:rFonts w:ascii="宋体" w:hAnsi="宋体"/>
          <w:b/>
          <w:color w:val="auto"/>
          <w:szCs w:val="21"/>
          <w:highlight w:val="none"/>
          <w:shd w:val="clear" w:color="auto" w:fill="auto"/>
        </w:rPr>
      </w:pPr>
      <w:r>
        <w:rPr>
          <w:rFonts w:hint="eastAsia" w:ascii="宋体" w:hAnsi="宋体"/>
          <w:b/>
          <w:color w:val="auto"/>
          <w:szCs w:val="21"/>
          <w:highlight w:val="none"/>
          <w:shd w:val="clear" w:color="auto" w:fill="auto"/>
        </w:rPr>
        <w:t>（二</w:t>
      </w:r>
      <w:r>
        <w:rPr>
          <w:rFonts w:ascii="宋体" w:hAnsi="宋体"/>
          <w:b/>
          <w:color w:val="auto"/>
          <w:szCs w:val="21"/>
          <w:highlight w:val="none"/>
          <w:shd w:val="clear" w:color="auto" w:fill="auto"/>
        </w:rPr>
        <w:t>）</w:t>
      </w:r>
      <w:r>
        <w:rPr>
          <w:rFonts w:hint="eastAsia" w:ascii="宋体" w:hAnsi="宋体"/>
          <w:b/>
          <w:color w:val="auto"/>
          <w:szCs w:val="21"/>
          <w:highlight w:val="none"/>
          <w:shd w:val="clear" w:color="auto" w:fill="auto"/>
        </w:rPr>
        <w:t>定额计价模式的约定：</w:t>
      </w:r>
    </w:p>
    <w:p>
      <w:pPr>
        <w:pStyle w:val="5"/>
        <w:spacing w:after="0" w:line="360" w:lineRule="auto"/>
        <w:ind w:left="0" w:leftChars="0" w:firstLine="420" w:firstLineChars="200"/>
        <w:rPr>
          <w:rFonts w:ascii="宋体" w:hAnsi="宋体"/>
          <w:color w:val="auto"/>
          <w:szCs w:val="21"/>
          <w:highlight w:val="none"/>
          <w:shd w:val="clear" w:color="auto" w:fill="auto"/>
        </w:rPr>
      </w:pPr>
      <w:r>
        <w:rPr>
          <w:rFonts w:ascii="宋体" w:hAnsi="宋体"/>
          <w:color w:val="auto"/>
          <w:szCs w:val="21"/>
          <w:highlight w:val="none"/>
          <w:shd w:val="clear" w:color="auto" w:fill="auto"/>
        </w:rPr>
        <w:t>本次</w:t>
      </w:r>
      <w:r>
        <w:rPr>
          <w:rFonts w:hint="eastAsia" w:ascii="宋体" w:hAnsi="宋体"/>
          <w:color w:val="auto"/>
          <w:szCs w:val="21"/>
          <w:highlight w:val="none"/>
          <w:shd w:val="clear" w:color="auto" w:fill="auto"/>
        </w:rPr>
        <w:t>中标</w:t>
      </w:r>
      <w:r>
        <w:rPr>
          <w:rFonts w:ascii="宋体" w:hAnsi="宋体"/>
          <w:color w:val="auto"/>
          <w:szCs w:val="21"/>
          <w:highlight w:val="none"/>
          <w:shd w:val="clear" w:color="auto" w:fill="auto"/>
        </w:rPr>
        <w:t>合同</w:t>
      </w:r>
      <w:r>
        <w:rPr>
          <w:rFonts w:hint="eastAsia" w:ascii="宋体" w:hAnsi="宋体"/>
          <w:color w:val="auto"/>
          <w:szCs w:val="21"/>
          <w:highlight w:val="none"/>
          <w:shd w:val="clear" w:color="auto" w:fill="auto"/>
        </w:rPr>
        <w:t>价款中为</w:t>
      </w:r>
      <w:r>
        <w:rPr>
          <w:rFonts w:ascii="宋体" w:hAnsi="宋体"/>
          <w:color w:val="auto"/>
          <w:szCs w:val="21"/>
          <w:highlight w:val="none"/>
          <w:shd w:val="clear" w:color="auto" w:fill="auto"/>
        </w:rPr>
        <w:t>包</w:t>
      </w:r>
      <w:r>
        <w:rPr>
          <w:rFonts w:hint="eastAsia" w:ascii="宋体" w:hAnsi="宋体"/>
          <w:color w:val="auto"/>
          <w:szCs w:val="21"/>
          <w:highlight w:val="none"/>
          <w:shd w:val="clear" w:color="auto" w:fill="auto"/>
        </w:rPr>
        <w:t>干价的</w:t>
      </w:r>
      <w:r>
        <w:rPr>
          <w:rFonts w:ascii="宋体" w:hAnsi="宋体"/>
          <w:color w:val="auto"/>
          <w:szCs w:val="21"/>
          <w:highlight w:val="none"/>
          <w:shd w:val="clear" w:color="auto" w:fill="auto"/>
        </w:rPr>
        <w:t>，一般不予调整</w:t>
      </w:r>
      <w:r>
        <w:rPr>
          <w:rFonts w:hint="eastAsia" w:ascii="宋体" w:hAnsi="宋体"/>
          <w:color w:val="auto"/>
          <w:szCs w:val="21"/>
          <w:highlight w:val="none"/>
          <w:shd w:val="clear" w:color="auto" w:fill="auto"/>
        </w:rPr>
        <w:t>；中标</w:t>
      </w:r>
      <w:r>
        <w:rPr>
          <w:rFonts w:ascii="宋体" w:hAnsi="宋体"/>
          <w:color w:val="auto"/>
          <w:szCs w:val="21"/>
          <w:highlight w:val="none"/>
          <w:shd w:val="clear" w:color="auto" w:fill="auto"/>
        </w:rPr>
        <w:t>合同</w:t>
      </w:r>
      <w:r>
        <w:rPr>
          <w:rFonts w:hint="eastAsia" w:ascii="宋体" w:hAnsi="宋体"/>
          <w:color w:val="auto"/>
          <w:szCs w:val="21"/>
          <w:highlight w:val="none"/>
          <w:shd w:val="clear" w:color="auto" w:fill="auto"/>
        </w:rPr>
        <w:t>价款中的错项（含漏项、多项）结算时不予调整；因承包人原因造成工程质量达不到规范要求出现报废或返工增加的费用，不予调整。除非是以下情况：</w:t>
      </w:r>
    </w:p>
    <w:p>
      <w:pPr>
        <w:pStyle w:val="5"/>
        <w:numPr>
          <w:ilvl w:val="0"/>
          <w:numId w:val="3"/>
        </w:numPr>
        <w:spacing w:after="0" w:line="360" w:lineRule="auto"/>
        <w:ind w:left="210" w:leftChars="0" w:firstLine="420" w:firstLineChars="0"/>
        <w:rPr>
          <w:rFonts w:ascii="宋体" w:hAnsi="宋体"/>
          <w:color w:val="auto"/>
          <w:szCs w:val="21"/>
          <w:highlight w:val="none"/>
          <w:shd w:val="clear" w:color="auto" w:fill="auto"/>
        </w:rPr>
      </w:pPr>
      <w:r>
        <w:rPr>
          <w:rFonts w:ascii="宋体" w:hAnsi="宋体"/>
          <w:color w:val="auto"/>
          <w:szCs w:val="21"/>
          <w:highlight w:val="none"/>
          <w:shd w:val="clear" w:color="auto" w:fill="auto"/>
        </w:rPr>
        <w:t>经项目发包人</w:t>
      </w:r>
      <w:r>
        <w:rPr>
          <w:rFonts w:hint="eastAsia" w:ascii="宋体" w:hAnsi="宋体"/>
          <w:color w:val="auto"/>
          <w:szCs w:val="21"/>
          <w:highlight w:val="none"/>
          <w:shd w:val="clear" w:color="auto" w:fill="auto"/>
        </w:rPr>
        <w:t>和</w:t>
      </w:r>
      <w:r>
        <w:rPr>
          <w:rFonts w:ascii="宋体" w:hAnsi="宋体"/>
          <w:color w:val="auto"/>
          <w:szCs w:val="21"/>
          <w:highlight w:val="none"/>
          <w:shd w:val="clear" w:color="auto" w:fill="auto"/>
        </w:rPr>
        <w:t>监理工程师确认的</w:t>
      </w:r>
      <w:r>
        <w:rPr>
          <w:rFonts w:hint="eastAsia" w:ascii="宋体" w:hAnsi="宋体"/>
          <w:color w:val="auto"/>
          <w:szCs w:val="21"/>
          <w:highlight w:val="none"/>
          <w:shd w:val="clear" w:color="auto" w:fill="auto"/>
        </w:rPr>
        <w:t>现场签证或</w:t>
      </w:r>
      <w:r>
        <w:rPr>
          <w:rFonts w:ascii="宋体" w:hAnsi="宋体"/>
          <w:color w:val="auto"/>
          <w:szCs w:val="21"/>
          <w:highlight w:val="none"/>
          <w:shd w:val="clear" w:color="auto" w:fill="auto"/>
        </w:rPr>
        <w:t>一项工程</w:t>
      </w:r>
      <w:r>
        <w:rPr>
          <w:rFonts w:hint="eastAsia" w:ascii="宋体" w:hAnsi="宋体"/>
          <w:color w:val="auto"/>
          <w:szCs w:val="21"/>
          <w:highlight w:val="none"/>
          <w:shd w:val="clear" w:color="auto" w:fill="auto"/>
        </w:rPr>
        <w:t>【</w:t>
      </w:r>
      <w:r>
        <w:rPr>
          <w:rFonts w:ascii="宋体" w:hAnsi="宋体"/>
          <w:color w:val="auto"/>
          <w:szCs w:val="21"/>
          <w:highlight w:val="none"/>
          <w:shd w:val="clear" w:color="auto" w:fill="auto"/>
        </w:rPr>
        <w:t>（指</w:t>
      </w:r>
      <w:r>
        <w:rPr>
          <w:rFonts w:hint="eastAsia" w:ascii="宋体" w:hAnsi="宋体"/>
          <w:color w:val="auto"/>
          <w:szCs w:val="21"/>
          <w:highlight w:val="none"/>
          <w:shd w:val="clear" w:color="auto" w:fill="auto"/>
        </w:rPr>
        <w:t>招标文件投标格式的表二（甲、乙、丙、丁）</w:t>
      </w:r>
      <w:r>
        <w:rPr>
          <w:rFonts w:ascii="宋体" w:hAnsi="宋体"/>
          <w:color w:val="auto"/>
          <w:szCs w:val="21"/>
          <w:highlight w:val="none"/>
          <w:shd w:val="clear" w:color="auto" w:fill="auto"/>
        </w:rPr>
        <w:t>的最末一级）</w:t>
      </w:r>
      <w:r>
        <w:rPr>
          <w:rFonts w:hint="eastAsia" w:ascii="宋体" w:hAnsi="宋体"/>
          <w:color w:val="auto"/>
          <w:szCs w:val="21"/>
          <w:highlight w:val="none"/>
          <w:shd w:val="clear" w:color="auto" w:fill="auto"/>
        </w:rPr>
        <w:t>】</w:t>
      </w:r>
      <w:r>
        <w:rPr>
          <w:rFonts w:ascii="宋体" w:hAnsi="宋体"/>
          <w:color w:val="auto"/>
          <w:szCs w:val="21"/>
          <w:highlight w:val="none"/>
          <w:shd w:val="clear" w:color="auto" w:fill="auto"/>
        </w:rPr>
        <w:t>的工程量发生变更，依据第</w:t>
      </w:r>
      <w:r>
        <w:rPr>
          <w:rFonts w:hint="eastAsia" w:ascii="宋体" w:hAnsi="宋体"/>
          <w:color w:val="auto"/>
          <w:szCs w:val="21"/>
          <w:highlight w:val="none"/>
          <w:shd w:val="clear" w:color="auto" w:fill="auto"/>
        </w:rPr>
        <w:t>1</w:t>
      </w:r>
      <w:r>
        <w:rPr>
          <w:rFonts w:ascii="宋体" w:hAnsi="宋体"/>
          <w:color w:val="auto"/>
          <w:szCs w:val="21"/>
          <w:highlight w:val="none"/>
          <w:shd w:val="clear" w:color="auto" w:fill="auto"/>
        </w:rPr>
        <w:t>3.3款的原则估价后，经济数额</w:t>
      </w:r>
      <w:r>
        <w:rPr>
          <w:rFonts w:hint="eastAsia" w:ascii="宋体" w:hAnsi="宋体"/>
          <w:color w:val="auto"/>
          <w:szCs w:val="21"/>
          <w:highlight w:val="none"/>
          <w:shd w:val="clear" w:color="auto" w:fill="auto"/>
        </w:rPr>
        <w:t>（含编制年价差）</w:t>
      </w:r>
      <w:r>
        <w:rPr>
          <w:rFonts w:ascii="宋体" w:hAnsi="宋体"/>
          <w:color w:val="auto"/>
          <w:szCs w:val="21"/>
          <w:highlight w:val="none"/>
          <w:shd w:val="clear" w:color="auto" w:fill="auto"/>
        </w:rPr>
        <w:t>超过</w:t>
      </w:r>
      <w:r>
        <w:rPr>
          <w:rFonts w:hint="eastAsia" w:ascii="宋体" w:hAnsi="宋体"/>
          <w:color w:val="auto"/>
          <w:szCs w:val="21"/>
          <w:highlight w:val="none"/>
          <w:shd w:val="clear" w:color="auto" w:fill="auto"/>
        </w:rPr>
        <w:t>H</w:t>
      </w:r>
      <w:r>
        <w:rPr>
          <w:rFonts w:ascii="宋体" w:hAnsi="宋体"/>
          <w:color w:val="auto"/>
          <w:szCs w:val="21"/>
          <w:highlight w:val="none"/>
          <w:shd w:val="clear" w:color="auto" w:fill="auto"/>
        </w:rPr>
        <w:t>万元及以上时，此时调整原则为双向互调，但只针对该项工程超出</w:t>
      </w:r>
      <w:r>
        <w:rPr>
          <w:rFonts w:hint="eastAsia" w:ascii="宋体" w:hAnsi="宋体"/>
          <w:color w:val="auto"/>
          <w:szCs w:val="21"/>
          <w:highlight w:val="none"/>
          <w:shd w:val="clear" w:color="auto" w:fill="auto"/>
        </w:rPr>
        <w:t>H</w:t>
      </w:r>
      <w:r>
        <w:rPr>
          <w:rFonts w:ascii="宋体" w:hAnsi="宋体"/>
          <w:color w:val="auto"/>
          <w:szCs w:val="21"/>
          <w:highlight w:val="none"/>
          <w:shd w:val="clear" w:color="auto" w:fill="auto"/>
        </w:rPr>
        <w:t>万元部分进行增减调整，与其他项工程无关。否则不予调整。</w:t>
      </w:r>
    </w:p>
    <w:p>
      <w:pPr>
        <w:pStyle w:val="5"/>
        <w:spacing w:after="0" w:line="360" w:lineRule="auto"/>
        <w:ind w:left="0" w:leftChars="0" w:firstLine="420" w:firstLineChars="200"/>
        <w:rPr>
          <w:rFonts w:ascii="宋体" w:hAnsi="宋体"/>
          <w:color w:val="auto"/>
          <w:szCs w:val="21"/>
          <w:highlight w:val="none"/>
          <w:shd w:val="clear" w:color="auto" w:fill="auto"/>
        </w:rPr>
      </w:pPr>
      <w:r>
        <w:rPr>
          <w:rFonts w:ascii="宋体" w:hAnsi="宋体"/>
          <w:color w:val="auto"/>
          <w:szCs w:val="21"/>
          <w:highlight w:val="none"/>
          <w:shd w:val="clear" w:color="auto" w:fill="auto"/>
        </w:rPr>
        <w:t>上述</w:t>
      </w:r>
      <w:r>
        <w:rPr>
          <w:rFonts w:hint="eastAsia" w:ascii="宋体" w:hAnsi="宋体"/>
          <w:color w:val="auto"/>
          <w:szCs w:val="21"/>
          <w:highlight w:val="none"/>
          <w:shd w:val="clear" w:color="auto" w:fill="auto"/>
        </w:rPr>
        <w:t>H</w:t>
      </w:r>
      <w:r>
        <w:rPr>
          <w:rFonts w:ascii="宋体" w:hAnsi="宋体"/>
          <w:color w:val="auto"/>
          <w:szCs w:val="21"/>
          <w:highlight w:val="none"/>
          <w:shd w:val="clear" w:color="auto" w:fill="auto"/>
        </w:rPr>
        <w:t xml:space="preserve">值可下表查得 </w:t>
      </w:r>
      <w:r>
        <w:rPr>
          <w:rFonts w:hint="eastAsia" w:ascii="宋体" w:hAnsi="宋体"/>
          <w:color w:val="auto"/>
          <w:szCs w:val="21"/>
          <w:highlight w:val="none"/>
          <w:shd w:val="clear" w:color="auto" w:fill="auto"/>
        </w:rPr>
        <w:t>[H值按下表第【</w:t>
      </w:r>
      <w:r>
        <w:rPr>
          <w:rFonts w:hint="eastAsia" w:ascii="宋体" w:hAnsi="宋体"/>
          <w:color w:val="auto"/>
          <w:szCs w:val="21"/>
          <w:highlight w:val="none"/>
          <w:u w:val="single"/>
          <w:shd w:val="clear" w:color="auto" w:fill="auto"/>
        </w:rPr>
        <w:t xml:space="preserve">  3  </w:t>
      </w:r>
      <w:r>
        <w:rPr>
          <w:rFonts w:hint="eastAsia" w:ascii="宋体" w:hAnsi="宋体"/>
          <w:color w:val="auto"/>
          <w:szCs w:val="21"/>
          <w:highlight w:val="none"/>
          <w:shd w:val="clear" w:color="auto" w:fill="auto"/>
        </w:rPr>
        <w:t>】确定]</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3"/>
        <w:gridCol w:w="2278"/>
        <w:gridCol w:w="1559"/>
        <w:gridCol w:w="1417"/>
        <w:gridCol w:w="1560"/>
        <w:gridCol w:w="10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3081" w:type="dxa"/>
            <w:gridSpan w:val="2"/>
            <w:noWrap w:val="0"/>
            <w:vAlign w:val="center"/>
          </w:tcPr>
          <w:p>
            <w:pPr>
              <w:pStyle w:val="6"/>
              <w:spacing w:line="360" w:lineRule="auto"/>
              <w:rPr>
                <w:rFonts w:hAnsi="宋体"/>
                <w:color w:val="auto"/>
                <w:szCs w:val="21"/>
                <w:highlight w:val="none"/>
                <w:shd w:val="clear" w:color="auto" w:fill="auto"/>
              </w:rPr>
            </w:pPr>
            <w:r>
              <w:rPr>
                <w:rFonts w:hAnsi="宋体"/>
                <w:color w:val="auto"/>
                <w:szCs w:val="21"/>
                <w:highlight w:val="none"/>
                <w:shd w:val="clear" w:color="auto" w:fill="auto"/>
              </w:rPr>
              <w:t>合同一项工程中标价B</w:t>
            </w:r>
            <w:r>
              <w:rPr>
                <w:rFonts w:hint="eastAsia" w:hAnsi="宋体"/>
                <w:color w:val="auto"/>
                <w:szCs w:val="21"/>
                <w:highlight w:val="none"/>
                <w:shd w:val="clear" w:color="auto" w:fill="auto"/>
              </w:rPr>
              <w:t>（万元）</w:t>
            </w:r>
          </w:p>
        </w:tc>
        <w:tc>
          <w:tcPr>
            <w:tcW w:w="1559" w:type="dxa"/>
            <w:noWrap w:val="0"/>
            <w:vAlign w:val="center"/>
          </w:tcPr>
          <w:p>
            <w:pPr>
              <w:pStyle w:val="6"/>
              <w:spacing w:line="360" w:lineRule="auto"/>
              <w:jc w:val="center"/>
              <w:rPr>
                <w:rFonts w:hAnsi="宋体"/>
                <w:color w:val="auto"/>
                <w:szCs w:val="21"/>
                <w:highlight w:val="none"/>
                <w:shd w:val="clear" w:color="auto" w:fill="auto"/>
              </w:rPr>
            </w:pPr>
            <w:r>
              <w:rPr>
                <w:rFonts w:hint="eastAsia" w:hAnsi="宋体"/>
                <w:color w:val="auto"/>
                <w:szCs w:val="21"/>
                <w:highlight w:val="none"/>
                <w:shd w:val="clear" w:color="auto" w:fill="auto"/>
              </w:rPr>
              <w:t>0</w:t>
            </w:r>
            <w:r>
              <w:rPr>
                <w:rFonts w:hAnsi="宋体"/>
                <w:color w:val="auto"/>
                <w:szCs w:val="21"/>
                <w:highlight w:val="none"/>
                <w:shd w:val="clear" w:color="auto" w:fill="auto"/>
              </w:rPr>
              <w:t>&lt;B&lt;10</w:t>
            </w:r>
          </w:p>
        </w:tc>
        <w:tc>
          <w:tcPr>
            <w:tcW w:w="1417" w:type="dxa"/>
            <w:noWrap w:val="0"/>
            <w:vAlign w:val="center"/>
          </w:tcPr>
          <w:p>
            <w:pPr>
              <w:pStyle w:val="6"/>
              <w:spacing w:line="360" w:lineRule="auto"/>
              <w:jc w:val="center"/>
              <w:rPr>
                <w:rFonts w:hAnsi="宋体"/>
                <w:color w:val="auto"/>
                <w:szCs w:val="21"/>
                <w:highlight w:val="none"/>
                <w:shd w:val="clear" w:color="auto" w:fill="auto"/>
              </w:rPr>
            </w:pPr>
            <w:r>
              <w:rPr>
                <w:rFonts w:hAnsi="宋体"/>
                <w:color w:val="auto"/>
                <w:szCs w:val="21"/>
                <w:highlight w:val="none"/>
                <w:shd w:val="clear" w:color="auto" w:fill="auto"/>
              </w:rPr>
              <w:t>10≦B&lt;50</w:t>
            </w:r>
          </w:p>
        </w:tc>
        <w:tc>
          <w:tcPr>
            <w:tcW w:w="1560" w:type="dxa"/>
            <w:noWrap w:val="0"/>
            <w:vAlign w:val="center"/>
          </w:tcPr>
          <w:p>
            <w:pPr>
              <w:pStyle w:val="6"/>
              <w:spacing w:line="360" w:lineRule="auto"/>
              <w:jc w:val="center"/>
              <w:rPr>
                <w:rFonts w:hAnsi="宋体"/>
                <w:color w:val="auto"/>
                <w:szCs w:val="21"/>
                <w:highlight w:val="none"/>
                <w:shd w:val="clear" w:color="auto" w:fill="auto"/>
              </w:rPr>
            </w:pPr>
            <w:r>
              <w:rPr>
                <w:rFonts w:hAnsi="宋体"/>
                <w:color w:val="auto"/>
                <w:szCs w:val="21"/>
                <w:highlight w:val="none"/>
                <w:shd w:val="clear" w:color="auto" w:fill="auto"/>
              </w:rPr>
              <w:t>50≦B&lt;100</w:t>
            </w:r>
          </w:p>
        </w:tc>
        <w:tc>
          <w:tcPr>
            <w:tcW w:w="1092" w:type="dxa"/>
            <w:noWrap w:val="0"/>
            <w:vAlign w:val="center"/>
          </w:tcPr>
          <w:p>
            <w:pPr>
              <w:pStyle w:val="6"/>
              <w:spacing w:line="360" w:lineRule="auto"/>
              <w:jc w:val="center"/>
              <w:rPr>
                <w:rFonts w:hAnsi="宋体"/>
                <w:color w:val="auto"/>
                <w:szCs w:val="21"/>
                <w:highlight w:val="none"/>
                <w:shd w:val="clear" w:color="auto" w:fill="auto"/>
              </w:rPr>
            </w:pPr>
            <w:r>
              <w:rPr>
                <w:rFonts w:hAnsi="宋体"/>
                <w:color w:val="auto"/>
                <w:szCs w:val="21"/>
                <w:highlight w:val="none"/>
                <w:shd w:val="clear" w:color="auto" w:fill="auto"/>
              </w:rPr>
              <w:t>B≧100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803" w:type="dxa"/>
            <w:noWrap w:val="0"/>
            <w:vAlign w:val="center"/>
          </w:tcPr>
          <w:p>
            <w:pPr>
              <w:pStyle w:val="6"/>
              <w:spacing w:line="360" w:lineRule="auto"/>
              <w:rPr>
                <w:rFonts w:hAnsi="宋体"/>
                <w:color w:val="auto"/>
                <w:szCs w:val="21"/>
                <w:highlight w:val="none"/>
                <w:shd w:val="clear" w:color="auto" w:fill="auto"/>
              </w:rPr>
            </w:pPr>
            <w:r>
              <w:rPr>
                <w:rFonts w:hint="eastAsia" w:hAnsi="宋体"/>
                <w:color w:val="auto"/>
                <w:szCs w:val="21"/>
                <w:highlight w:val="none"/>
                <w:shd w:val="clear" w:color="auto" w:fill="auto"/>
              </w:rPr>
              <w:t>（1）</w:t>
            </w:r>
          </w:p>
        </w:tc>
        <w:tc>
          <w:tcPr>
            <w:tcW w:w="2278" w:type="dxa"/>
            <w:noWrap w:val="0"/>
            <w:vAlign w:val="center"/>
          </w:tcPr>
          <w:p>
            <w:pPr>
              <w:pStyle w:val="6"/>
              <w:spacing w:line="360" w:lineRule="auto"/>
              <w:jc w:val="center"/>
              <w:rPr>
                <w:rFonts w:hAnsi="宋体"/>
                <w:color w:val="auto"/>
                <w:szCs w:val="21"/>
                <w:highlight w:val="none"/>
                <w:shd w:val="clear" w:color="auto" w:fill="auto"/>
              </w:rPr>
            </w:pPr>
            <w:r>
              <w:rPr>
                <w:rFonts w:hint="eastAsia" w:hAnsi="宋体"/>
                <w:color w:val="auto"/>
                <w:szCs w:val="21"/>
                <w:highlight w:val="none"/>
                <w:shd w:val="clear" w:color="auto" w:fill="auto"/>
              </w:rPr>
              <w:t>H（万元）</w:t>
            </w:r>
          </w:p>
        </w:tc>
        <w:tc>
          <w:tcPr>
            <w:tcW w:w="1559" w:type="dxa"/>
            <w:noWrap w:val="0"/>
            <w:vAlign w:val="center"/>
          </w:tcPr>
          <w:p>
            <w:pPr>
              <w:pStyle w:val="6"/>
              <w:spacing w:line="360" w:lineRule="auto"/>
              <w:jc w:val="center"/>
              <w:rPr>
                <w:rFonts w:hAnsi="宋体"/>
                <w:color w:val="auto"/>
                <w:szCs w:val="21"/>
                <w:highlight w:val="none"/>
                <w:shd w:val="clear" w:color="auto" w:fill="auto"/>
              </w:rPr>
            </w:pPr>
            <w:r>
              <w:rPr>
                <w:rFonts w:hint="eastAsia" w:hAnsi="宋体"/>
                <w:color w:val="auto"/>
                <w:szCs w:val="21"/>
                <w:highlight w:val="none"/>
                <w:shd w:val="clear" w:color="auto" w:fill="auto"/>
              </w:rPr>
              <w:t>1</w:t>
            </w:r>
          </w:p>
        </w:tc>
        <w:tc>
          <w:tcPr>
            <w:tcW w:w="1417" w:type="dxa"/>
            <w:noWrap w:val="0"/>
            <w:vAlign w:val="center"/>
          </w:tcPr>
          <w:p>
            <w:pPr>
              <w:pStyle w:val="6"/>
              <w:spacing w:line="360" w:lineRule="auto"/>
              <w:jc w:val="center"/>
              <w:rPr>
                <w:rFonts w:hAnsi="宋体"/>
                <w:color w:val="auto"/>
                <w:szCs w:val="21"/>
                <w:highlight w:val="none"/>
                <w:shd w:val="clear" w:color="auto" w:fill="auto"/>
              </w:rPr>
            </w:pPr>
            <w:r>
              <w:rPr>
                <w:rFonts w:hint="eastAsia" w:hAnsi="宋体"/>
                <w:color w:val="auto"/>
                <w:szCs w:val="21"/>
                <w:highlight w:val="none"/>
                <w:shd w:val="clear" w:color="auto" w:fill="auto"/>
              </w:rPr>
              <w:t>2</w:t>
            </w:r>
          </w:p>
        </w:tc>
        <w:tc>
          <w:tcPr>
            <w:tcW w:w="1560" w:type="dxa"/>
            <w:noWrap w:val="0"/>
            <w:vAlign w:val="center"/>
          </w:tcPr>
          <w:p>
            <w:pPr>
              <w:pStyle w:val="6"/>
              <w:spacing w:line="360" w:lineRule="auto"/>
              <w:jc w:val="center"/>
              <w:rPr>
                <w:rFonts w:hAnsi="宋体"/>
                <w:color w:val="auto"/>
                <w:szCs w:val="21"/>
                <w:highlight w:val="none"/>
                <w:shd w:val="clear" w:color="auto" w:fill="auto"/>
              </w:rPr>
            </w:pPr>
            <w:r>
              <w:rPr>
                <w:rFonts w:hint="eastAsia" w:hAnsi="宋体"/>
                <w:color w:val="auto"/>
                <w:szCs w:val="21"/>
                <w:highlight w:val="none"/>
                <w:shd w:val="clear" w:color="auto" w:fill="auto"/>
              </w:rPr>
              <w:t>3</w:t>
            </w:r>
          </w:p>
        </w:tc>
        <w:tc>
          <w:tcPr>
            <w:tcW w:w="1092" w:type="dxa"/>
            <w:noWrap w:val="0"/>
            <w:vAlign w:val="center"/>
          </w:tcPr>
          <w:p>
            <w:pPr>
              <w:pStyle w:val="6"/>
              <w:spacing w:line="360" w:lineRule="auto"/>
              <w:jc w:val="center"/>
              <w:rPr>
                <w:rFonts w:hAnsi="宋体"/>
                <w:color w:val="auto"/>
                <w:szCs w:val="21"/>
                <w:highlight w:val="none"/>
                <w:shd w:val="clear" w:color="auto" w:fill="auto"/>
              </w:rPr>
            </w:pPr>
            <w:r>
              <w:rPr>
                <w:rFonts w:hint="eastAsia" w:hAnsi="宋体"/>
                <w:color w:val="auto"/>
                <w:szCs w:val="21"/>
                <w:highlight w:val="none"/>
                <w:shd w:val="clear" w:color="auto" w:fill="auto"/>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803" w:type="dxa"/>
            <w:noWrap w:val="0"/>
            <w:vAlign w:val="center"/>
          </w:tcPr>
          <w:p>
            <w:pPr>
              <w:pStyle w:val="6"/>
              <w:spacing w:line="360" w:lineRule="auto"/>
              <w:rPr>
                <w:rFonts w:hAnsi="宋体"/>
                <w:color w:val="auto"/>
                <w:szCs w:val="21"/>
                <w:highlight w:val="none"/>
                <w:shd w:val="clear" w:color="auto" w:fill="auto"/>
              </w:rPr>
            </w:pPr>
            <w:r>
              <w:rPr>
                <w:rFonts w:hint="eastAsia" w:hAnsi="宋体"/>
                <w:color w:val="auto"/>
                <w:szCs w:val="21"/>
                <w:highlight w:val="none"/>
                <w:shd w:val="clear" w:color="auto" w:fill="auto"/>
              </w:rPr>
              <w:t>（2）</w:t>
            </w:r>
          </w:p>
        </w:tc>
        <w:tc>
          <w:tcPr>
            <w:tcW w:w="2278" w:type="dxa"/>
            <w:noWrap w:val="0"/>
            <w:vAlign w:val="center"/>
          </w:tcPr>
          <w:p>
            <w:pPr>
              <w:pStyle w:val="6"/>
              <w:spacing w:line="360" w:lineRule="auto"/>
              <w:jc w:val="center"/>
              <w:rPr>
                <w:rFonts w:hAnsi="宋体"/>
                <w:color w:val="auto"/>
                <w:szCs w:val="21"/>
                <w:highlight w:val="none"/>
                <w:shd w:val="clear" w:color="auto" w:fill="auto"/>
              </w:rPr>
            </w:pPr>
            <w:r>
              <w:rPr>
                <w:rFonts w:hint="eastAsia" w:hAnsi="宋体"/>
                <w:color w:val="auto"/>
                <w:szCs w:val="21"/>
                <w:highlight w:val="none"/>
                <w:shd w:val="clear" w:color="auto" w:fill="auto"/>
              </w:rPr>
              <w:t>H为B的（%）</w:t>
            </w:r>
          </w:p>
        </w:tc>
        <w:tc>
          <w:tcPr>
            <w:tcW w:w="1559" w:type="dxa"/>
            <w:noWrap w:val="0"/>
            <w:vAlign w:val="center"/>
          </w:tcPr>
          <w:p>
            <w:pPr>
              <w:pStyle w:val="6"/>
              <w:spacing w:line="360" w:lineRule="auto"/>
              <w:jc w:val="center"/>
              <w:rPr>
                <w:rFonts w:hAnsi="宋体"/>
                <w:color w:val="auto"/>
                <w:szCs w:val="21"/>
                <w:highlight w:val="none"/>
                <w:shd w:val="clear" w:color="auto" w:fill="auto"/>
              </w:rPr>
            </w:pPr>
            <w:r>
              <w:rPr>
                <w:rFonts w:hint="eastAsia" w:hAnsi="宋体"/>
                <w:color w:val="auto"/>
                <w:szCs w:val="21"/>
                <w:highlight w:val="none"/>
                <w:shd w:val="clear" w:color="auto" w:fill="auto"/>
              </w:rPr>
              <w:t>5～10</w:t>
            </w:r>
          </w:p>
        </w:tc>
        <w:tc>
          <w:tcPr>
            <w:tcW w:w="1417" w:type="dxa"/>
            <w:noWrap w:val="0"/>
            <w:vAlign w:val="center"/>
          </w:tcPr>
          <w:p>
            <w:pPr>
              <w:pStyle w:val="6"/>
              <w:spacing w:line="360" w:lineRule="auto"/>
              <w:jc w:val="center"/>
              <w:rPr>
                <w:rFonts w:hAnsi="宋体"/>
                <w:color w:val="auto"/>
                <w:szCs w:val="21"/>
                <w:highlight w:val="none"/>
                <w:shd w:val="clear" w:color="auto" w:fill="auto"/>
              </w:rPr>
            </w:pPr>
            <w:r>
              <w:rPr>
                <w:rFonts w:hint="eastAsia" w:hAnsi="宋体"/>
                <w:color w:val="auto"/>
                <w:szCs w:val="21"/>
                <w:highlight w:val="none"/>
                <w:shd w:val="clear" w:color="auto" w:fill="auto"/>
              </w:rPr>
              <w:t>5～10</w:t>
            </w:r>
          </w:p>
        </w:tc>
        <w:tc>
          <w:tcPr>
            <w:tcW w:w="1560" w:type="dxa"/>
            <w:noWrap w:val="0"/>
            <w:vAlign w:val="center"/>
          </w:tcPr>
          <w:p>
            <w:pPr>
              <w:pStyle w:val="6"/>
              <w:spacing w:line="360" w:lineRule="auto"/>
              <w:jc w:val="center"/>
              <w:rPr>
                <w:rFonts w:hAnsi="宋体"/>
                <w:color w:val="auto"/>
                <w:szCs w:val="21"/>
                <w:highlight w:val="none"/>
                <w:shd w:val="clear" w:color="auto" w:fill="auto"/>
              </w:rPr>
            </w:pPr>
            <w:r>
              <w:rPr>
                <w:rFonts w:hint="eastAsia" w:hAnsi="宋体"/>
                <w:color w:val="auto"/>
                <w:szCs w:val="21"/>
                <w:highlight w:val="none"/>
                <w:shd w:val="clear" w:color="auto" w:fill="auto"/>
              </w:rPr>
              <w:t>5～10</w:t>
            </w:r>
          </w:p>
        </w:tc>
        <w:tc>
          <w:tcPr>
            <w:tcW w:w="1092" w:type="dxa"/>
            <w:noWrap w:val="0"/>
            <w:vAlign w:val="center"/>
          </w:tcPr>
          <w:p>
            <w:pPr>
              <w:pStyle w:val="6"/>
              <w:spacing w:line="360" w:lineRule="auto"/>
              <w:jc w:val="center"/>
              <w:rPr>
                <w:rFonts w:hAnsi="宋体"/>
                <w:color w:val="auto"/>
                <w:szCs w:val="21"/>
                <w:highlight w:val="none"/>
                <w:shd w:val="clear" w:color="auto" w:fill="auto"/>
              </w:rPr>
            </w:pPr>
            <w:r>
              <w:rPr>
                <w:rFonts w:hint="eastAsia" w:hAnsi="宋体"/>
                <w:color w:val="auto"/>
                <w:szCs w:val="21"/>
                <w:highlight w:val="none"/>
                <w:shd w:val="clear" w:color="auto" w:fill="auto"/>
              </w:rPr>
              <w:t>5～10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803" w:type="dxa"/>
            <w:noWrap w:val="0"/>
            <w:vAlign w:val="center"/>
          </w:tcPr>
          <w:p>
            <w:pPr>
              <w:pStyle w:val="6"/>
              <w:spacing w:line="360" w:lineRule="auto"/>
              <w:rPr>
                <w:rFonts w:hAnsi="宋体"/>
                <w:color w:val="auto"/>
                <w:szCs w:val="21"/>
                <w:highlight w:val="none"/>
                <w:shd w:val="clear" w:color="auto" w:fill="auto"/>
              </w:rPr>
            </w:pPr>
            <w:r>
              <w:rPr>
                <w:rFonts w:hint="eastAsia" w:hAnsi="宋体"/>
                <w:color w:val="auto"/>
                <w:szCs w:val="21"/>
                <w:highlight w:val="none"/>
                <w:shd w:val="clear" w:color="auto" w:fill="auto"/>
              </w:rPr>
              <w:t>（3）</w:t>
            </w:r>
          </w:p>
        </w:tc>
        <w:tc>
          <w:tcPr>
            <w:tcW w:w="2278" w:type="dxa"/>
            <w:noWrap w:val="0"/>
            <w:vAlign w:val="center"/>
          </w:tcPr>
          <w:p>
            <w:pPr>
              <w:pStyle w:val="6"/>
              <w:spacing w:line="360" w:lineRule="auto"/>
              <w:jc w:val="center"/>
              <w:rPr>
                <w:rFonts w:hAnsi="宋体"/>
                <w:color w:val="auto"/>
                <w:szCs w:val="21"/>
                <w:highlight w:val="none"/>
                <w:shd w:val="clear" w:color="auto" w:fill="auto"/>
              </w:rPr>
            </w:pPr>
            <w:r>
              <w:rPr>
                <w:rFonts w:hint="eastAsia" w:hAnsi="宋体"/>
                <w:color w:val="auto"/>
                <w:szCs w:val="21"/>
                <w:highlight w:val="none"/>
                <w:shd w:val="clear" w:color="auto" w:fill="auto"/>
              </w:rPr>
              <w:t>H</w:t>
            </w:r>
          </w:p>
        </w:tc>
        <w:tc>
          <w:tcPr>
            <w:tcW w:w="1559" w:type="dxa"/>
            <w:noWrap w:val="0"/>
            <w:vAlign w:val="center"/>
          </w:tcPr>
          <w:p>
            <w:pPr>
              <w:pStyle w:val="6"/>
              <w:spacing w:line="360" w:lineRule="auto"/>
              <w:jc w:val="center"/>
              <w:rPr>
                <w:rFonts w:hAnsi="宋体"/>
                <w:color w:val="auto"/>
                <w:szCs w:val="21"/>
                <w:highlight w:val="none"/>
                <w:shd w:val="clear" w:color="auto" w:fill="auto"/>
              </w:rPr>
            </w:pPr>
            <w:r>
              <w:rPr>
                <w:rFonts w:hint="eastAsia" w:hAnsi="宋体"/>
                <w:color w:val="auto"/>
                <w:szCs w:val="21"/>
                <w:highlight w:val="none"/>
                <w:shd w:val="clear" w:color="auto" w:fill="auto"/>
              </w:rPr>
              <w:t>0</w:t>
            </w:r>
          </w:p>
        </w:tc>
        <w:tc>
          <w:tcPr>
            <w:tcW w:w="1417" w:type="dxa"/>
            <w:noWrap w:val="0"/>
            <w:vAlign w:val="center"/>
          </w:tcPr>
          <w:p>
            <w:pPr>
              <w:pStyle w:val="6"/>
              <w:spacing w:line="360" w:lineRule="auto"/>
              <w:jc w:val="center"/>
              <w:rPr>
                <w:rFonts w:hAnsi="宋体"/>
                <w:color w:val="auto"/>
                <w:szCs w:val="21"/>
                <w:highlight w:val="none"/>
                <w:shd w:val="clear" w:color="auto" w:fill="auto"/>
              </w:rPr>
            </w:pPr>
            <w:r>
              <w:rPr>
                <w:rFonts w:hint="eastAsia" w:hAnsi="宋体"/>
                <w:color w:val="auto"/>
                <w:szCs w:val="21"/>
                <w:highlight w:val="none"/>
                <w:shd w:val="clear" w:color="auto" w:fill="auto"/>
              </w:rPr>
              <w:t>0</w:t>
            </w:r>
          </w:p>
        </w:tc>
        <w:tc>
          <w:tcPr>
            <w:tcW w:w="1560" w:type="dxa"/>
            <w:noWrap w:val="0"/>
            <w:vAlign w:val="center"/>
          </w:tcPr>
          <w:p>
            <w:pPr>
              <w:pStyle w:val="6"/>
              <w:spacing w:line="360" w:lineRule="auto"/>
              <w:jc w:val="center"/>
              <w:rPr>
                <w:rFonts w:hAnsi="宋体"/>
                <w:color w:val="auto"/>
                <w:szCs w:val="21"/>
                <w:highlight w:val="none"/>
                <w:shd w:val="clear" w:color="auto" w:fill="auto"/>
              </w:rPr>
            </w:pPr>
            <w:r>
              <w:rPr>
                <w:rFonts w:hint="eastAsia" w:hAnsi="宋体"/>
                <w:color w:val="auto"/>
                <w:szCs w:val="21"/>
                <w:highlight w:val="none"/>
                <w:shd w:val="clear" w:color="auto" w:fill="auto"/>
              </w:rPr>
              <w:t>0</w:t>
            </w:r>
          </w:p>
        </w:tc>
        <w:tc>
          <w:tcPr>
            <w:tcW w:w="1092" w:type="dxa"/>
            <w:noWrap w:val="0"/>
            <w:vAlign w:val="center"/>
          </w:tcPr>
          <w:p>
            <w:pPr>
              <w:pStyle w:val="6"/>
              <w:spacing w:line="360" w:lineRule="auto"/>
              <w:jc w:val="center"/>
              <w:rPr>
                <w:rFonts w:hAnsi="宋体"/>
                <w:color w:val="auto"/>
                <w:szCs w:val="21"/>
                <w:highlight w:val="none"/>
                <w:shd w:val="clear" w:color="auto" w:fill="auto"/>
              </w:rPr>
            </w:pPr>
            <w:r>
              <w:rPr>
                <w:rFonts w:hint="eastAsia" w:hAnsi="宋体"/>
                <w:color w:val="auto"/>
                <w:szCs w:val="21"/>
                <w:highlight w:val="none"/>
                <w:shd w:val="clear" w:color="auto" w:fill="auto"/>
              </w:rPr>
              <w:t>0</w:t>
            </w:r>
          </w:p>
        </w:tc>
      </w:tr>
    </w:tbl>
    <w:p>
      <w:pPr>
        <w:pStyle w:val="5"/>
        <w:spacing w:after="0" w:line="360" w:lineRule="auto"/>
        <w:ind w:left="0" w:leftChars="0" w:firstLine="420" w:firstLineChars="200"/>
        <w:rPr>
          <w:rFonts w:ascii="宋体" w:hAnsi="宋体"/>
          <w:color w:val="auto"/>
          <w:szCs w:val="21"/>
          <w:highlight w:val="none"/>
          <w:shd w:val="clear" w:color="auto" w:fill="auto"/>
        </w:rPr>
      </w:pPr>
      <w:r>
        <w:rPr>
          <w:rFonts w:hint="eastAsia" w:ascii="宋体" w:hAnsi="宋体"/>
          <w:color w:val="auto"/>
          <w:szCs w:val="21"/>
          <w:highlight w:val="none"/>
          <w:shd w:val="clear" w:color="auto" w:fill="auto"/>
        </w:rPr>
        <w:t>注：多个单项工程时，按每单项单独计算。对于单项工程的取消，该单项价款即行核减。</w:t>
      </w:r>
    </w:p>
    <w:p>
      <w:pPr>
        <w:pStyle w:val="6"/>
        <w:spacing w:line="360" w:lineRule="auto"/>
        <w:ind w:firstLine="420" w:firstLineChars="200"/>
        <w:rPr>
          <w:rFonts w:hint="eastAsia" w:hAnsi="宋体" w:eastAsia="宋体"/>
          <w:color w:val="auto"/>
          <w:highlight w:val="none"/>
          <w:shd w:val="clear" w:color="auto" w:fill="auto"/>
          <w:lang w:val="en-US" w:eastAsia="zh-CN"/>
        </w:rPr>
      </w:pPr>
      <w:r>
        <w:rPr>
          <w:rFonts w:hint="eastAsia" w:ascii="宋体" w:hAnsi="宋体"/>
          <w:color w:val="auto"/>
          <w:szCs w:val="21"/>
          <w:highlight w:val="none"/>
          <w:shd w:val="clear" w:color="auto" w:fill="auto"/>
        </w:rPr>
        <w:t>（b）【</w:t>
      </w:r>
      <w:r>
        <w:rPr>
          <w:rFonts w:hint="eastAsia" w:ascii="宋体" w:hAnsi="宋体"/>
          <w:color w:val="auto"/>
          <w:szCs w:val="21"/>
          <w:highlight w:val="none"/>
          <w:u w:val="single"/>
          <w:shd w:val="clear" w:color="auto" w:fill="auto"/>
        </w:rPr>
        <w:t xml:space="preserve">  </w:t>
      </w:r>
      <w:r>
        <w:rPr>
          <w:rFonts w:hint="eastAsia" w:ascii="宋体" w:hAnsi="宋体"/>
          <w:color w:val="auto"/>
          <w:szCs w:val="21"/>
          <w:highlight w:val="none"/>
          <w:u w:val="single"/>
          <w:shd w:val="clear" w:color="auto" w:fill="auto"/>
          <w:lang w:val="en-US" w:eastAsia="zh-CN"/>
        </w:rPr>
        <w:t>/</w:t>
      </w:r>
      <w:r>
        <w:rPr>
          <w:rFonts w:hint="eastAsia" w:ascii="宋体" w:hAnsi="宋体"/>
          <w:color w:val="auto"/>
          <w:szCs w:val="21"/>
          <w:highlight w:val="none"/>
          <w:u w:val="single"/>
          <w:shd w:val="clear" w:color="auto" w:fill="auto"/>
        </w:rPr>
        <w:t xml:space="preserve">  </w:t>
      </w:r>
      <w:r>
        <w:rPr>
          <w:rFonts w:hint="eastAsia" w:ascii="宋体" w:hAnsi="宋体"/>
          <w:color w:val="auto"/>
          <w:szCs w:val="21"/>
          <w:highlight w:val="none"/>
          <w:shd w:val="clear" w:color="auto" w:fill="auto"/>
        </w:rPr>
        <w:t>】按实际完成的工程量，以</w:t>
      </w:r>
      <w:r>
        <w:rPr>
          <w:rFonts w:hint="eastAsia" w:hAnsi="宋体"/>
          <w:color w:val="auto"/>
          <w:szCs w:val="21"/>
          <w:highlight w:val="none"/>
          <w:shd w:val="clear" w:color="auto" w:fill="auto"/>
          <w:lang w:val="en-US" w:eastAsia="zh-CN"/>
        </w:rPr>
        <w:t>招标文件</w:t>
      </w:r>
      <w:r>
        <w:rPr>
          <w:rFonts w:hint="eastAsia" w:hAnsi="宋体"/>
          <w:color w:val="auto"/>
          <w:highlight w:val="none"/>
          <w:shd w:val="clear" w:color="auto" w:fill="auto"/>
        </w:rPr>
        <w:t>3.2.3.2投标报价</w:t>
      </w:r>
      <w:r>
        <w:rPr>
          <w:rFonts w:hint="eastAsia" w:hAnsi="宋体"/>
          <w:color w:val="auto"/>
          <w:highlight w:val="none"/>
          <w:shd w:val="clear" w:color="auto" w:fill="auto"/>
          <w:lang w:val="en-US" w:eastAsia="zh-CN"/>
        </w:rPr>
        <w:t>原则</w:t>
      </w:r>
      <w:r>
        <w:rPr>
          <w:rFonts w:hint="eastAsia" w:ascii="宋体" w:hAnsi="宋体" w:cs="宋体"/>
          <w:color w:val="auto"/>
          <w:kern w:val="2"/>
          <w:highlight w:val="none"/>
          <w:shd w:val="clear" w:color="auto" w:fill="auto"/>
        </w:rPr>
        <w:t>进行结算</w:t>
      </w:r>
      <w:r>
        <w:rPr>
          <w:rFonts w:hint="eastAsia" w:hAnsi="宋体" w:cs="宋体"/>
          <w:color w:val="auto"/>
          <w:kern w:val="2"/>
          <w:highlight w:val="none"/>
          <w:shd w:val="clear" w:color="auto" w:fill="auto"/>
          <w:lang w:eastAsia="zh-CN"/>
        </w:rPr>
        <w:t>。</w:t>
      </w:r>
    </w:p>
    <w:p>
      <w:pPr>
        <w:pStyle w:val="5"/>
        <w:spacing w:after="0" w:line="360" w:lineRule="auto"/>
        <w:ind w:left="0" w:leftChars="0" w:firstLine="420" w:firstLineChars="200"/>
        <w:rPr>
          <w:rFonts w:ascii="宋体" w:hAnsi="宋体"/>
          <w:color w:val="auto"/>
          <w:szCs w:val="21"/>
          <w:highlight w:val="none"/>
          <w:shd w:val="clear" w:color="auto" w:fill="auto"/>
        </w:rPr>
      </w:pPr>
      <w:r>
        <w:rPr>
          <w:rFonts w:hint="eastAsia" w:ascii="宋体" w:hAnsi="宋体"/>
          <w:color w:val="auto"/>
          <w:szCs w:val="21"/>
          <w:highlight w:val="none"/>
          <w:shd w:val="clear" w:color="auto" w:fill="auto"/>
        </w:rPr>
        <w:t>（c）</w:t>
      </w:r>
      <w:r>
        <w:rPr>
          <w:rFonts w:ascii="宋体" w:hAnsi="宋体"/>
          <w:color w:val="auto"/>
          <w:szCs w:val="21"/>
          <w:highlight w:val="none"/>
          <w:shd w:val="clear" w:color="auto" w:fill="auto"/>
        </w:rPr>
        <w:t>设计变更管理执行</w:t>
      </w:r>
      <w:r>
        <w:rPr>
          <w:rFonts w:hint="eastAsia" w:ascii="宋体" w:hAnsi="宋体"/>
          <w:color w:val="auto"/>
          <w:szCs w:val="21"/>
          <w:highlight w:val="none"/>
          <w:shd w:val="clear" w:color="auto" w:fill="auto"/>
        </w:rPr>
        <w:t>中国南方电网有限责任公司基建工程设计管理规定</w:t>
      </w:r>
      <w:r>
        <w:rPr>
          <w:rFonts w:ascii="宋体" w:hAnsi="宋体"/>
          <w:color w:val="auto"/>
          <w:szCs w:val="21"/>
          <w:highlight w:val="none"/>
          <w:shd w:val="clear" w:color="auto" w:fill="auto"/>
        </w:rPr>
        <w:t>。</w:t>
      </w:r>
    </w:p>
    <w:p>
      <w:pPr>
        <w:pStyle w:val="5"/>
        <w:spacing w:after="0" w:line="360" w:lineRule="auto"/>
        <w:ind w:left="0" w:leftChars="0" w:firstLine="420" w:firstLineChars="200"/>
        <w:rPr>
          <w:rFonts w:ascii="宋体" w:hAnsi="宋体"/>
          <w:color w:val="auto"/>
          <w:szCs w:val="21"/>
          <w:highlight w:val="none"/>
          <w:shd w:val="clear" w:color="auto" w:fill="auto"/>
        </w:rPr>
      </w:pPr>
      <w:r>
        <w:rPr>
          <w:rFonts w:ascii="宋体" w:hAnsi="宋体"/>
          <w:color w:val="auto"/>
          <w:szCs w:val="21"/>
          <w:highlight w:val="none"/>
          <w:shd w:val="clear" w:color="auto" w:fill="auto"/>
        </w:rPr>
        <w:t>一项工程变更工程量变化金额在</w:t>
      </w:r>
      <w:r>
        <w:rPr>
          <w:rFonts w:hint="eastAsia" w:ascii="宋体" w:hAnsi="宋体"/>
          <w:color w:val="auto"/>
          <w:szCs w:val="21"/>
          <w:highlight w:val="none"/>
          <w:shd w:val="clear" w:color="auto" w:fill="auto"/>
        </w:rPr>
        <w:t>H</w:t>
      </w:r>
      <w:r>
        <w:rPr>
          <w:rFonts w:ascii="宋体" w:hAnsi="宋体"/>
          <w:color w:val="auto"/>
          <w:szCs w:val="21"/>
          <w:highlight w:val="none"/>
          <w:shd w:val="clear" w:color="auto" w:fill="auto"/>
        </w:rPr>
        <w:t>万元以下</w:t>
      </w:r>
      <w:r>
        <w:rPr>
          <w:rFonts w:hint="eastAsia" w:ascii="宋体" w:hAnsi="宋体"/>
          <w:color w:val="auto"/>
          <w:szCs w:val="21"/>
          <w:highlight w:val="none"/>
          <w:shd w:val="clear" w:color="auto" w:fill="auto"/>
        </w:rPr>
        <w:t>的</w:t>
      </w:r>
      <w:r>
        <w:rPr>
          <w:rFonts w:ascii="宋体" w:hAnsi="宋体"/>
          <w:color w:val="auto"/>
          <w:szCs w:val="21"/>
          <w:highlight w:val="none"/>
          <w:shd w:val="clear" w:color="auto" w:fill="auto"/>
        </w:rPr>
        <w:t>，在工程竣工结算时，而作的成本记录计算仅作为考核设计质量之用，不调整合同价款。</w:t>
      </w:r>
    </w:p>
    <w:p>
      <w:pPr>
        <w:pStyle w:val="5"/>
        <w:spacing w:after="0" w:line="360" w:lineRule="auto"/>
        <w:ind w:left="0" w:leftChars="0" w:firstLine="420" w:firstLineChars="200"/>
        <w:rPr>
          <w:rFonts w:ascii="宋体" w:hAnsi="宋体"/>
          <w:color w:val="auto"/>
          <w:szCs w:val="21"/>
          <w:highlight w:val="none"/>
          <w:shd w:val="clear" w:color="auto" w:fill="auto"/>
        </w:rPr>
      </w:pPr>
      <w:r>
        <w:rPr>
          <w:rFonts w:hint="eastAsia" w:ascii="宋体" w:hAnsi="宋体"/>
          <w:color w:val="auto"/>
          <w:szCs w:val="21"/>
          <w:highlight w:val="none"/>
          <w:shd w:val="clear" w:color="auto" w:fill="auto"/>
        </w:rPr>
        <w:t>（d）本合同中，因建设需要取消的单项工程，按中标合同价款中的相应费用减少合同价款。</w:t>
      </w:r>
    </w:p>
    <w:p>
      <w:pPr>
        <w:pStyle w:val="5"/>
        <w:spacing w:after="0" w:line="360" w:lineRule="auto"/>
        <w:ind w:left="0" w:leftChars="0" w:firstLine="420" w:firstLineChars="200"/>
        <w:rPr>
          <w:rFonts w:ascii="宋体" w:hAnsi="宋体"/>
          <w:color w:val="auto"/>
          <w:szCs w:val="21"/>
          <w:highlight w:val="none"/>
          <w:u w:val="single"/>
          <w:shd w:val="clear" w:color="auto" w:fill="auto"/>
        </w:rPr>
      </w:pPr>
      <w:r>
        <w:rPr>
          <w:rFonts w:hint="eastAsia" w:ascii="宋体" w:hAnsi="宋体"/>
          <w:color w:val="auto"/>
          <w:szCs w:val="21"/>
          <w:highlight w:val="none"/>
          <w:shd w:val="clear" w:color="auto" w:fill="auto"/>
        </w:rPr>
        <w:t>（e）其他：</w:t>
      </w:r>
      <w:r>
        <w:rPr>
          <w:rFonts w:hint="eastAsia" w:ascii="宋体" w:hAnsi="宋体"/>
          <w:color w:val="auto"/>
          <w:szCs w:val="21"/>
          <w:highlight w:val="none"/>
          <w:u w:val="single"/>
          <w:shd w:val="clear" w:color="auto" w:fill="auto"/>
        </w:rPr>
        <w:t xml:space="preserve">    </w:t>
      </w:r>
      <w:r>
        <w:rPr>
          <w:rFonts w:hint="eastAsia" w:ascii="宋体" w:hAnsi="宋体"/>
          <w:color w:val="auto"/>
          <w:szCs w:val="21"/>
          <w:highlight w:val="none"/>
          <w:u w:val="single"/>
          <w:shd w:val="clear" w:color="auto" w:fill="auto"/>
          <w:lang w:val="en-US" w:eastAsia="zh-CN"/>
        </w:rPr>
        <w:t>/</w:t>
      </w:r>
      <w:r>
        <w:rPr>
          <w:rFonts w:hint="eastAsia" w:ascii="宋体" w:hAnsi="宋体"/>
          <w:color w:val="auto"/>
          <w:szCs w:val="21"/>
          <w:highlight w:val="none"/>
          <w:u w:val="single"/>
          <w:shd w:val="clear" w:color="auto" w:fill="auto"/>
        </w:rPr>
        <w:t xml:space="preserve">     。</w:t>
      </w:r>
    </w:p>
    <w:p>
      <w:pPr>
        <w:pStyle w:val="5"/>
        <w:spacing w:after="0" w:line="360" w:lineRule="auto"/>
        <w:ind w:left="0" w:leftChars="0" w:firstLine="420" w:firstLineChars="200"/>
        <w:rPr>
          <w:rFonts w:hint="eastAsia" w:ascii="宋体" w:hAnsi="宋体" w:cs="TimesNewRomanPSMT"/>
          <w:color w:val="auto"/>
          <w:kern w:val="0"/>
          <w:szCs w:val="21"/>
          <w:highlight w:val="none"/>
          <w:shd w:val="clear" w:color="auto" w:fill="auto"/>
        </w:rPr>
      </w:pPr>
      <w:r>
        <w:rPr>
          <w:rFonts w:hint="eastAsia" w:ascii="宋体" w:hAnsi="宋体"/>
          <w:color w:val="auto"/>
          <w:szCs w:val="21"/>
          <w:highlight w:val="none"/>
          <w:shd w:val="clear" w:color="auto" w:fill="auto"/>
        </w:rPr>
        <w:t>13.</w:t>
      </w:r>
      <w:r>
        <w:rPr>
          <w:rFonts w:ascii="宋体" w:hAnsi="宋体"/>
          <w:color w:val="auto"/>
          <w:szCs w:val="21"/>
          <w:highlight w:val="none"/>
          <w:shd w:val="clear" w:color="auto" w:fill="auto"/>
        </w:rPr>
        <w:t xml:space="preserve">9 </w:t>
      </w:r>
      <w:r>
        <w:rPr>
          <w:rFonts w:hint="eastAsia" w:ascii="宋体" w:hAnsi="宋体" w:cs="TimesNewRomanPSMT"/>
          <w:color w:val="auto"/>
          <w:kern w:val="0"/>
          <w:szCs w:val="21"/>
          <w:highlight w:val="none"/>
          <w:shd w:val="clear" w:color="auto" w:fill="auto"/>
        </w:rPr>
        <w:t>物价波动引起的价格调整</w:t>
      </w:r>
    </w:p>
    <w:p>
      <w:pPr>
        <w:pStyle w:val="5"/>
        <w:spacing w:after="0" w:line="360" w:lineRule="auto"/>
        <w:ind w:left="0" w:leftChars="0" w:firstLine="422" w:firstLineChars="200"/>
        <w:rPr>
          <w:rFonts w:hint="eastAsia" w:ascii="宋体" w:hAnsi="宋体" w:cs="TimesNewRomanPSMT"/>
          <w:b/>
          <w:bCs/>
          <w:color w:val="auto"/>
          <w:kern w:val="0"/>
          <w:szCs w:val="21"/>
          <w:highlight w:val="none"/>
          <w:shd w:val="clear" w:color="auto" w:fill="auto"/>
        </w:rPr>
      </w:pPr>
      <w:r>
        <w:rPr>
          <w:rFonts w:hint="eastAsia" w:ascii="宋体" w:hAnsi="宋体"/>
          <w:b/>
          <w:bCs/>
          <w:color w:val="auto"/>
          <w:szCs w:val="21"/>
          <w:highlight w:val="none"/>
          <w:shd w:val="clear" w:color="auto" w:fill="auto"/>
          <w:lang w:eastAsia="zh-CN"/>
        </w:rPr>
        <w:t>替换</w:t>
      </w:r>
      <w:r>
        <w:rPr>
          <w:rFonts w:hint="eastAsia" w:ascii="宋体" w:hAnsi="宋体"/>
          <w:b/>
          <w:bCs/>
          <w:color w:val="auto"/>
          <w:szCs w:val="21"/>
          <w:highlight w:val="none"/>
          <w:shd w:val="clear" w:color="auto" w:fill="auto"/>
        </w:rPr>
        <w:t>以下内容到第1</w:t>
      </w:r>
      <w:r>
        <w:rPr>
          <w:rFonts w:ascii="宋体" w:hAnsi="宋体"/>
          <w:b/>
          <w:bCs/>
          <w:color w:val="auto"/>
          <w:szCs w:val="21"/>
          <w:highlight w:val="none"/>
          <w:shd w:val="clear" w:color="auto" w:fill="auto"/>
        </w:rPr>
        <w:t>3.</w:t>
      </w:r>
      <w:r>
        <w:rPr>
          <w:rFonts w:hint="eastAsia" w:ascii="宋体" w:hAnsi="宋体"/>
          <w:b/>
          <w:bCs/>
          <w:color w:val="auto"/>
          <w:szCs w:val="21"/>
          <w:highlight w:val="none"/>
          <w:shd w:val="clear" w:color="auto" w:fill="auto"/>
          <w:lang w:val="en-US" w:eastAsia="zh-CN"/>
        </w:rPr>
        <w:t>9</w:t>
      </w:r>
      <w:r>
        <w:rPr>
          <w:rFonts w:hint="eastAsia" w:ascii="宋体" w:hAnsi="宋体"/>
          <w:b/>
          <w:bCs/>
          <w:color w:val="auto"/>
          <w:szCs w:val="21"/>
          <w:highlight w:val="none"/>
          <w:shd w:val="clear" w:color="auto" w:fill="auto"/>
        </w:rPr>
        <w:t>款：</w:t>
      </w:r>
    </w:p>
    <w:p>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13.9.1由于承包人原因造成延期的项目单价均不予调整。</w:t>
      </w:r>
    </w:p>
    <w:p>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13.9.2人工单价可调整的情况分为：</w:t>
      </w:r>
    </w:p>
    <w:p>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①开工时调整单价</w:t>
      </w:r>
    </w:p>
    <w:p>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实际开工日期S2-计划开工日期S1＞3个月时，在实际开工时调整。</w:t>
      </w:r>
    </w:p>
    <w:p>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②过程中调整单价</w:t>
      </w:r>
    </w:p>
    <w:p>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实际竣工日期F2-实际开工日期S2＞计划工期T1（天）,对超过计划工期的施工时间部分调整。</w:t>
      </w:r>
    </w:p>
    <w:p>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计划开工日期S1:是指招标文件中规定的计划开工日期。</w:t>
      </w:r>
    </w:p>
    <w:p>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实际开工日期S2:是指开工报告签署完毕的日期。</w:t>
      </w:r>
    </w:p>
    <w:p>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实际竣工日期F2:是指竣工报告签署完毕的日期。</w:t>
      </w:r>
    </w:p>
    <w:p>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计划工期T1:是指招标文件中规定计划工期。</w:t>
      </w:r>
    </w:p>
    <w:p>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13.9.3符合13.9.2条款时，人工单价调整方式执行以下第</w:t>
      </w:r>
      <w:r>
        <w:rPr>
          <w:rFonts w:hint="eastAsia" w:ascii="宋体"/>
          <w:b w:val="0"/>
          <w:bCs/>
          <w:color w:val="auto"/>
          <w:highlight w:val="none"/>
          <w:u w:val="single"/>
        </w:rPr>
        <w:t xml:space="preserve"> </w:t>
      </w:r>
      <w:r>
        <w:rPr>
          <w:rFonts w:hint="eastAsia" w:ascii="宋体"/>
          <w:b w:val="0"/>
          <w:color w:val="auto"/>
          <w:highlight w:val="none"/>
          <w:u w:val="single"/>
        </w:rPr>
        <w:t>（1）</w:t>
      </w:r>
      <w:r>
        <w:rPr>
          <w:rFonts w:hint="eastAsia" w:ascii="宋体"/>
          <w:b w:val="0"/>
          <w:bCs/>
          <w:color w:val="auto"/>
          <w:highlight w:val="none"/>
          <w:u w:val="single"/>
        </w:rPr>
        <w:t xml:space="preserve"> </w:t>
      </w:r>
      <w:r>
        <w:rPr>
          <w:rFonts w:hint="eastAsia" w:ascii="宋体"/>
          <w:b w:val="0"/>
          <w:bCs/>
          <w:color w:val="auto"/>
          <w:highlight w:val="none"/>
        </w:rPr>
        <w:t>条，调整时效按通用条款第20款。</w:t>
      </w:r>
    </w:p>
    <w:p>
      <w:pPr>
        <w:pStyle w:val="13"/>
        <w:numPr>
          <w:ilvl w:val="0"/>
          <w:numId w:val="4"/>
        </w:numPr>
        <w:spacing w:after="0"/>
        <w:ind w:left="0" w:leftChars="0" w:firstLine="420" w:firstLineChars="200"/>
        <w:rPr>
          <w:rFonts w:hint="eastAsia" w:ascii="宋体"/>
          <w:b w:val="0"/>
          <w:bCs/>
          <w:color w:val="auto"/>
          <w:highlight w:val="none"/>
        </w:rPr>
      </w:pPr>
      <w:r>
        <w:rPr>
          <w:rFonts w:hint="eastAsia" w:ascii="宋体"/>
          <w:b w:val="0"/>
          <w:bCs/>
          <w:color w:val="auto"/>
          <w:highlight w:val="none"/>
        </w:rPr>
        <w:t>人工单价发生变化且符合省级或行业建设主管部门发布的人工费调整规定，合同当事人应按省级或行业建设主管部门或其授权的工程造价管理机构发布的人工费等文件调整合同价格，但承包人对人工费或人工单价的报价高于发布价格的除外。调整时效按通用条款第20款。</w:t>
      </w:r>
    </w:p>
    <w:p>
      <w:pPr>
        <w:pStyle w:val="13"/>
        <w:numPr>
          <w:ilvl w:val="0"/>
          <w:numId w:val="0"/>
        </w:numPr>
        <w:spacing w:after="0"/>
        <w:ind w:leftChars="200"/>
        <w:rPr>
          <w:rFonts w:hint="eastAsia" w:ascii="宋体"/>
          <w:b w:val="0"/>
          <w:bCs/>
          <w:color w:val="auto"/>
          <w:highlight w:val="none"/>
        </w:rPr>
      </w:pPr>
      <w:r>
        <w:rPr>
          <w:rFonts w:hint="eastAsia" w:ascii="宋体"/>
          <w:b w:val="0"/>
          <w:bCs/>
          <w:color w:val="auto"/>
          <w:highlight w:val="none"/>
        </w:rPr>
        <w:t>如果停工超过</w:t>
      </w:r>
      <w:r>
        <w:rPr>
          <w:rFonts w:hint="eastAsia" w:ascii="宋体"/>
          <w:b w:val="0"/>
          <w:bCs/>
          <w:color w:val="auto"/>
          <w:highlight w:val="none"/>
          <w:u w:val="single"/>
        </w:rPr>
        <w:t xml:space="preserve">  半年  </w:t>
      </w:r>
      <w:r>
        <w:rPr>
          <w:rFonts w:hint="eastAsia" w:ascii="宋体"/>
          <w:b w:val="0"/>
          <w:bCs/>
          <w:color w:val="auto"/>
          <w:highlight w:val="none"/>
        </w:rPr>
        <w:t>以上的由甲乙双方另行协商。</w:t>
      </w:r>
    </w:p>
    <w:p>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w:t>
      </w:r>
      <w:r>
        <w:rPr>
          <w:rFonts w:hint="eastAsia" w:ascii="宋体"/>
          <w:b w:val="0"/>
          <w:bCs/>
          <w:color w:val="auto"/>
          <w:highlight w:val="none"/>
          <w:lang w:val="en-US" w:eastAsia="zh-CN"/>
        </w:rPr>
        <w:t>2</w:t>
      </w:r>
      <w:r>
        <w:rPr>
          <w:rFonts w:hint="eastAsia" w:ascii="宋体"/>
          <w:b w:val="0"/>
          <w:bCs/>
          <w:color w:val="auto"/>
          <w:highlight w:val="none"/>
        </w:rPr>
        <w:t xml:space="preserve">）不调整。 </w:t>
      </w:r>
    </w:p>
    <w:p>
      <w:pPr>
        <w:pStyle w:val="13"/>
        <w:spacing w:after="0"/>
        <w:ind w:left="0" w:leftChars="0" w:firstLine="420" w:firstLineChars="200"/>
        <w:rPr>
          <w:rFonts w:hint="eastAsia" w:ascii="宋体"/>
          <w:b w:val="0"/>
          <w:bCs/>
          <w:color w:val="auto"/>
          <w:highlight w:val="none"/>
          <w:u w:val="single"/>
        </w:rPr>
      </w:pPr>
      <w:r>
        <w:rPr>
          <w:rFonts w:hint="eastAsia" w:ascii="宋体"/>
          <w:b w:val="0"/>
          <w:bCs/>
          <w:color w:val="auto"/>
          <w:highlight w:val="none"/>
        </w:rPr>
        <w:t>（</w:t>
      </w:r>
      <w:r>
        <w:rPr>
          <w:rFonts w:hint="eastAsia" w:ascii="宋体"/>
          <w:b w:val="0"/>
          <w:bCs/>
          <w:color w:val="auto"/>
          <w:highlight w:val="none"/>
          <w:lang w:val="en-US" w:eastAsia="zh-CN"/>
        </w:rPr>
        <w:t>3</w:t>
      </w:r>
      <w:r>
        <w:rPr>
          <w:rFonts w:hint="eastAsia" w:ascii="宋体"/>
          <w:b w:val="0"/>
          <w:bCs/>
          <w:color w:val="auto"/>
          <w:highlight w:val="none"/>
        </w:rPr>
        <w:t>）其他：</w:t>
      </w:r>
      <w:r>
        <w:rPr>
          <w:rFonts w:hint="eastAsia" w:ascii="宋体"/>
          <w:b w:val="0"/>
          <w:bCs/>
          <w:color w:val="auto"/>
          <w:highlight w:val="none"/>
          <w:u w:val="single"/>
        </w:rPr>
        <w:t xml:space="preserve">    </w:t>
      </w:r>
      <w:r>
        <w:rPr>
          <w:rFonts w:hint="eastAsia" w:ascii="宋体"/>
          <w:b w:val="0"/>
          <w:bCs/>
          <w:color w:val="auto"/>
          <w:highlight w:val="none"/>
          <w:u w:val="single"/>
          <w:lang w:val="en-US" w:eastAsia="zh-CN"/>
        </w:rPr>
        <w:t>/</w:t>
      </w:r>
      <w:r>
        <w:rPr>
          <w:rFonts w:hint="eastAsia" w:ascii="宋体"/>
          <w:b w:val="0"/>
          <w:bCs/>
          <w:color w:val="auto"/>
          <w:highlight w:val="none"/>
          <w:u w:val="single"/>
        </w:rPr>
        <w:t xml:space="preserve">      </w:t>
      </w:r>
    </w:p>
    <w:p>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13.9.4 主要材料单价调整方式执行以下第</w:t>
      </w:r>
      <w:r>
        <w:rPr>
          <w:rFonts w:hint="eastAsia" w:ascii="宋体"/>
          <w:b w:val="0"/>
          <w:bCs/>
          <w:color w:val="auto"/>
          <w:highlight w:val="none"/>
          <w:u w:val="single"/>
        </w:rPr>
        <w:t xml:space="preserve"> </w:t>
      </w:r>
      <w:r>
        <w:rPr>
          <w:rFonts w:hint="eastAsia" w:ascii="宋体"/>
          <w:b w:val="0"/>
          <w:color w:val="auto"/>
          <w:highlight w:val="none"/>
          <w:u w:val="single"/>
        </w:rPr>
        <w:t>（1）</w:t>
      </w:r>
      <w:r>
        <w:rPr>
          <w:rFonts w:hint="eastAsia" w:ascii="宋体"/>
          <w:b w:val="0"/>
          <w:bCs/>
          <w:color w:val="auto"/>
          <w:highlight w:val="none"/>
          <w:u w:val="single"/>
        </w:rPr>
        <w:t xml:space="preserve"> </w:t>
      </w:r>
      <w:r>
        <w:rPr>
          <w:rFonts w:hint="eastAsia" w:ascii="宋体"/>
          <w:b w:val="0"/>
          <w:bCs/>
          <w:color w:val="auto"/>
          <w:highlight w:val="none"/>
        </w:rPr>
        <w:t>条，调整时效按通用条款第20款执行。</w:t>
      </w:r>
    </w:p>
    <w:p>
      <w:pPr>
        <w:pStyle w:val="13"/>
        <w:spacing w:after="0"/>
        <w:ind w:left="0" w:leftChars="0" w:firstLine="420" w:firstLineChars="200"/>
        <w:rPr>
          <w:rFonts w:hint="eastAsia" w:ascii="宋体"/>
          <w:b w:val="0"/>
          <w:bCs/>
          <w:strike/>
          <w:color w:val="auto"/>
          <w:highlight w:val="none"/>
        </w:rPr>
      </w:pPr>
      <w:r>
        <w:rPr>
          <w:rFonts w:hint="eastAsia" w:ascii="宋体"/>
          <w:b w:val="0"/>
          <w:bCs/>
          <w:color w:val="auto"/>
          <w:highlight w:val="none"/>
        </w:rPr>
        <w:t>（1）承包人（或发包人）认为会影响合同价且需要调整时，应在采购材料前将采购的数量（形象进度可作为附件）和新的单价（或采购时间）报发包人（或承包人）核对，发包人（或承包人）应确认材料的数量和单价（或采购时间）。未在调整时效内履行以上程序时，合同价不予调整。</w:t>
      </w:r>
    </w:p>
    <w:p>
      <w:pPr>
        <w:pStyle w:val="13"/>
        <w:spacing w:after="0"/>
        <w:ind w:left="0" w:leftChars="0" w:firstLine="420" w:firstLineChars="200"/>
        <w:rPr>
          <w:rFonts w:hint="eastAsia" w:ascii="宋体" w:eastAsia="宋体"/>
          <w:b w:val="0"/>
          <w:bCs/>
          <w:color w:val="auto"/>
          <w:highlight w:val="none"/>
          <w:lang w:eastAsia="zh-CN"/>
        </w:rPr>
      </w:pPr>
      <w:r>
        <w:rPr>
          <w:rFonts w:hint="eastAsia" w:ascii="宋体"/>
          <w:b w:val="0"/>
          <w:bCs/>
          <w:color w:val="auto"/>
          <w:highlight w:val="none"/>
        </w:rPr>
        <w:t>承包人提供的主要材料价格变化的价款调整按照发包人提供的基准价格，按以下风险范围规定执行</w:t>
      </w:r>
      <w:r>
        <w:rPr>
          <w:rFonts w:hint="eastAsia" w:ascii="宋体"/>
          <w:b w:val="0"/>
          <w:bCs/>
          <w:color w:val="auto"/>
          <w:highlight w:val="none"/>
          <w:lang w:eastAsia="zh-CN"/>
        </w:rPr>
        <w:t>：</w:t>
      </w:r>
    </w:p>
    <w:p>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①合同材料单价(B)低于基准价格(A)的：合同履行期间材料单价（C）涨幅（或跌幅）以基准价格(A)为基础超过10%时，合同材料单价按公式调整。</w:t>
      </w:r>
    </w:p>
    <w:p>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涨时调整单价=C-A</w:t>
      </w:r>
    </w:p>
    <w:p>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跌时调整单价：如C≥B时，不予调整；如C＜B时，调整单价=C-B</w:t>
      </w:r>
    </w:p>
    <w:p>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②合同材料单价(B)高于基准价格(A)的：合同履行期间材料单价（C）涨幅（或跌幅）以基准价格(A)为基础超过10%时，合同材料单价按公式调整。</w:t>
      </w:r>
    </w:p>
    <w:p>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涨时调整单价：如C≤B时，不予调整；如C＞B时，调整单价=C-B</w:t>
      </w:r>
    </w:p>
    <w:p>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跌时调整单价=C-A</w:t>
      </w:r>
    </w:p>
    <w:p>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③合同材料单价(B)等于基准价格(A)的：合同履行期间材料单价（C）涨幅（或跌幅）以基准价格(A)为基础超过10%时，合同材料单价按公式调整。</w:t>
      </w:r>
    </w:p>
    <w:p>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涨或跌时调整单价=C-A</w:t>
      </w:r>
    </w:p>
    <w:p>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基准价格(A):是指由递交投标文件截止日期前28天省级或行业建设主管部门或其授权的工程造价管理机构发布的信息价；</w:t>
      </w:r>
    </w:p>
    <w:p>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合同材料单价(B):是指承包人投标书中的材料单价（如投标书中相同材料有不同的单价时，取价高者）；</w:t>
      </w:r>
    </w:p>
    <w:p>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合同履行期间材料单价（C）:是指合同履行期间省级或行业建设主管部门或其授权的工程造价管理机构发布的信息价；</w:t>
      </w:r>
    </w:p>
    <w:p>
      <w:pPr>
        <w:pStyle w:val="13"/>
        <w:spacing w:after="0"/>
        <w:ind w:left="0" w:leftChars="0" w:firstLine="420" w:firstLineChars="200"/>
        <w:rPr>
          <w:rFonts w:hint="eastAsia" w:ascii="宋体" w:eastAsia="宋体"/>
          <w:b w:val="0"/>
          <w:bCs/>
          <w:color w:val="auto"/>
          <w:highlight w:val="none"/>
          <w:lang w:val="en-US" w:eastAsia="zh-CN"/>
        </w:rPr>
      </w:pPr>
      <w:r>
        <w:rPr>
          <w:rFonts w:hint="eastAsia" w:ascii="宋体"/>
          <w:b w:val="0"/>
          <w:bCs/>
          <w:color w:val="auto"/>
          <w:highlight w:val="none"/>
        </w:rPr>
        <w:t>主要材料是指</w:t>
      </w:r>
      <w:r>
        <w:rPr>
          <w:rFonts w:hint="eastAsia" w:ascii="宋体"/>
          <w:b w:val="0"/>
          <w:bCs/>
          <w:color w:val="auto"/>
          <w:highlight w:val="none"/>
          <w:lang w:val="en-US" w:eastAsia="zh-CN"/>
        </w:rPr>
        <w:t>钢材（仅包括钢筋，角钢、槽钢、工字钢、扁钢、钢板等型钢类，不含其他管材类如镀锌钢管、焊接钢管）、铜排、商品混凝土、混凝土预制品、标准砖、水泥、砂、碎石（含砾石）、块石（含毛石、片石）、石粉（石屑）、沥青混凝土、电缆、电缆桥（支）架及电缆保护管材</w:t>
      </w:r>
      <w:r>
        <w:rPr>
          <w:rFonts w:hint="eastAsia" w:ascii="宋体" w:hAnsi="宋体" w:eastAsia="宋体" w:cs="Times New Roman"/>
          <w:b w:val="0"/>
          <w:bCs/>
          <w:color w:val="auto"/>
          <w:sz w:val="21"/>
          <w:szCs w:val="21"/>
          <w:highlight w:val="none"/>
        </w:rPr>
        <w:t>（不含钢质保护管如镀锌钢管、焊接钢管）</w:t>
      </w:r>
      <w:r>
        <w:rPr>
          <w:rFonts w:hint="eastAsia" w:ascii="宋体"/>
          <w:b w:val="0"/>
          <w:bCs/>
          <w:color w:val="auto"/>
          <w:highlight w:val="none"/>
          <w:lang w:val="en-US" w:eastAsia="zh-CN"/>
        </w:rPr>
        <w:t xml:space="preserve">。 </w:t>
      </w:r>
    </w:p>
    <w:p>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如果停工超过</w:t>
      </w:r>
      <w:r>
        <w:rPr>
          <w:rFonts w:hint="eastAsia" w:ascii="宋体"/>
          <w:b w:val="0"/>
          <w:bCs/>
          <w:color w:val="auto"/>
          <w:highlight w:val="none"/>
          <w:u w:val="single"/>
        </w:rPr>
        <w:t xml:space="preserve">  半年  </w:t>
      </w:r>
      <w:r>
        <w:rPr>
          <w:rFonts w:hint="eastAsia" w:ascii="宋体"/>
          <w:b w:val="0"/>
          <w:bCs/>
          <w:color w:val="auto"/>
          <w:highlight w:val="none"/>
        </w:rPr>
        <w:t>以上的由甲乙双方另行协商。</w:t>
      </w:r>
    </w:p>
    <w:p>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w:t>
      </w:r>
      <w:r>
        <w:rPr>
          <w:rFonts w:hint="eastAsia" w:ascii="宋体"/>
          <w:b w:val="0"/>
          <w:bCs/>
          <w:color w:val="auto"/>
          <w:highlight w:val="none"/>
          <w:lang w:val="en-US" w:eastAsia="zh-CN"/>
        </w:rPr>
        <w:t>2</w:t>
      </w:r>
      <w:r>
        <w:rPr>
          <w:rFonts w:hint="eastAsia" w:ascii="宋体"/>
          <w:b w:val="0"/>
          <w:bCs/>
          <w:color w:val="auto"/>
          <w:highlight w:val="none"/>
        </w:rPr>
        <w:t xml:space="preserve">）不调整。 </w:t>
      </w:r>
    </w:p>
    <w:p>
      <w:pPr>
        <w:pStyle w:val="13"/>
        <w:spacing w:after="0"/>
        <w:ind w:left="0" w:leftChars="0" w:firstLine="420" w:firstLineChars="200"/>
        <w:rPr>
          <w:rFonts w:hint="eastAsia" w:ascii="宋体"/>
          <w:b w:val="0"/>
          <w:bCs/>
          <w:color w:val="auto"/>
          <w:highlight w:val="none"/>
          <w:u w:val="single"/>
        </w:rPr>
      </w:pPr>
      <w:r>
        <w:rPr>
          <w:rFonts w:hint="eastAsia" w:ascii="宋体"/>
          <w:b w:val="0"/>
          <w:bCs/>
          <w:color w:val="auto"/>
          <w:highlight w:val="none"/>
        </w:rPr>
        <w:t>（</w:t>
      </w:r>
      <w:r>
        <w:rPr>
          <w:rFonts w:hint="eastAsia" w:ascii="宋体"/>
          <w:b w:val="0"/>
          <w:bCs/>
          <w:color w:val="auto"/>
          <w:highlight w:val="none"/>
          <w:lang w:val="en-US" w:eastAsia="zh-CN"/>
        </w:rPr>
        <w:t>3</w:t>
      </w:r>
      <w:r>
        <w:rPr>
          <w:rFonts w:hint="eastAsia" w:ascii="宋体"/>
          <w:b w:val="0"/>
          <w:bCs/>
          <w:color w:val="auto"/>
          <w:highlight w:val="none"/>
        </w:rPr>
        <w:t>）其他：</w:t>
      </w:r>
      <w:r>
        <w:rPr>
          <w:rFonts w:hint="eastAsia" w:ascii="宋体"/>
          <w:b w:val="0"/>
          <w:bCs/>
          <w:color w:val="auto"/>
          <w:highlight w:val="none"/>
          <w:u w:val="single"/>
        </w:rPr>
        <w:t xml:space="preserve">    </w:t>
      </w:r>
      <w:r>
        <w:rPr>
          <w:rFonts w:hint="eastAsia" w:ascii="宋体"/>
          <w:b w:val="0"/>
          <w:bCs/>
          <w:color w:val="auto"/>
          <w:highlight w:val="none"/>
          <w:u w:val="single"/>
          <w:lang w:val="en-US" w:eastAsia="zh-CN"/>
        </w:rPr>
        <w:t>/</w:t>
      </w:r>
      <w:r>
        <w:rPr>
          <w:rFonts w:hint="eastAsia" w:ascii="宋体"/>
          <w:b w:val="0"/>
          <w:bCs/>
          <w:color w:val="auto"/>
          <w:highlight w:val="none"/>
          <w:u w:val="single"/>
        </w:rPr>
        <w:t xml:space="preserve">      </w:t>
      </w:r>
    </w:p>
    <w:p>
      <w:pPr>
        <w:pStyle w:val="13"/>
        <w:spacing w:after="0"/>
        <w:ind w:left="0" w:leftChars="0" w:firstLine="422" w:firstLineChars="200"/>
        <w:rPr>
          <w:rFonts w:ascii="宋体"/>
          <w:color w:val="auto"/>
          <w:highlight w:val="none"/>
          <w:shd w:val="clear" w:color="auto" w:fill="auto"/>
        </w:rPr>
      </w:pPr>
      <w:r>
        <w:rPr>
          <w:rFonts w:hint="eastAsia" w:ascii="宋体"/>
          <w:color w:val="auto"/>
          <w:highlight w:val="none"/>
          <w:shd w:val="clear" w:color="auto" w:fill="auto"/>
        </w:rPr>
        <w:t>14.</w:t>
      </w:r>
      <w:r>
        <w:rPr>
          <w:rFonts w:hint="eastAsia" w:ascii="宋体"/>
          <w:color w:val="auto"/>
          <w:highlight w:val="none"/>
          <w:shd w:val="clear" w:color="auto" w:fill="auto"/>
        </w:rPr>
        <w:tab/>
      </w:r>
      <w:r>
        <w:rPr>
          <w:rFonts w:hint="eastAsia" w:ascii="宋体"/>
          <w:color w:val="auto"/>
          <w:highlight w:val="none"/>
          <w:shd w:val="clear" w:color="auto" w:fill="auto"/>
        </w:rPr>
        <w:t>合同价格和支付</w:t>
      </w:r>
    </w:p>
    <w:p>
      <w:pPr>
        <w:pStyle w:val="5"/>
        <w:spacing w:after="0" w:line="360" w:lineRule="auto"/>
        <w:ind w:left="0" w:leftChars="0" w:firstLine="420" w:firstLineChars="200"/>
        <w:rPr>
          <w:rFonts w:ascii="宋体" w:hAnsi="宋体"/>
          <w:color w:val="auto"/>
          <w:szCs w:val="21"/>
          <w:highlight w:val="none"/>
          <w:shd w:val="clear" w:color="auto" w:fill="auto"/>
        </w:rPr>
      </w:pPr>
      <w:r>
        <w:rPr>
          <w:rFonts w:hint="eastAsia" w:ascii="宋体" w:hAnsi="宋体"/>
          <w:color w:val="auto"/>
          <w:szCs w:val="21"/>
          <w:highlight w:val="none"/>
          <w:shd w:val="clear" w:color="auto" w:fill="auto"/>
        </w:rPr>
        <w:t>14.</w:t>
      </w:r>
      <w:r>
        <w:rPr>
          <w:rFonts w:ascii="宋体" w:hAnsi="宋体"/>
          <w:color w:val="auto"/>
          <w:szCs w:val="21"/>
          <w:highlight w:val="none"/>
          <w:shd w:val="clear" w:color="auto" w:fill="auto"/>
        </w:rPr>
        <w:t>2</w:t>
      </w:r>
      <w:r>
        <w:rPr>
          <w:rFonts w:hint="eastAsia" w:ascii="宋体" w:hAnsi="宋体"/>
          <w:color w:val="auto"/>
          <w:szCs w:val="21"/>
          <w:highlight w:val="none"/>
          <w:shd w:val="clear" w:color="auto" w:fill="auto"/>
        </w:rPr>
        <w:t xml:space="preserve"> </w:t>
      </w:r>
      <w:r>
        <w:rPr>
          <w:rFonts w:hint="eastAsia" w:ascii="宋体" w:hAnsi="宋体"/>
          <w:color w:val="auto"/>
          <w:szCs w:val="21"/>
          <w:highlight w:val="none"/>
          <w:shd w:val="clear" w:color="auto" w:fill="auto"/>
        </w:rPr>
        <w:tab/>
      </w:r>
      <w:r>
        <w:rPr>
          <w:rFonts w:hint="eastAsia" w:ascii="宋体" w:hAnsi="宋体"/>
          <w:color w:val="auto"/>
          <w:szCs w:val="21"/>
          <w:highlight w:val="none"/>
          <w:shd w:val="clear" w:color="auto" w:fill="auto"/>
        </w:rPr>
        <w:t>预付款</w:t>
      </w:r>
    </w:p>
    <w:p>
      <w:pPr>
        <w:pStyle w:val="13"/>
        <w:spacing w:after="0"/>
        <w:ind w:left="0" w:leftChars="0" w:firstLine="422" w:firstLineChars="200"/>
        <w:rPr>
          <w:rFonts w:hint="eastAsia" w:ascii="宋体"/>
          <w:color w:val="auto"/>
          <w:highlight w:val="none"/>
        </w:rPr>
      </w:pPr>
      <w:r>
        <w:rPr>
          <w:rFonts w:hint="eastAsia" w:ascii="宋体"/>
          <w:color w:val="auto"/>
          <w:highlight w:val="none"/>
          <w:lang w:val="en-US" w:eastAsia="zh-CN"/>
        </w:rPr>
        <w:t>替换</w:t>
      </w:r>
      <w:r>
        <w:rPr>
          <w:rFonts w:hint="eastAsia" w:ascii="宋体"/>
          <w:color w:val="auto"/>
          <w:highlight w:val="none"/>
        </w:rPr>
        <w:t>以下内容到第14.2款：</w:t>
      </w:r>
    </w:p>
    <w:p>
      <w:pPr>
        <w:pStyle w:val="13"/>
        <w:spacing w:after="0"/>
        <w:ind w:left="0" w:leftChars="0" w:firstLine="420" w:firstLineChars="200"/>
        <w:rPr>
          <w:rFonts w:hint="eastAsia" w:ascii="宋体"/>
          <w:b w:val="0"/>
          <w:bCs/>
          <w:color w:val="auto"/>
          <w:highlight w:val="none"/>
          <w:lang w:val="en-US" w:eastAsia="zh-CN"/>
        </w:rPr>
      </w:pPr>
      <w:r>
        <w:rPr>
          <w:rFonts w:hint="eastAsia" w:ascii="宋体"/>
          <w:b w:val="0"/>
          <w:bCs/>
          <w:color w:val="auto"/>
          <w:highlight w:val="none"/>
          <w:lang w:val="en-US" w:eastAsia="zh-CN"/>
        </w:rPr>
        <w:t>14.2.2安全文明施工费预付款</w:t>
      </w:r>
    </w:p>
    <w:p>
      <w:pPr>
        <w:pStyle w:val="13"/>
        <w:spacing w:after="0"/>
        <w:ind w:left="0" w:leftChars="0" w:firstLine="420" w:firstLineChars="200"/>
        <w:rPr>
          <w:rFonts w:hint="eastAsia" w:ascii="宋体"/>
          <w:b w:val="0"/>
          <w:bCs/>
          <w:color w:val="auto"/>
          <w:highlight w:val="none"/>
          <w:lang w:val="en-US" w:eastAsia="zh-CN"/>
        </w:rPr>
      </w:pPr>
      <w:r>
        <w:rPr>
          <w:rFonts w:hint="eastAsia" w:ascii="宋体"/>
          <w:b w:val="0"/>
          <w:bCs/>
          <w:color w:val="auto"/>
          <w:highlight w:val="none"/>
          <w:lang w:val="en-US" w:eastAsia="zh-CN"/>
        </w:rPr>
        <w:t>安全文明施工费预付款比例或金额：安全文明施工费合同价的</w:t>
      </w:r>
      <w:r>
        <w:rPr>
          <w:rFonts w:hint="eastAsia" w:ascii="宋体"/>
          <w:b w:val="0"/>
          <w:bCs/>
          <w:color w:val="auto"/>
          <w:highlight w:val="none"/>
          <w:u w:val="single"/>
          <w:lang w:val="en-US" w:eastAsia="zh-CN"/>
        </w:rPr>
        <w:t>60%</w:t>
      </w:r>
      <w:r>
        <w:rPr>
          <w:rFonts w:hint="eastAsia" w:ascii="宋体"/>
          <w:b w:val="0"/>
          <w:bCs/>
          <w:color w:val="auto"/>
          <w:highlight w:val="none"/>
          <w:lang w:val="en-US" w:eastAsia="zh-CN"/>
        </w:rPr>
        <w:t>。</w:t>
      </w:r>
    </w:p>
    <w:p>
      <w:pPr>
        <w:pStyle w:val="13"/>
        <w:spacing w:after="0"/>
        <w:ind w:left="0" w:leftChars="0" w:firstLine="420" w:firstLineChars="200"/>
        <w:rPr>
          <w:rFonts w:hint="eastAsia" w:ascii="宋体"/>
          <w:b w:val="0"/>
          <w:bCs/>
          <w:color w:val="auto"/>
          <w:highlight w:val="none"/>
          <w:lang w:eastAsia="zh-CN"/>
        </w:rPr>
      </w:pPr>
      <w:r>
        <w:rPr>
          <w:rFonts w:hint="eastAsia" w:ascii="宋体"/>
          <w:b w:val="0"/>
          <w:bCs/>
          <w:color w:val="auto"/>
          <w:highlight w:val="none"/>
          <w:lang w:val="en-US" w:eastAsia="zh-CN"/>
        </w:rPr>
        <w:t>安全文明施工费预付款在承包人递交预付款支付证书后，随预付款同步支付，或单独申请支付</w:t>
      </w:r>
      <w:r>
        <w:rPr>
          <w:rFonts w:hint="eastAsia" w:ascii="宋体"/>
          <w:b w:val="0"/>
          <w:bCs/>
          <w:color w:val="auto"/>
          <w:highlight w:val="none"/>
          <w:lang w:eastAsia="zh-CN"/>
        </w:rPr>
        <w:t>。</w:t>
      </w:r>
    </w:p>
    <w:p>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lang w:val="en-US" w:eastAsia="zh-CN"/>
        </w:rPr>
        <w:t>14.2.3</w:t>
      </w:r>
      <w:r>
        <w:rPr>
          <w:rFonts w:hint="eastAsia" w:ascii="宋体"/>
          <w:b w:val="0"/>
          <w:bCs/>
          <w:color w:val="auto"/>
          <w:highlight w:val="none"/>
        </w:rPr>
        <w:t>发包人在预付款支付时同时向承包人提供工程款支付担保，工程款支付担保比例或金额：合同价的</w:t>
      </w:r>
      <w:r>
        <w:rPr>
          <w:rFonts w:hint="eastAsia" w:ascii="宋体"/>
          <w:b w:val="0"/>
          <w:bCs/>
          <w:color w:val="auto"/>
          <w:highlight w:val="none"/>
          <w:u w:val="single"/>
        </w:rPr>
        <w:t xml:space="preserve">[可选项] </w:t>
      </w:r>
      <w:r>
        <w:rPr>
          <w:rFonts w:hint="eastAsia" w:ascii="宋体"/>
          <w:b w:val="0"/>
          <w:bCs/>
          <w:color w:val="auto"/>
          <w:highlight w:val="none"/>
          <w:u w:val="single"/>
          <w:lang w:val="en-US" w:eastAsia="zh-CN"/>
        </w:rPr>
        <w:t xml:space="preserve">   %</w:t>
      </w:r>
      <w:r>
        <w:rPr>
          <w:rFonts w:hint="eastAsia" w:ascii="宋体"/>
          <w:b w:val="0"/>
          <w:bCs/>
          <w:color w:val="auto"/>
          <w:highlight w:val="none"/>
        </w:rPr>
        <w:t>。（合同金额50万元及以下，不需要提供担保。）</w:t>
      </w:r>
    </w:p>
    <w:p>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工程款支付担保的有效期为：自发包人与承包人签订的合同生效之日起至发包人签发工程接收证书之日止。</w:t>
      </w:r>
    </w:p>
    <w:p>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工程款支付担保方式：银行保函、保证保险。</w:t>
      </w:r>
    </w:p>
    <w:p>
      <w:pPr>
        <w:pStyle w:val="5"/>
        <w:spacing w:after="0" w:line="360" w:lineRule="auto"/>
        <w:ind w:left="0" w:leftChars="0" w:firstLine="420" w:firstLineChars="200"/>
        <w:rPr>
          <w:rFonts w:hint="eastAsia" w:ascii="宋体" w:hAnsi="宋体"/>
          <w:color w:val="auto"/>
          <w:szCs w:val="21"/>
          <w:highlight w:val="none"/>
          <w:shd w:val="clear" w:color="auto" w:fill="auto"/>
        </w:rPr>
      </w:pPr>
      <w:r>
        <w:rPr>
          <w:rFonts w:hint="eastAsia" w:ascii="宋体" w:hAnsi="宋体"/>
          <w:color w:val="auto"/>
          <w:szCs w:val="21"/>
          <w:highlight w:val="none"/>
          <w:shd w:val="clear" w:color="auto" w:fill="auto"/>
        </w:rPr>
        <w:t xml:space="preserve">14.3 </w:t>
      </w:r>
      <w:r>
        <w:rPr>
          <w:rFonts w:hint="eastAsia" w:ascii="宋体" w:hAnsi="宋体"/>
          <w:color w:val="auto"/>
          <w:szCs w:val="21"/>
          <w:highlight w:val="none"/>
          <w:shd w:val="clear" w:color="auto" w:fill="auto"/>
        </w:rPr>
        <w:tab/>
      </w:r>
      <w:r>
        <w:rPr>
          <w:rFonts w:hint="eastAsia" w:ascii="宋体" w:hAnsi="宋体"/>
          <w:color w:val="auto"/>
          <w:szCs w:val="21"/>
          <w:highlight w:val="none"/>
          <w:shd w:val="clear" w:color="auto" w:fill="auto"/>
        </w:rPr>
        <w:t>期中支付证书的申请</w:t>
      </w:r>
    </w:p>
    <w:p>
      <w:pPr>
        <w:pStyle w:val="13"/>
        <w:spacing w:after="0"/>
        <w:ind w:left="0" w:leftChars="0" w:firstLine="422" w:firstLineChars="200"/>
        <w:rPr>
          <w:rFonts w:hint="eastAsia" w:ascii="宋体"/>
          <w:color w:val="auto"/>
          <w:highlight w:val="none"/>
        </w:rPr>
      </w:pPr>
      <w:r>
        <w:rPr>
          <w:rFonts w:hint="eastAsia" w:ascii="宋体"/>
          <w:color w:val="auto"/>
          <w:highlight w:val="none"/>
        </w:rPr>
        <w:t>替换以下内容到第14.3款：</w:t>
      </w:r>
    </w:p>
    <w:p>
      <w:pPr>
        <w:pStyle w:val="13"/>
        <w:spacing w:after="0"/>
        <w:ind w:left="0" w:leftChars="0" w:firstLine="420" w:firstLineChars="200"/>
        <w:rPr>
          <w:rFonts w:hint="eastAsia" w:ascii="宋体"/>
          <w:b w:val="0"/>
          <w:bCs/>
          <w:color w:val="auto"/>
          <w:highlight w:val="none"/>
        </w:rPr>
      </w:pPr>
    </w:p>
    <w:p>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lang w:val="en-US" w:eastAsia="zh-CN"/>
        </w:rPr>
        <w:t>14.3.3 工程安全文明施工费。当经审批的</w:t>
      </w:r>
      <w:r>
        <w:rPr>
          <w:rFonts w:hint="eastAsia" w:ascii="宋体" w:hAnsi="宋体"/>
          <w:b w:val="0"/>
          <w:bCs/>
          <w:color w:val="auto"/>
          <w:highlight w:val="none"/>
          <w:lang w:val="en-US" w:eastAsia="zh-CN"/>
        </w:rPr>
        <w:t>安全文明施工</w:t>
      </w:r>
      <w:r>
        <w:rPr>
          <w:rFonts w:hint="eastAsia" w:ascii="宋体"/>
          <w:b w:val="0"/>
          <w:bCs/>
          <w:color w:val="auto"/>
          <w:highlight w:val="none"/>
          <w:lang w:val="en-US" w:eastAsia="zh-CN"/>
        </w:rPr>
        <w:t>措施费</w:t>
      </w:r>
      <w:r>
        <w:rPr>
          <w:rFonts w:hint="eastAsia" w:ascii="宋体" w:hAnsi="宋体"/>
          <w:b w:val="0"/>
          <w:bCs/>
          <w:color w:val="auto"/>
          <w:highlight w:val="none"/>
          <w:lang w:val="en-US" w:eastAsia="zh-CN"/>
        </w:rPr>
        <w:t>超</w:t>
      </w:r>
      <w:r>
        <w:rPr>
          <w:rFonts w:hint="eastAsia" w:ascii="宋体"/>
          <w:b w:val="0"/>
          <w:bCs/>
          <w:color w:val="auto"/>
          <w:highlight w:val="none"/>
          <w:lang w:val="en-US" w:eastAsia="zh-CN"/>
        </w:rPr>
        <w:t>过</w:t>
      </w:r>
      <w:r>
        <w:rPr>
          <w:rFonts w:hint="eastAsia" w:ascii="宋体" w:hAnsi="宋体"/>
          <w:b w:val="0"/>
          <w:bCs/>
          <w:color w:val="auto"/>
          <w:highlight w:val="none"/>
          <w:lang w:val="en-US" w:eastAsia="zh-CN"/>
        </w:rPr>
        <w:t>60%后，</w:t>
      </w:r>
      <w:r>
        <w:rPr>
          <w:rFonts w:hint="eastAsia" w:ascii="宋体"/>
          <w:b w:val="0"/>
          <w:bCs/>
          <w:color w:val="auto"/>
          <w:highlight w:val="none"/>
          <w:lang w:val="en-US" w:eastAsia="zh-CN"/>
        </w:rPr>
        <w:t>超出部分</w:t>
      </w:r>
      <w:r>
        <w:rPr>
          <w:rFonts w:hint="eastAsia" w:ascii="宋体"/>
          <w:b w:val="0"/>
          <w:bCs/>
          <w:color w:val="auto"/>
          <w:highlight w:val="none"/>
        </w:rPr>
        <w:t>按</w:t>
      </w:r>
      <w:r>
        <w:rPr>
          <w:rFonts w:hint="eastAsia" w:ascii="宋体"/>
          <w:b w:val="0"/>
          <w:bCs/>
          <w:color w:val="auto"/>
          <w:highlight w:val="none"/>
          <w:lang w:val="en-US" w:eastAsia="zh-CN"/>
        </w:rPr>
        <w:t>14.3.1款约定的工程进度款支付方式一并支付</w:t>
      </w:r>
      <w:r>
        <w:rPr>
          <w:rFonts w:hint="eastAsia" w:ascii="宋体"/>
          <w:b w:val="0"/>
          <w:bCs/>
          <w:color w:val="auto"/>
          <w:highlight w:val="none"/>
          <w:lang w:eastAsia="zh-CN"/>
        </w:rPr>
        <w:t>，</w:t>
      </w:r>
      <w:r>
        <w:rPr>
          <w:rFonts w:hint="eastAsia" w:ascii="宋体"/>
          <w:b w:val="0"/>
          <w:bCs/>
          <w:color w:val="auto"/>
          <w:highlight w:val="none"/>
        </w:rPr>
        <w:t>累计付至</w:t>
      </w:r>
      <w:r>
        <w:rPr>
          <w:rFonts w:hint="eastAsia" w:ascii="宋体"/>
          <w:b w:val="0"/>
          <w:bCs/>
          <w:color w:val="auto"/>
          <w:highlight w:val="none"/>
          <w:lang w:val="en-US" w:eastAsia="zh-CN"/>
        </w:rPr>
        <w:t>安全文明施工费</w:t>
      </w:r>
      <w:r>
        <w:rPr>
          <w:rFonts w:hint="eastAsia" w:ascii="宋体"/>
          <w:b w:val="0"/>
          <w:bCs/>
          <w:color w:val="auto"/>
          <w:highlight w:val="none"/>
        </w:rPr>
        <w:t>合同价的</w:t>
      </w:r>
      <w:r>
        <w:rPr>
          <w:rFonts w:hint="eastAsia" w:ascii="宋体"/>
          <w:b w:val="0"/>
          <w:bCs/>
          <w:color w:val="auto"/>
          <w:highlight w:val="none"/>
          <w:u w:val="single"/>
        </w:rPr>
        <w:t xml:space="preserve"> </w:t>
      </w:r>
      <w:r>
        <w:rPr>
          <w:rFonts w:hint="eastAsia" w:ascii="宋体"/>
          <w:b w:val="0"/>
          <w:bCs/>
          <w:color w:val="auto"/>
          <w:highlight w:val="none"/>
          <w:u w:val="single"/>
          <w:lang w:val="en-US" w:eastAsia="zh-CN"/>
        </w:rPr>
        <w:t>100</w:t>
      </w:r>
      <w:r>
        <w:rPr>
          <w:rFonts w:hint="eastAsia" w:ascii="宋体"/>
          <w:b w:val="0"/>
          <w:bCs/>
          <w:color w:val="auto"/>
          <w:highlight w:val="none"/>
          <w:u w:val="single"/>
        </w:rPr>
        <w:t>％</w:t>
      </w:r>
      <w:r>
        <w:rPr>
          <w:rFonts w:hint="eastAsia" w:ascii="宋体"/>
          <w:b w:val="0"/>
          <w:bCs/>
          <w:color w:val="auto"/>
          <w:highlight w:val="none"/>
        </w:rPr>
        <w:t>时停止支付</w:t>
      </w:r>
      <w:r>
        <w:rPr>
          <w:rFonts w:hint="eastAsia" w:ascii="宋体"/>
          <w:b w:val="0"/>
          <w:bCs/>
          <w:color w:val="auto"/>
          <w:highlight w:val="none"/>
          <w:lang w:eastAsia="zh-CN"/>
        </w:rPr>
        <w:t>，</w:t>
      </w:r>
      <w:r>
        <w:rPr>
          <w:rFonts w:hint="eastAsia" w:ascii="Calibri" w:hAnsi="Calibri" w:eastAsia="宋体" w:cs="Times New Roman"/>
          <w:b w:val="0"/>
          <w:i w:val="0"/>
          <w:color w:val="auto"/>
          <w:kern w:val="2"/>
          <w:sz w:val="21"/>
          <w:szCs w:val="22"/>
          <w:highlight w:val="none"/>
          <w:lang w:val="en-US" w:eastAsia="zh-CN" w:bidi="ar-SA"/>
        </w:rPr>
        <w:t>由于重大设计变更需调整安全文明施工费的，可按设计变更预算中的安全文明施工费先行支付，竣工结算时由造价咨询单位按合同约定重新核定费用。</w:t>
      </w:r>
      <w:r>
        <w:rPr>
          <w:rFonts w:hint="eastAsia" w:ascii="宋体"/>
          <w:b w:val="0"/>
          <w:bCs/>
          <w:color w:val="auto"/>
          <w:highlight w:val="none"/>
        </w:rPr>
        <w:t>付款方式包括电汇、汇票、支票、票据和双方认可的其他支付方式。</w:t>
      </w:r>
    </w:p>
    <w:p>
      <w:pPr>
        <w:pStyle w:val="13"/>
        <w:spacing w:after="0"/>
        <w:ind w:left="0" w:leftChars="0" w:firstLine="420" w:firstLineChars="200"/>
        <w:rPr>
          <w:rFonts w:hint="eastAsia" w:ascii="宋体" w:eastAsia="宋体" w:cs="Times New Roman"/>
          <w:b w:val="0"/>
          <w:bCs w:val="0"/>
          <w:color w:val="auto"/>
          <w:highlight w:val="none"/>
          <w:lang w:val="en-US" w:eastAsia="zh-CN"/>
        </w:rPr>
      </w:pPr>
      <w:r>
        <w:rPr>
          <w:rFonts w:hint="eastAsia" w:ascii="宋体" w:eastAsia="宋体" w:cs="Times New Roman"/>
          <w:b w:val="0"/>
          <w:bCs w:val="0"/>
          <w:color w:val="auto"/>
          <w:highlight w:val="none"/>
          <w:lang w:val="en-US" w:eastAsia="zh-CN"/>
        </w:rPr>
        <w:t>14.3.4代付款由承包人递交相关签证、发票（或收据）等支撑材料，经发包人审批后随下一期工程进度款支付。</w:t>
      </w:r>
    </w:p>
    <w:p>
      <w:pPr>
        <w:pStyle w:val="13"/>
        <w:spacing w:after="0"/>
        <w:ind w:left="0" w:leftChars="0" w:firstLine="420" w:firstLineChars="200"/>
        <w:rPr>
          <w:rFonts w:hint="eastAsia" w:ascii="宋体" w:cs="Times New Roman"/>
          <w:b w:val="0"/>
          <w:bCs w:val="0"/>
          <w:color w:val="auto"/>
          <w:highlight w:val="none"/>
          <w:lang w:val="en-US" w:eastAsia="zh-CN"/>
        </w:rPr>
      </w:pPr>
      <w:r>
        <w:rPr>
          <w:rFonts w:hint="eastAsia" w:ascii="宋体" w:cs="Times New Roman"/>
          <w:b w:val="0"/>
          <w:bCs w:val="0"/>
          <w:color w:val="auto"/>
          <w:highlight w:val="none"/>
          <w:lang w:val="en-US" w:eastAsia="zh-CN"/>
        </w:rPr>
        <w:t>14.3.5 中间结算（项目结合工程实际选择性开展）</w:t>
      </w:r>
    </w:p>
    <w:p>
      <w:pPr>
        <w:pStyle w:val="13"/>
        <w:spacing w:after="0"/>
        <w:ind w:left="0" w:leftChars="0" w:firstLine="420" w:firstLineChars="200"/>
        <w:rPr>
          <w:rFonts w:hint="default" w:ascii="宋体" w:cs="Times New Roman"/>
          <w:b w:val="0"/>
          <w:bCs w:val="0"/>
          <w:color w:val="auto"/>
          <w:highlight w:val="none"/>
          <w:lang w:val="en-US" w:eastAsia="zh-CN"/>
        </w:rPr>
      </w:pPr>
      <w:r>
        <w:rPr>
          <w:rFonts w:hint="default" w:ascii="宋体" w:cs="Times New Roman"/>
          <w:b w:val="0"/>
          <w:bCs w:val="0"/>
          <w:color w:val="auto"/>
          <w:highlight w:val="none"/>
          <w:lang w:val="en-US" w:eastAsia="zh-CN"/>
        </w:rPr>
        <w:t>为加快基建结算进度，提高基建结算效率和质量，结合工程实际开展中间结算工作。</w:t>
      </w:r>
    </w:p>
    <w:p>
      <w:pPr>
        <w:pStyle w:val="13"/>
        <w:spacing w:after="0"/>
        <w:ind w:left="0" w:leftChars="0" w:firstLine="420" w:firstLineChars="200"/>
        <w:rPr>
          <w:rFonts w:hint="default" w:ascii="宋体" w:cs="Times New Roman"/>
          <w:b w:val="0"/>
          <w:bCs w:val="0"/>
          <w:color w:val="auto"/>
          <w:highlight w:val="none"/>
          <w:lang w:val="en-US" w:eastAsia="zh-CN"/>
        </w:rPr>
      </w:pPr>
      <w:r>
        <w:rPr>
          <w:rFonts w:hint="default" w:ascii="宋体" w:cs="Times New Roman"/>
          <w:b w:val="0"/>
          <w:bCs w:val="0"/>
          <w:color w:val="auto"/>
          <w:highlight w:val="none"/>
          <w:lang w:val="en-US" w:eastAsia="zh-CN"/>
        </w:rPr>
        <w:t>承包人应在每月30日前提交上一月度已完工程量及相应的支持性证明文件及结算付款申请，经监理工程师核查后出具经发包人、造价咨询单位签认的进度付款证书作为进度款支付的凭证。中间结算应在每季度的第三个月15日前(以开工报告为准，第一次为开工后第三个月15日前，此后按每三个月一季度顺推)提交本季度已完工程量核对清单、已完工程量相应的设计变更通知单及其附录、以及其他引起费用变化的项目过程资料，报监理单位和业主项目部审核，并提交已完工程量送审计价书作为中间结算文件交由造价咨询单位进行审核，并出具中间结算报告。中间结算报告对当季度已支付的进度款进行比对，当出现超支的情况需于下个月报审的进度款时进行扣减。因特殊情况提交部分已完工工程量有困难的，经基建部确认，可推迟至下一季度提交，若推迟下季度已满足提交条件的资料仍未及时提交的，不予后补。对于整个工程的人工、材料和施工机械费用价差调整在竣工结算时一并结算，在中间结算中无需进行提交。</w:t>
      </w:r>
    </w:p>
    <w:p>
      <w:pPr>
        <w:pStyle w:val="13"/>
        <w:spacing w:after="0"/>
        <w:ind w:left="0" w:leftChars="0" w:firstLine="420" w:firstLineChars="200"/>
        <w:rPr>
          <w:rFonts w:hint="default" w:ascii="宋体" w:cs="Times New Roman"/>
          <w:b w:val="0"/>
          <w:bCs w:val="0"/>
          <w:color w:val="auto"/>
          <w:highlight w:val="none"/>
          <w:lang w:val="en-US" w:eastAsia="zh-CN"/>
        </w:rPr>
      </w:pPr>
      <w:r>
        <w:rPr>
          <w:rFonts w:hint="default" w:ascii="宋体" w:cs="Times New Roman"/>
          <w:b w:val="0"/>
          <w:bCs w:val="0"/>
          <w:color w:val="auto"/>
          <w:highlight w:val="none"/>
          <w:lang w:val="en-US" w:eastAsia="zh-CN"/>
        </w:rPr>
        <w:t>承包人从开工日期起，安排专门技经人员统计已完工工程量（包含设计变更、合同外委托、费用变化相关等），工地例会前交付监理审核，并报业主项目部。统计的已完工工程量是中间结算的计量依据，属于过程资料之一。如过程资料滞后工程进度，并影响中间结算的，进度款按已有的过程资料进行计价支付。</w:t>
      </w:r>
    </w:p>
    <w:p>
      <w:pPr>
        <w:pStyle w:val="5"/>
        <w:spacing w:after="0" w:line="360" w:lineRule="auto"/>
        <w:ind w:left="0" w:leftChars="0" w:firstLine="420" w:firstLineChars="200"/>
        <w:rPr>
          <w:rFonts w:ascii="宋体" w:hAnsi="宋体"/>
          <w:color w:val="auto"/>
          <w:szCs w:val="21"/>
          <w:highlight w:val="none"/>
          <w:shd w:val="clear" w:color="auto" w:fill="auto"/>
        </w:rPr>
      </w:pPr>
      <w:r>
        <w:rPr>
          <w:rFonts w:hint="eastAsia" w:ascii="宋体" w:hAnsi="宋体"/>
          <w:color w:val="auto"/>
          <w:szCs w:val="21"/>
          <w:highlight w:val="none"/>
          <w:shd w:val="clear" w:color="auto" w:fill="auto"/>
        </w:rPr>
        <w:t xml:space="preserve">14.7 </w:t>
      </w:r>
      <w:r>
        <w:rPr>
          <w:rFonts w:hint="eastAsia" w:ascii="宋体" w:hAnsi="宋体"/>
          <w:color w:val="auto"/>
          <w:szCs w:val="21"/>
          <w:highlight w:val="none"/>
          <w:shd w:val="clear" w:color="auto" w:fill="auto"/>
        </w:rPr>
        <w:tab/>
      </w:r>
      <w:r>
        <w:rPr>
          <w:rFonts w:hint="eastAsia" w:ascii="宋体" w:hAnsi="宋体"/>
          <w:color w:val="auto"/>
          <w:szCs w:val="21"/>
          <w:highlight w:val="none"/>
          <w:shd w:val="clear" w:color="auto" w:fill="auto"/>
        </w:rPr>
        <w:t>支付</w:t>
      </w:r>
    </w:p>
    <w:p>
      <w:pPr>
        <w:pStyle w:val="5"/>
        <w:spacing w:after="0" w:line="360" w:lineRule="auto"/>
        <w:ind w:left="0" w:leftChars="0" w:firstLine="422" w:firstLineChars="200"/>
        <w:rPr>
          <w:rFonts w:ascii="宋体" w:hAnsi="宋体"/>
          <w:b/>
          <w:bCs/>
          <w:color w:val="auto"/>
          <w:szCs w:val="21"/>
          <w:highlight w:val="none"/>
          <w:shd w:val="clear" w:color="auto" w:fill="auto"/>
        </w:rPr>
      </w:pPr>
      <w:r>
        <w:rPr>
          <w:rFonts w:hint="eastAsia" w:ascii="宋体" w:hAnsi="宋体"/>
          <w:b/>
          <w:bCs/>
          <w:color w:val="auto"/>
          <w:szCs w:val="21"/>
          <w:highlight w:val="none"/>
          <w:shd w:val="clear" w:color="auto" w:fill="auto"/>
        </w:rPr>
        <w:t>增加以下内容到第14.7款：</w:t>
      </w:r>
    </w:p>
    <w:p>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1、招标代理费结算价=本项目的招标代理费实际结算金额。</w:t>
      </w:r>
    </w:p>
    <w:p>
      <w:pPr>
        <w:pStyle w:val="13"/>
        <w:spacing w:after="0"/>
        <w:ind w:left="0" w:leftChars="0" w:firstLine="420" w:firstLineChars="200"/>
        <w:rPr>
          <w:rFonts w:hint="eastAsia" w:ascii="宋体"/>
          <w:b w:val="0"/>
          <w:bCs/>
          <w:color w:val="auto"/>
          <w:highlight w:val="none"/>
          <w:lang w:val="en-US" w:eastAsia="zh-CN"/>
        </w:rPr>
      </w:pPr>
      <w:r>
        <w:rPr>
          <w:rFonts w:hint="eastAsia" w:ascii="宋体"/>
          <w:b w:val="0"/>
          <w:bCs/>
          <w:color w:val="auto"/>
          <w:highlight w:val="none"/>
        </w:rPr>
        <w:t>承包人根据招标代理机构开具的招标代理费发票金额列入结算费用，向发包人办理结算请款</w:t>
      </w:r>
      <w:r>
        <w:rPr>
          <w:rFonts w:hint="eastAsia" w:ascii="宋体"/>
          <w:b w:val="0"/>
          <w:bCs/>
          <w:color w:val="auto"/>
          <w:highlight w:val="none"/>
          <w:lang w:eastAsia="zh-CN"/>
        </w:rPr>
        <w:t>，在结算招标代理费时，以实际发生费用为基准，按照增值税率</w:t>
      </w:r>
      <w:r>
        <w:rPr>
          <w:rFonts w:hint="eastAsia" w:ascii="宋体"/>
          <w:b w:val="0"/>
          <w:bCs/>
          <w:color w:val="auto"/>
          <w:highlight w:val="none"/>
          <w:lang w:val="en-US" w:eastAsia="zh-CN"/>
        </w:rPr>
        <w:t>9</w:t>
      </w:r>
      <w:r>
        <w:rPr>
          <w:rFonts w:hint="eastAsia" w:ascii="宋体"/>
          <w:b w:val="0"/>
          <w:bCs/>
          <w:color w:val="auto"/>
          <w:highlight w:val="none"/>
          <w:lang w:eastAsia="zh-CN"/>
        </w:rPr>
        <w:t>%开具增值税专用发票</w:t>
      </w:r>
      <w:r>
        <w:rPr>
          <w:rFonts w:hint="eastAsia" w:ascii="宋体"/>
          <w:b w:val="0"/>
          <w:bCs/>
          <w:color w:val="auto"/>
          <w:highlight w:val="none"/>
        </w:rPr>
        <w:t>。</w:t>
      </w:r>
    </w:p>
    <w:p>
      <w:pPr>
        <w:pStyle w:val="5"/>
        <w:spacing w:after="0" w:line="360" w:lineRule="auto"/>
        <w:ind w:left="0" w:leftChars="0" w:firstLine="420" w:firstLineChars="200"/>
        <w:rPr>
          <w:rFonts w:ascii="宋体" w:hAnsi="宋体"/>
          <w:color w:val="auto"/>
          <w:szCs w:val="21"/>
          <w:highlight w:val="none"/>
          <w:u w:val="none"/>
          <w:shd w:val="clear" w:color="auto" w:fill="auto"/>
        </w:rPr>
      </w:pPr>
      <w:r>
        <w:rPr>
          <w:rFonts w:hint="eastAsia" w:ascii="宋体" w:hAnsi="宋体"/>
          <w:color w:val="auto"/>
          <w:szCs w:val="21"/>
          <w:highlight w:val="none"/>
          <w:u w:val="none"/>
          <w:shd w:val="clear" w:color="auto" w:fill="auto"/>
          <w:lang w:val="en-US" w:eastAsia="zh-CN"/>
        </w:rPr>
        <w:t xml:space="preserve">2、 </w:t>
      </w:r>
      <w:r>
        <w:rPr>
          <w:rFonts w:hint="eastAsia" w:ascii="宋体" w:hAnsi="宋体"/>
          <w:color w:val="auto"/>
          <w:szCs w:val="21"/>
          <w:highlight w:val="none"/>
          <w:u w:val="none"/>
          <w:shd w:val="clear" w:color="auto" w:fill="auto"/>
        </w:rPr>
        <w:t>本合同（协议）税金费用执行《关于全面推开营业税改征增值税试点的通知》（财税[2016]36号）及国家最新税收政策，采用一般纳税人计税方法计列增值税。承包人须按规定提供采用一般纳税人计税方法计税的建筑业增值税税率的增值税专用发票，若承包人采用简易计税方法计税，结算时调整相应结算金额。</w:t>
      </w:r>
    </w:p>
    <w:p>
      <w:pPr>
        <w:pStyle w:val="5"/>
        <w:keepNext w:val="0"/>
        <w:keepLines w:val="0"/>
        <w:pageBreakBefore w:val="0"/>
        <w:kinsoku/>
        <w:wordWrap/>
        <w:overflowPunct/>
        <w:topLinePunct w:val="0"/>
        <w:bidi w:val="0"/>
        <w:spacing w:after="0" w:line="360" w:lineRule="auto"/>
        <w:ind w:left="0" w:leftChars="0" w:firstLine="420" w:firstLineChars="200"/>
        <w:outlineLvl w:val="9"/>
        <w:rPr>
          <w:rFonts w:hint="eastAsia" w:ascii="宋体" w:hAnsi="宋体"/>
          <w:color w:val="auto"/>
          <w:szCs w:val="21"/>
          <w:highlight w:val="none"/>
          <w:shd w:val="clear" w:color="auto" w:fill="auto"/>
        </w:rPr>
      </w:pPr>
      <w:r>
        <w:rPr>
          <w:rFonts w:hint="eastAsia" w:ascii="宋体" w:hAnsi="宋体"/>
          <w:color w:val="auto"/>
          <w:szCs w:val="21"/>
          <w:highlight w:val="none"/>
          <w:shd w:val="clear" w:color="auto" w:fill="auto"/>
          <w:lang w:val="en-US" w:eastAsia="zh-CN"/>
        </w:rPr>
        <w:t>3、</w:t>
      </w:r>
      <w:r>
        <w:rPr>
          <w:rFonts w:hint="eastAsia" w:ascii="宋体" w:hAnsi="宋体"/>
          <w:color w:val="auto"/>
          <w:szCs w:val="21"/>
          <w:highlight w:val="none"/>
          <w:shd w:val="clear" w:color="auto" w:fill="auto"/>
        </w:rPr>
        <w:t>本合同（协议）结算支付方式为：电汇、商业汇票或支票以及双方认可的其它方式。如需使用商业汇票进行支付的，由款项支付方承担资金成本（买方付息贴现）。</w:t>
      </w:r>
      <w:r>
        <w:rPr>
          <w:rFonts w:hint="eastAsia" w:ascii="宋体"/>
          <w:b w:val="0"/>
          <w:bCs/>
          <w:color w:val="auto"/>
          <w:highlight w:val="none"/>
        </w:rPr>
        <w:t>乙方充分知悉并同意按双方在本合同约定的结算支付方式履行。</w:t>
      </w:r>
    </w:p>
    <w:p>
      <w:pPr>
        <w:pStyle w:val="5"/>
        <w:keepNext w:val="0"/>
        <w:keepLines w:val="0"/>
        <w:pageBreakBefore w:val="0"/>
        <w:kinsoku/>
        <w:wordWrap/>
        <w:overflowPunct/>
        <w:topLinePunct w:val="0"/>
        <w:bidi w:val="0"/>
        <w:spacing w:after="0" w:line="360" w:lineRule="auto"/>
        <w:ind w:left="0" w:leftChars="0" w:firstLine="420" w:firstLineChars="200"/>
        <w:outlineLvl w:val="9"/>
        <w:rPr>
          <w:rFonts w:hint="eastAsia" w:ascii="宋体" w:hAnsi="宋体"/>
          <w:color w:val="auto"/>
          <w:szCs w:val="21"/>
          <w:highlight w:val="none"/>
          <w:shd w:val="clear" w:color="auto" w:fill="auto"/>
        </w:rPr>
      </w:pPr>
      <w:r>
        <w:rPr>
          <w:rFonts w:hint="eastAsia" w:ascii="宋体" w:hAnsi="宋体"/>
          <w:color w:val="auto"/>
          <w:szCs w:val="21"/>
          <w:highlight w:val="none"/>
          <w:shd w:val="clear" w:color="auto" w:fill="auto"/>
        </w:rPr>
        <w:t>乙方商业汇票开票信息如下：</w:t>
      </w:r>
    </w:p>
    <w:p>
      <w:pPr>
        <w:pStyle w:val="5"/>
        <w:keepNext w:val="0"/>
        <w:keepLines w:val="0"/>
        <w:pageBreakBefore w:val="0"/>
        <w:kinsoku/>
        <w:wordWrap/>
        <w:overflowPunct/>
        <w:topLinePunct w:val="0"/>
        <w:bidi w:val="0"/>
        <w:spacing w:after="0" w:line="360" w:lineRule="auto"/>
        <w:ind w:left="0" w:leftChars="0" w:firstLine="420" w:firstLineChars="200"/>
        <w:outlineLvl w:val="9"/>
        <w:rPr>
          <w:rFonts w:hint="eastAsia" w:ascii="宋体" w:hAnsi="宋体"/>
          <w:color w:val="auto"/>
          <w:szCs w:val="21"/>
          <w:highlight w:val="none"/>
          <w:shd w:val="clear" w:color="auto" w:fill="auto"/>
        </w:rPr>
      </w:pPr>
      <w:r>
        <w:rPr>
          <w:rFonts w:hint="eastAsia" w:ascii="宋体" w:hAnsi="宋体"/>
          <w:color w:val="auto"/>
          <w:szCs w:val="21"/>
          <w:highlight w:val="none"/>
          <w:shd w:val="clear" w:color="auto" w:fill="auto"/>
        </w:rPr>
        <w:t>收票单位全称【              】</w:t>
      </w:r>
    </w:p>
    <w:p>
      <w:pPr>
        <w:pStyle w:val="5"/>
        <w:keepNext w:val="0"/>
        <w:keepLines w:val="0"/>
        <w:pageBreakBefore w:val="0"/>
        <w:kinsoku/>
        <w:wordWrap/>
        <w:overflowPunct/>
        <w:topLinePunct w:val="0"/>
        <w:bidi w:val="0"/>
        <w:spacing w:after="0" w:line="360" w:lineRule="auto"/>
        <w:ind w:left="0" w:leftChars="0" w:firstLine="420" w:firstLineChars="200"/>
        <w:outlineLvl w:val="9"/>
        <w:rPr>
          <w:rFonts w:hint="eastAsia" w:ascii="宋体" w:hAnsi="宋体"/>
          <w:color w:val="auto"/>
          <w:szCs w:val="21"/>
          <w:highlight w:val="none"/>
          <w:shd w:val="clear" w:color="auto" w:fill="auto"/>
        </w:rPr>
      </w:pPr>
      <w:r>
        <w:rPr>
          <w:rFonts w:hint="eastAsia" w:ascii="宋体" w:hAnsi="宋体"/>
          <w:color w:val="auto"/>
          <w:szCs w:val="21"/>
          <w:highlight w:val="none"/>
          <w:shd w:val="clear" w:color="auto" w:fill="auto"/>
        </w:rPr>
        <w:t>银行账号【                  】</w:t>
      </w:r>
    </w:p>
    <w:p>
      <w:pPr>
        <w:pStyle w:val="5"/>
        <w:keepNext w:val="0"/>
        <w:keepLines w:val="0"/>
        <w:pageBreakBefore w:val="0"/>
        <w:kinsoku/>
        <w:wordWrap/>
        <w:overflowPunct/>
        <w:topLinePunct w:val="0"/>
        <w:bidi w:val="0"/>
        <w:spacing w:after="0" w:line="360" w:lineRule="auto"/>
        <w:ind w:left="0" w:leftChars="0" w:firstLine="420" w:firstLineChars="200"/>
        <w:outlineLvl w:val="9"/>
        <w:rPr>
          <w:rFonts w:hint="eastAsia" w:ascii="宋体" w:hAnsi="宋体"/>
          <w:color w:val="auto"/>
          <w:szCs w:val="21"/>
          <w:highlight w:val="none"/>
          <w:shd w:val="clear" w:color="auto" w:fill="auto"/>
        </w:rPr>
      </w:pPr>
      <w:r>
        <w:rPr>
          <w:rFonts w:hint="eastAsia" w:ascii="宋体" w:hAnsi="宋体"/>
          <w:color w:val="auto"/>
          <w:szCs w:val="21"/>
          <w:highlight w:val="none"/>
          <w:shd w:val="clear" w:color="auto" w:fill="auto"/>
        </w:rPr>
        <w:t>开户银行【                  】</w:t>
      </w:r>
    </w:p>
    <w:p>
      <w:pPr>
        <w:pStyle w:val="5"/>
        <w:keepNext w:val="0"/>
        <w:keepLines w:val="0"/>
        <w:pageBreakBefore w:val="0"/>
        <w:kinsoku/>
        <w:wordWrap/>
        <w:overflowPunct/>
        <w:topLinePunct w:val="0"/>
        <w:bidi w:val="0"/>
        <w:spacing w:after="0" w:line="360" w:lineRule="auto"/>
        <w:ind w:left="0" w:leftChars="0" w:firstLine="420" w:firstLineChars="200"/>
        <w:outlineLvl w:val="9"/>
        <w:rPr>
          <w:rFonts w:hint="eastAsia" w:ascii="宋体" w:hAnsi="宋体"/>
          <w:color w:val="auto"/>
          <w:szCs w:val="21"/>
          <w:highlight w:val="none"/>
          <w:shd w:val="clear" w:color="auto" w:fill="auto"/>
        </w:rPr>
      </w:pPr>
      <w:r>
        <w:rPr>
          <w:rFonts w:hint="eastAsia" w:ascii="宋体" w:hAnsi="宋体"/>
          <w:color w:val="auto"/>
          <w:szCs w:val="21"/>
          <w:highlight w:val="none"/>
          <w:shd w:val="clear" w:color="auto" w:fill="auto"/>
        </w:rPr>
        <w:t>开户行行号【                】</w:t>
      </w:r>
    </w:p>
    <w:p>
      <w:pPr>
        <w:pStyle w:val="5"/>
        <w:keepNext w:val="0"/>
        <w:keepLines w:val="0"/>
        <w:pageBreakBefore w:val="0"/>
        <w:kinsoku/>
        <w:wordWrap/>
        <w:overflowPunct/>
        <w:topLinePunct w:val="0"/>
        <w:bidi w:val="0"/>
        <w:spacing w:after="0" w:line="360" w:lineRule="auto"/>
        <w:ind w:left="0" w:leftChars="0" w:firstLine="420" w:firstLineChars="200"/>
        <w:outlineLvl w:val="9"/>
        <w:rPr>
          <w:rFonts w:hint="eastAsia" w:ascii="宋体" w:hAnsi="宋体"/>
          <w:color w:val="auto"/>
          <w:szCs w:val="21"/>
          <w:highlight w:val="none"/>
          <w:shd w:val="clear" w:color="auto" w:fill="auto"/>
        </w:rPr>
      </w:pPr>
      <w:r>
        <w:rPr>
          <w:rFonts w:hint="eastAsia" w:ascii="宋体" w:hAnsi="宋体"/>
          <w:color w:val="auto"/>
          <w:szCs w:val="21"/>
          <w:highlight w:val="none"/>
          <w:shd w:val="clear" w:color="auto" w:fill="auto"/>
        </w:rPr>
        <w:t>财务联系人【               】</w:t>
      </w:r>
    </w:p>
    <w:p>
      <w:pPr>
        <w:pStyle w:val="5"/>
        <w:keepNext w:val="0"/>
        <w:keepLines w:val="0"/>
        <w:pageBreakBefore w:val="0"/>
        <w:kinsoku/>
        <w:wordWrap/>
        <w:overflowPunct/>
        <w:topLinePunct w:val="0"/>
        <w:bidi w:val="0"/>
        <w:spacing w:after="0" w:line="360" w:lineRule="auto"/>
        <w:ind w:left="0" w:leftChars="0" w:firstLine="420" w:firstLineChars="200"/>
        <w:outlineLvl w:val="9"/>
        <w:rPr>
          <w:rFonts w:hint="eastAsia" w:ascii="宋体" w:hAnsi="宋体"/>
          <w:color w:val="auto"/>
          <w:szCs w:val="21"/>
          <w:highlight w:val="none"/>
          <w:shd w:val="clear" w:color="auto" w:fill="auto"/>
        </w:rPr>
      </w:pPr>
      <w:r>
        <w:rPr>
          <w:rFonts w:hint="eastAsia" w:ascii="宋体" w:hAnsi="宋体"/>
          <w:color w:val="auto"/>
          <w:szCs w:val="21"/>
          <w:highlight w:val="none"/>
          <w:shd w:val="clear" w:color="auto" w:fill="auto"/>
        </w:rPr>
        <w:t>联系方式【                 】</w:t>
      </w:r>
    </w:p>
    <w:p>
      <w:pPr>
        <w:pStyle w:val="5"/>
        <w:keepNext w:val="0"/>
        <w:keepLines w:val="0"/>
        <w:pageBreakBefore w:val="0"/>
        <w:kinsoku/>
        <w:wordWrap/>
        <w:overflowPunct/>
        <w:topLinePunct w:val="0"/>
        <w:bidi w:val="0"/>
        <w:spacing w:after="0" w:line="360" w:lineRule="auto"/>
        <w:ind w:left="0" w:leftChars="0" w:firstLine="420" w:firstLineChars="200"/>
        <w:outlineLvl w:val="9"/>
        <w:rPr>
          <w:rFonts w:hint="eastAsia" w:ascii="宋体" w:hAnsi="宋体"/>
          <w:color w:val="auto"/>
          <w:szCs w:val="21"/>
          <w:highlight w:val="none"/>
          <w:shd w:val="clear" w:color="auto" w:fill="auto"/>
        </w:rPr>
      </w:pPr>
      <w:r>
        <w:rPr>
          <w:rFonts w:hint="eastAsia" w:ascii="宋体" w:hAnsi="宋体"/>
          <w:color w:val="auto"/>
          <w:szCs w:val="21"/>
          <w:highlight w:val="none"/>
          <w:shd w:val="clear" w:color="auto" w:fill="auto"/>
        </w:rPr>
        <w:t>商业汇票方式结算本合同（协议）总金额占比为【      】。</w:t>
      </w:r>
    </w:p>
    <w:p>
      <w:pPr>
        <w:pStyle w:val="5"/>
        <w:spacing w:after="0" w:line="360" w:lineRule="auto"/>
        <w:ind w:left="0" w:leftChars="0" w:firstLine="420" w:firstLineChars="200"/>
        <w:rPr>
          <w:rFonts w:hint="eastAsia" w:ascii="宋体" w:hAnsi="宋体"/>
          <w:color w:val="auto"/>
          <w:szCs w:val="21"/>
          <w:highlight w:val="none"/>
          <w:shd w:val="clear" w:color="auto" w:fill="auto"/>
          <w:lang w:eastAsia="zh-CN"/>
        </w:rPr>
      </w:pPr>
      <w:r>
        <w:rPr>
          <w:rFonts w:hint="eastAsia" w:ascii="宋体" w:hAnsi="宋体"/>
          <w:color w:val="auto"/>
          <w:szCs w:val="21"/>
          <w:highlight w:val="none"/>
          <w:shd w:val="clear" w:color="auto" w:fill="auto"/>
        </w:rPr>
        <w:t>开立电子汇票日期视为支付日期，票据期限为【  】个月</w:t>
      </w:r>
      <w:r>
        <w:rPr>
          <w:rFonts w:hint="eastAsia" w:ascii="宋体" w:hAnsi="宋体"/>
          <w:color w:val="auto"/>
          <w:szCs w:val="21"/>
          <w:highlight w:val="none"/>
          <w:shd w:val="clear" w:color="auto" w:fill="auto"/>
          <w:lang w:eastAsia="zh-CN"/>
        </w:rPr>
        <w:t>。</w:t>
      </w:r>
    </w:p>
    <w:p>
      <w:pPr>
        <w:pStyle w:val="13"/>
        <w:shd w:val="clear" w:color="auto" w:fill="auto"/>
        <w:spacing w:after="0"/>
        <w:ind w:left="0" w:leftChars="0" w:firstLine="420" w:firstLineChars="200"/>
        <w:rPr>
          <w:rFonts w:hint="eastAsia" w:ascii="宋体"/>
          <w:b w:val="0"/>
          <w:bCs/>
          <w:color w:val="auto"/>
          <w:highlight w:val="none"/>
          <w:lang w:val="en-US" w:eastAsia="zh-CN"/>
        </w:rPr>
      </w:pPr>
      <w:r>
        <w:rPr>
          <w:rFonts w:hint="eastAsia" w:ascii="宋体"/>
          <w:b w:val="0"/>
          <w:bCs/>
          <w:color w:val="auto"/>
          <w:highlight w:val="none"/>
          <w:lang w:val="en-US" w:eastAsia="zh-CN"/>
        </w:rPr>
        <w:t>4、安全文明施工费的支付</w:t>
      </w:r>
    </w:p>
    <w:p>
      <w:pPr>
        <w:pStyle w:val="13"/>
        <w:shd w:val="clear" w:color="auto" w:fill="auto"/>
        <w:spacing w:after="0"/>
        <w:ind w:left="0" w:leftChars="0" w:firstLine="420" w:firstLineChars="200"/>
        <w:rPr>
          <w:rFonts w:hint="default" w:ascii="宋体"/>
          <w:b w:val="0"/>
          <w:bCs/>
          <w:color w:val="auto"/>
          <w:highlight w:val="none"/>
          <w:u w:val="none"/>
          <w:lang w:val="en-US" w:eastAsia="zh-CN"/>
        </w:rPr>
      </w:pPr>
      <w:r>
        <w:rPr>
          <w:rFonts w:hint="eastAsia" w:ascii="宋体"/>
          <w:b w:val="0"/>
          <w:bCs/>
          <w:color w:val="auto"/>
          <w:highlight w:val="none"/>
          <w:lang w:val="en-US" w:eastAsia="zh-CN"/>
        </w:rPr>
        <w:t>本项目安全文明施工费金</w:t>
      </w:r>
      <w:r>
        <w:rPr>
          <w:rFonts w:hint="eastAsia" w:ascii="宋体"/>
          <w:b w:val="0"/>
          <w:bCs/>
          <w:color w:val="auto"/>
          <w:highlight w:val="none"/>
        </w:rPr>
        <w:t>额 ￥</w:t>
      </w:r>
      <w:r>
        <w:rPr>
          <w:rFonts w:hint="eastAsia" w:ascii="宋体"/>
          <w:b w:val="0"/>
          <w:bCs/>
          <w:color w:val="auto"/>
          <w:highlight w:val="none"/>
          <w:u w:val="single"/>
        </w:rPr>
        <w:t xml:space="preserve">       </w:t>
      </w:r>
      <w:r>
        <w:rPr>
          <w:rFonts w:hint="eastAsia" w:ascii="宋体"/>
          <w:b w:val="0"/>
          <w:bCs/>
          <w:color w:val="auto"/>
          <w:highlight w:val="none"/>
        </w:rPr>
        <w:t>元，（大写）</w:t>
      </w:r>
      <w:r>
        <w:rPr>
          <w:rFonts w:hint="eastAsia" w:ascii="宋体"/>
          <w:b w:val="0"/>
          <w:bCs/>
          <w:color w:val="auto"/>
          <w:highlight w:val="none"/>
          <w:u w:val="single"/>
        </w:rPr>
        <w:t xml:space="preserve">        </w:t>
      </w:r>
      <w:r>
        <w:rPr>
          <w:rFonts w:hint="eastAsia" w:ascii="宋体"/>
          <w:b w:val="0"/>
          <w:bCs/>
          <w:color w:val="auto"/>
          <w:highlight w:val="none"/>
          <w:lang w:eastAsia="zh-CN"/>
        </w:rPr>
        <w:t>。</w:t>
      </w:r>
      <w:r>
        <w:rPr>
          <w:rFonts w:hint="eastAsia" w:ascii="宋体"/>
          <w:b w:val="0"/>
          <w:bCs/>
          <w:color w:val="auto"/>
          <w:highlight w:val="none"/>
          <w:lang w:val="en-US" w:eastAsia="zh-CN"/>
        </w:rPr>
        <w:t>最终结算金额</w:t>
      </w:r>
      <w:r>
        <w:rPr>
          <w:rFonts w:hint="eastAsia" w:ascii="宋体"/>
          <w:b w:val="0"/>
          <w:bCs/>
          <w:color w:val="auto"/>
          <w:highlight w:val="none"/>
          <w:u w:val="none"/>
          <w:lang w:val="en-US" w:eastAsia="zh-CN"/>
        </w:rPr>
        <w:t>根据《中国南方电网有限责任公司电力建设定额站转发电力工程造价与定额管理总站关于调整安全文明施工费的通知》（南方电网定额〔2023〕3号）调整。</w:t>
      </w:r>
    </w:p>
    <w:p>
      <w:pPr>
        <w:pStyle w:val="13"/>
        <w:shd w:val="clear" w:color="auto" w:fill="auto"/>
        <w:spacing w:after="0"/>
        <w:ind w:left="0" w:leftChars="0" w:firstLine="420" w:firstLineChars="200"/>
        <w:rPr>
          <w:rFonts w:hint="eastAsia" w:ascii="宋体"/>
          <w:b w:val="0"/>
          <w:bCs/>
          <w:color w:val="auto"/>
          <w:highlight w:val="none"/>
          <w:u w:val="none"/>
          <w:lang w:val="en-US" w:eastAsia="zh-CN"/>
        </w:rPr>
      </w:pPr>
      <w:r>
        <w:rPr>
          <w:rFonts w:hint="eastAsia" w:ascii="宋体"/>
          <w:b w:val="0"/>
          <w:bCs/>
          <w:color w:val="auto"/>
          <w:highlight w:val="none"/>
          <w:u w:val="none"/>
          <w:lang w:val="en-US" w:eastAsia="zh-CN"/>
        </w:rPr>
        <w:t>安全文明施工费的使用执行《关于印发基建项目安全文明施工费使用工作指引（试行）的通知》（广电办建〔2022〕28号）规定。支付方式如下：</w:t>
      </w:r>
    </w:p>
    <w:p>
      <w:pPr>
        <w:pStyle w:val="13"/>
        <w:shd w:val="clear" w:color="auto" w:fill="auto"/>
        <w:spacing w:after="0"/>
        <w:ind w:left="0" w:leftChars="0" w:firstLine="420" w:firstLineChars="200"/>
        <w:rPr>
          <w:rFonts w:hint="eastAsia"/>
          <w:color w:val="auto"/>
          <w:highlight w:val="none"/>
          <w:lang w:val="en-US" w:eastAsia="zh-CN"/>
        </w:rPr>
      </w:pPr>
      <w:r>
        <w:rPr>
          <w:rFonts w:hint="eastAsia" w:ascii="宋体"/>
          <w:b w:val="0"/>
          <w:bCs/>
          <w:color w:val="auto"/>
          <w:highlight w:val="none"/>
          <w:lang w:val="en-US" w:eastAsia="zh-CN"/>
        </w:rPr>
        <w:t>（1）完成开工准备后，随预付款同步支付60%安全文明施工费，即预付款=（合同价-安全文明施工费）*预付款比例+60%*安全文明施工费，预付款扣回时不包含已支付的60%的安全文明施工费；也可预付款和安全文明施工费分别申请，建设单位应在开工后28天完成</w:t>
      </w:r>
      <w:r>
        <w:rPr>
          <w:rFonts w:hint="eastAsia"/>
          <w:color w:val="auto"/>
          <w:highlight w:val="none"/>
          <w:lang w:val="en-US" w:eastAsia="zh-CN"/>
        </w:rPr>
        <w:t>60%安全文明施工费的支付。</w:t>
      </w:r>
    </w:p>
    <w:p>
      <w:pPr>
        <w:spacing w:line="360" w:lineRule="auto"/>
        <w:ind w:firstLine="420" w:firstLineChars="200"/>
        <w:rPr>
          <w:rFonts w:hint="default"/>
          <w:color w:val="auto"/>
          <w:highlight w:val="none"/>
          <w:lang w:val="en-US" w:eastAsia="zh-CN"/>
        </w:rPr>
      </w:pPr>
      <w:r>
        <w:rPr>
          <w:rFonts w:hint="eastAsia"/>
          <w:color w:val="auto"/>
          <w:highlight w:val="none"/>
          <w:lang w:val="en-US" w:eastAsia="zh-CN"/>
        </w:rPr>
        <w:t>（2）工程施工过程中，承包人根据项目实际进度完成现场安全文明施工设施安装后，报审《安全文明施工设施验收表》，经施工项目经理签字确认后，报监理项目部审核验收，由项目总监理工程师签字确认，报业主项目部审批。</w:t>
      </w:r>
    </w:p>
    <w:p>
      <w:pPr>
        <w:spacing w:line="360" w:lineRule="auto"/>
        <w:ind w:firstLine="420" w:firstLineChars="200"/>
        <w:rPr>
          <w:rFonts w:hint="eastAsia"/>
          <w:color w:val="auto"/>
          <w:highlight w:val="none"/>
          <w:lang w:val="en-US" w:eastAsia="zh-CN"/>
        </w:rPr>
      </w:pPr>
      <w:r>
        <w:rPr>
          <w:rFonts w:hint="eastAsia"/>
          <w:color w:val="auto"/>
          <w:highlight w:val="none"/>
          <w:lang w:val="en-US" w:eastAsia="zh-CN"/>
        </w:rPr>
        <w:t>施工进度款与安全文明施工费分开申请，安全文明施工费按“安全文明施工费使用情况报审表”上审核费用支付，申请安全文明施工费进度款时，当审批后安全文明施工投入金额超60%后，按进度支付超出部分费用，原则上累计支付不得超合同中安全文明施工费限额，达到100%时止付。由于重大设计变更需调整安全文明施工费的，可按设计变更预算中的安全文明施工费先行支付，竣工结算时由造价咨询单位按合同约定重新核定费用。</w:t>
      </w:r>
    </w:p>
    <w:p>
      <w:pPr>
        <w:spacing w:line="360" w:lineRule="auto"/>
        <w:ind w:firstLine="420" w:firstLineChars="200"/>
        <w:rPr>
          <w:rFonts w:hint="eastAsia"/>
          <w:color w:val="auto"/>
          <w:highlight w:val="none"/>
          <w:lang w:val="en-US" w:eastAsia="zh-CN"/>
        </w:rPr>
      </w:pPr>
      <w:r>
        <w:rPr>
          <w:rFonts w:hint="eastAsia"/>
          <w:color w:val="auto"/>
          <w:highlight w:val="none"/>
          <w:lang w:val="en-US" w:eastAsia="zh-CN"/>
        </w:rPr>
        <w:t>（3）项目竣工投产后，造价咨询单位依据合同、设计变更、承包商扣分等开展安全文明施工费结算，在最后一笔工程结算款结清安全文明施工费，项目质保金计费基数不含安全文明施工费。造价咨询单位按建设单位、监理单位审核的施工过程“安全文明施工费使用情况报审表”，核定安全文明施工费结算价，核定安全文明施工费小于合同价中安全文明施工费的，按核定费用结算，原则上不超按合同结算价计算的安全文明施工费限额。建设单位依据《南方电网公司基建承包商违章处罚通知单》，提供该项目施工总承包单位及分包单位在安全文明施工方面的扣分处罚明细，造价咨询单位以罚单所对应标段施工合同价为基数扣减施工费，按照每扣0.1分，处以合同价万分之一的经济处罚，即施工费结算扣减金额=合同价*0.1‰*安全文明施工扣罚分数/0.1。</w:t>
      </w:r>
    </w:p>
    <w:p>
      <w:pPr>
        <w:spacing w:line="360" w:lineRule="auto"/>
        <w:ind w:firstLine="420" w:firstLineChars="200"/>
        <w:rPr>
          <w:rFonts w:hint="eastAsia"/>
          <w:color w:val="auto"/>
          <w:highlight w:val="none"/>
          <w:lang w:val="en-US" w:eastAsia="zh-CN"/>
        </w:rPr>
      </w:pPr>
      <w:r>
        <w:rPr>
          <w:rFonts w:hint="eastAsia"/>
          <w:color w:val="auto"/>
          <w:highlight w:val="none"/>
          <w:lang w:val="en-US" w:eastAsia="zh-CN"/>
        </w:rPr>
        <w:t>（4）承包人应根据国家及网公司法律法规和相关规定，正确使用安全文明施工费、落实保障安全的各项措施，并接受监理及业主项目部的监督、审核及检查。</w:t>
      </w:r>
    </w:p>
    <w:p>
      <w:pPr>
        <w:spacing w:line="360" w:lineRule="auto"/>
        <w:ind w:firstLine="420" w:firstLineChars="200"/>
        <w:rPr>
          <w:rFonts w:hint="eastAsia"/>
          <w:color w:val="auto"/>
          <w:highlight w:val="none"/>
          <w:lang w:val="en-US" w:eastAsia="zh-CN"/>
        </w:rPr>
      </w:pPr>
      <w:r>
        <w:rPr>
          <w:rFonts w:hint="eastAsia"/>
          <w:color w:val="auto"/>
          <w:highlight w:val="none"/>
          <w:lang w:val="en-US" w:eastAsia="zh-CN"/>
        </w:rPr>
        <w:t>（5）承包人应健全安全文明施工费管理制度和核算制度，不得挤占或挪用安全文明施工费，明确安全生产费用使用、管理的程序、职责及权限。接受建设单位、监理单位对安全文明施工费使用的监督管理，按公司管理要求开展现场安全文明施工布置，确保安全文明施工费用专款专用。</w:t>
      </w:r>
    </w:p>
    <w:p>
      <w:pPr>
        <w:spacing w:line="360" w:lineRule="auto"/>
        <w:ind w:firstLine="420" w:firstLineChars="200"/>
        <w:rPr>
          <w:rFonts w:hint="eastAsia"/>
          <w:color w:val="auto"/>
          <w:highlight w:val="none"/>
          <w:lang w:val="en-US" w:eastAsia="zh-CN"/>
        </w:rPr>
      </w:pPr>
      <w:r>
        <w:rPr>
          <w:rFonts w:hint="eastAsia"/>
          <w:color w:val="auto"/>
          <w:highlight w:val="none"/>
          <w:lang w:val="en-US" w:eastAsia="zh-CN"/>
        </w:rPr>
        <w:t>（6）承包人如未及时落实保障安全的各项措施、未按规定正确使用安全文明施工费时，监理单位或业主项目部有权责令承包人整改、未按期限要求完成整改的，必要时责令暂停施工，至整改完成为止。对于安全文明设施存在问题而承包人拒不整改的，建设单位可安排其它单位对该单位安全文明施工工作进行完善，期间所发生的一切责任或费用由承包人承担。</w:t>
      </w:r>
    </w:p>
    <w:p>
      <w:pPr>
        <w:pStyle w:val="13"/>
        <w:shd w:val="clear" w:color="auto" w:fill="auto"/>
        <w:spacing w:after="0"/>
        <w:ind w:left="0" w:leftChars="0" w:firstLine="420" w:firstLineChars="200"/>
        <w:rPr>
          <w:rFonts w:hint="eastAsia" w:ascii="宋体"/>
          <w:b w:val="0"/>
          <w:bCs/>
          <w:color w:val="auto"/>
          <w:highlight w:val="none"/>
          <w:lang w:val="en-US" w:eastAsia="zh-CN"/>
        </w:rPr>
      </w:pPr>
      <w:r>
        <w:rPr>
          <w:rFonts w:hint="eastAsia" w:ascii="宋体"/>
          <w:b w:val="0"/>
          <w:bCs/>
          <w:color w:val="auto"/>
          <w:highlight w:val="none"/>
          <w:lang w:val="en-US" w:eastAsia="zh-CN"/>
        </w:rPr>
        <w:t>5、农民工工资专项费用的支付</w:t>
      </w:r>
    </w:p>
    <w:p>
      <w:pPr>
        <w:shd w:val="clear" w:color="auto" w:fill="auto"/>
        <w:spacing w:line="360" w:lineRule="auto"/>
        <w:ind w:firstLine="420" w:firstLineChars="200"/>
        <w:rPr>
          <w:rFonts w:hint="eastAsia"/>
          <w:color w:val="auto"/>
          <w:highlight w:val="none"/>
          <w:lang w:val="en-US" w:eastAsia="zh-CN"/>
        </w:rPr>
      </w:pPr>
      <w:r>
        <w:rPr>
          <w:rFonts w:hint="eastAsia"/>
          <w:color w:val="auto"/>
          <w:highlight w:val="none"/>
          <w:lang w:val="en-US" w:eastAsia="zh-CN"/>
        </w:rPr>
        <w:t>本项目农民工工资总额 ￥</w:t>
      </w:r>
      <w:r>
        <w:rPr>
          <w:rFonts w:hint="eastAsia"/>
          <w:color w:val="auto"/>
          <w:highlight w:val="none"/>
          <w:u w:val="single"/>
          <w:lang w:val="en-US" w:eastAsia="zh-CN"/>
        </w:rPr>
        <w:t xml:space="preserve">       </w:t>
      </w:r>
      <w:r>
        <w:rPr>
          <w:rFonts w:hint="eastAsia"/>
          <w:color w:val="auto"/>
          <w:highlight w:val="none"/>
          <w:lang w:val="en-US" w:eastAsia="zh-CN"/>
        </w:rPr>
        <w:t>元，（大写）</w:t>
      </w:r>
      <w:r>
        <w:rPr>
          <w:rFonts w:hint="eastAsia"/>
          <w:color w:val="auto"/>
          <w:highlight w:val="none"/>
          <w:u w:val="single"/>
          <w:lang w:val="en-US" w:eastAsia="zh-CN"/>
        </w:rPr>
        <w:t xml:space="preserve">        </w:t>
      </w:r>
      <w:r>
        <w:rPr>
          <w:rFonts w:hint="eastAsia"/>
          <w:color w:val="auto"/>
          <w:highlight w:val="none"/>
          <w:lang w:val="en-US" w:eastAsia="zh-CN"/>
        </w:rPr>
        <w:t>，占合同总额比例为：</w:t>
      </w:r>
      <w:r>
        <w:rPr>
          <w:rFonts w:hint="eastAsia"/>
          <w:color w:val="auto"/>
          <w:highlight w:val="none"/>
          <w:u w:val="single"/>
          <w:lang w:val="en-US" w:eastAsia="zh-CN"/>
        </w:rPr>
        <w:t xml:space="preserve">         </w:t>
      </w:r>
      <w:r>
        <w:rPr>
          <w:rFonts w:hint="eastAsia"/>
          <w:color w:val="auto"/>
          <w:highlight w:val="none"/>
          <w:lang w:val="en-US" w:eastAsia="zh-CN"/>
        </w:rPr>
        <w:t xml:space="preserve"> %。</w:t>
      </w:r>
    </w:p>
    <w:p>
      <w:pPr>
        <w:shd w:val="clear" w:color="auto" w:fill="auto"/>
        <w:spacing w:line="360" w:lineRule="auto"/>
        <w:ind w:firstLine="420" w:firstLineChars="200"/>
        <w:rPr>
          <w:rFonts w:hint="eastAsia"/>
          <w:color w:val="auto"/>
          <w:highlight w:val="none"/>
          <w:lang w:val="en-US" w:eastAsia="zh-CN"/>
        </w:rPr>
      </w:pPr>
      <w:r>
        <w:rPr>
          <w:rFonts w:hint="eastAsia"/>
          <w:color w:val="auto"/>
          <w:highlight w:val="none"/>
          <w:lang w:val="en-US" w:eastAsia="zh-CN"/>
        </w:rPr>
        <w:t>农民工工资专项费用严格按照《保障农民工工资支付条例》（中华人民共和国国务院令 第724号）及相关法律法规执行。承包人应按规定开设农民工工资专用账户，专项用于支付本工程农民工工资。在合同履行期间，如国家有最新文件的，按最新文件要求执行。</w:t>
      </w:r>
    </w:p>
    <w:p>
      <w:pPr>
        <w:shd w:val="clear" w:color="auto" w:fill="auto"/>
        <w:spacing w:line="360" w:lineRule="auto"/>
        <w:ind w:firstLine="420" w:firstLineChars="200"/>
        <w:rPr>
          <w:rFonts w:hint="eastAsia"/>
          <w:color w:val="auto"/>
          <w:highlight w:val="none"/>
          <w:lang w:val="en-US" w:eastAsia="zh-CN"/>
        </w:rPr>
      </w:pPr>
      <w:r>
        <w:rPr>
          <w:rFonts w:hint="eastAsia"/>
          <w:color w:val="auto"/>
          <w:highlight w:val="none"/>
          <w:lang w:val="en-US" w:eastAsia="zh-CN"/>
        </w:rPr>
        <w:t>支付方式如下：</w:t>
      </w:r>
    </w:p>
    <w:p>
      <w:pPr>
        <w:shd w:val="clear" w:color="auto" w:fill="auto"/>
        <w:spacing w:line="360" w:lineRule="auto"/>
        <w:ind w:firstLine="420" w:firstLineChars="200"/>
        <w:rPr>
          <w:rFonts w:hint="default"/>
          <w:color w:val="auto"/>
          <w:highlight w:val="none"/>
          <w:lang w:val="en-US" w:eastAsia="zh-CN"/>
        </w:rPr>
      </w:pPr>
      <w:r>
        <w:rPr>
          <w:rFonts w:hint="eastAsia"/>
          <w:color w:val="auto"/>
          <w:highlight w:val="none"/>
          <w:lang w:val="en-US" w:eastAsia="zh-CN"/>
        </w:rPr>
        <w:t>农民工工资专项费用根据比例按月度支付，具体金额以业主项目部审核为准。经确认的农民工工资款单独划入本工程“农民工工资专用账户”中，除发放本工程农民工工资外，不得用于其他用途。因工程变更引起的工程量增加，新增工程量中的农民工工资比例原则上按合同协议书中约定的原比例执行。</w:t>
      </w:r>
    </w:p>
    <w:p>
      <w:pPr>
        <w:pStyle w:val="5"/>
        <w:spacing w:after="0"/>
        <w:ind w:left="0" w:leftChars="0" w:firstLine="420" w:firstLineChars="200"/>
        <w:outlineLvl w:val="3"/>
        <w:rPr>
          <w:rFonts w:ascii="宋体" w:hAnsi="宋体"/>
          <w:color w:val="auto"/>
          <w:szCs w:val="21"/>
          <w:highlight w:val="none"/>
        </w:rPr>
      </w:pPr>
      <w:r>
        <w:rPr>
          <w:rFonts w:hint="eastAsia" w:ascii="宋体" w:hAnsi="宋体"/>
          <w:color w:val="auto"/>
          <w:szCs w:val="21"/>
          <w:highlight w:val="none"/>
        </w:rPr>
        <w:t>14.1</w:t>
      </w:r>
      <w:r>
        <w:rPr>
          <w:rFonts w:ascii="宋体" w:hAnsi="宋体"/>
          <w:color w:val="auto"/>
          <w:szCs w:val="21"/>
          <w:highlight w:val="none"/>
        </w:rPr>
        <w:t>1</w:t>
      </w:r>
      <w:r>
        <w:rPr>
          <w:rFonts w:hint="eastAsia" w:ascii="宋体" w:hAnsi="宋体"/>
          <w:color w:val="auto"/>
          <w:szCs w:val="21"/>
          <w:highlight w:val="none"/>
        </w:rPr>
        <w:t>申请最终</w:t>
      </w:r>
      <w:r>
        <w:rPr>
          <w:rFonts w:ascii="宋体" w:hAnsi="宋体"/>
          <w:color w:val="auto"/>
          <w:szCs w:val="21"/>
          <w:highlight w:val="none"/>
        </w:rPr>
        <w:t>支付证书</w:t>
      </w:r>
    </w:p>
    <w:p>
      <w:pPr>
        <w:pStyle w:val="13"/>
        <w:spacing w:after="0"/>
        <w:ind w:left="0" w:leftChars="0" w:firstLine="422" w:firstLineChars="200"/>
        <w:rPr>
          <w:rFonts w:hint="eastAsia" w:ascii="宋体"/>
          <w:color w:val="auto"/>
          <w:highlight w:val="none"/>
        </w:rPr>
      </w:pPr>
      <w:r>
        <w:rPr>
          <w:rFonts w:hint="eastAsia" w:ascii="宋体"/>
          <w:color w:val="auto"/>
          <w:highlight w:val="none"/>
        </w:rPr>
        <w:t>替换以下内容到第14.11款：</w:t>
      </w:r>
    </w:p>
    <w:p>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工程启动投产后</w:t>
      </w:r>
      <w:r>
        <w:rPr>
          <w:rFonts w:hint="eastAsia" w:ascii="宋体"/>
          <w:b w:val="0"/>
          <w:bCs/>
          <w:color w:val="auto"/>
          <w:highlight w:val="none"/>
          <w:u w:val="single"/>
        </w:rPr>
        <w:t xml:space="preserve"> </w:t>
      </w:r>
      <w:r>
        <w:rPr>
          <w:rFonts w:hint="eastAsia" w:ascii="宋体"/>
          <w:b w:val="0"/>
          <w:bCs/>
          <w:color w:val="auto"/>
          <w:highlight w:val="none"/>
          <w:u w:val="single"/>
          <w:lang w:val="en-US" w:eastAsia="zh-CN"/>
        </w:rPr>
        <w:t xml:space="preserve"> </w:t>
      </w:r>
      <w:r>
        <w:rPr>
          <w:rFonts w:hint="eastAsia" w:ascii="宋体"/>
          <w:b w:val="0"/>
          <w:bCs/>
          <w:color w:val="auto"/>
          <w:highlight w:val="none"/>
          <w:u w:val="single"/>
        </w:rPr>
        <w:t xml:space="preserve"> </w:t>
      </w:r>
      <w:r>
        <w:rPr>
          <w:rFonts w:hint="eastAsia" w:ascii="宋体"/>
          <w:b w:val="0"/>
          <w:bCs/>
          <w:color w:val="auto"/>
          <w:highlight w:val="none"/>
        </w:rPr>
        <w:t>日内，承包人须提交工程结算书及完整相关结算依据资料报监理公司、发包人审核。</w:t>
      </w:r>
    </w:p>
    <w:p>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发包人自收到工程结算书及完整相关结算依据资料后28日内进行核实，给予确认或提出修改意见。</w:t>
      </w:r>
    </w:p>
    <w:p>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发包人在收到承包人的竣工付款申请单和适用税率的增值税专用发票后签发竣工付款证书。</w:t>
      </w:r>
    </w:p>
    <w:p>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1、承包人超过规定时间未报送竣工结算资料（或未完整报送竣工结算资料）的，发包人有权根据下述原则办理结算：</w:t>
      </w:r>
    </w:p>
    <w:p>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（1）按中标价办理结算；</w:t>
      </w:r>
    </w:p>
    <w:p>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（2）有核减依据时，按中标价扣减相应核减费用办理结算。</w:t>
      </w:r>
    </w:p>
    <w:p>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（3）承包人由于自身的原因超过约定的时间未报送竣工结算资料（或未完整报送竣工结算资料）的，从逾期次日起，每日扣罚违约金</w:t>
      </w:r>
      <w:r>
        <w:rPr>
          <w:rFonts w:hint="eastAsia" w:ascii="宋体"/>
          <w:b w:val="0"/>
          <w:bCs/>
          <w:color w:val="auto"/>
          <w:highlight w:val="none"/>
          <w:u w:val="single"/>
        </w:rPr>
        <w:t>1000元</w:t>
      </w:r>
      <w:r>
        <w:rPr>
          <w:rFonts w:hint="eastAsia" w:ascii="宋体"/>
          <w:b w:val="0"/>
          <w:bCs/>
          <w:color w:val="auto"/>
          <w:highlight w:val="none"/>
        </w:rPr>
        <w:t>（承包人提供结算资料的同时需提供发包人工程管理部门签字盖章确认并注明签收日期的工程结算资料签收记录作为计算违约金的依据）。</w:t>
      </w:r>
    </w:p>
    <w:p>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4）承包人如未在上述规定时间内提供完整的工程竣工结算资料，经发包人书面催促后14天内仍未提供或没有明确答复的，发包人有权单方委托造价审核单位按已有资料依照结算原则进行审定，责任由承包人自负。</w:t>
      </w:r>
    </w:p>
    <w:p>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2、承包人未提出增加费用，经审定需调增结算费用，此时产生的结算审核费用由承包人承担。</w:t>
      </w:r>
    </w:p>
    <w:p>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3、结算费用经发包人委托的中介机构审定，造价咨询服务基本收费部分由发包人支付，效益收费部分由承包人支付的方式，效益收费部分在工程结算款中扣除并由发包人支付给中介机构。</w:t>
      </w:r>
    </w:p>
    <w:p>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4、承包人由于自身的原因未能及时、准确、完整地在工程管理系统中录入数据并经书面警告的，工程竣工结算时，最高扣减结算价款10万元。</w:t>
      </w:r>
      <w:r>
        <w:rPr>
          <w:rFonts w:hint="eastAsia" w:ascii="宋体" w:cs="Times New Roman"/>
          <w:b w:val="0"/>
          <w:bCs/>
          <w:color w:val="auto"/>
          <w:highlight w:val="none"/>
          <w:shd w:val="clear" w:color="auto" w:fill="auto"/>
          <w:lang w:val="en-US" w:eastAsia="zh-CN"/>
        </w:rPr>
        <w:t>（或承包商违章处罚扣0.2-1分）</w:t>
      </w:r>
    </w:p>
    <w:p>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5、在内外部审计过程中，承包人应积极配合，当审计中发现并经发包人确认结算中存在错算款项，发包人有权扣回，承包人应在收到财务决算审计审核报告复核通知书后按发包人要求将错算款项交回发包人。</w:t>
      </w:r>
    </w:p>
    <w:p>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6、承包人应做好职责范围内基建项目归档文件的收集、整理及归档工作，并以签署完毕的《基建项目档案移交表》和《基建项目档案移交清册》为依据对承包人进行考核，如未在规定时间内移交或应归档文件材料不真实、不齐全、不完整或整理不规范的，可根据情节严重程度，最多可扣罚承包人合同总额的1%。</w:t>
      </w:r>
      <w:r>
        <w:rPr>
          <w:rFonts w:hint="eastAsia" w:ascii="宋体" w:cs="Times New Roman"/>
          <w:b w:val="0"/>
          <w:bCs/>
          <w:color w:val="auto"/>
          <w:highlight w:val="none"/>
          <w:shd w:val="clear" w:color="auto" w:fill="auto"/>
          <w:lang w:val="en-US" w:eastAsia="zh-CN"/>
        </w:rPr>
        <w:t>（或承包商违章处罚扣0.2-1分）</w:t>
      </w:r>
    </w:p>
    <w:p>
      <w:pPr>
        <w:pStyle w:val="13"/>
        <w:spacing w:after="0"/>
        <w:ind w:left="0" w:leftChars="0" w:firstLine="420" w:firstLineChars="200"/>
        <w:rPr>
          <w:rFonts w:hint="eastAsia" w:ascii="宋体" w:eastAsia="宋体"/>
          <w:b w:val="0"/>
          <w:bCs/>
          <w:color w:val="auto"/>
          <w:highlight w:val="none"/>
          <w:lang w:val="en-US" w:eastAsia="zh-CN"/>
        </w:rPr>
      </w:pPr>
      <w:r>
        <w:rPr>
          <w:rFonts w:hint="eastAsia" w:ascii="宋体"/>
          <w:b w:val="0"/>
          <w:bCs/>
          <w:color w:val="auto"/>
          <w:highlight w:val="none"/>
          <w:lang w:val="en-US" w:eastAsia="zh-CN"/>
        </w:rPr>
        <w:t>7、发包人依据本项目施工总承包单位及分包单位在安全文明施工方面的扣分处罚明细，以施工合同价为基数扣减施工费，按照每扣0.1分，处以合同价万分之一的经济处罚，即施工费结算扣减金额=合同价*0.1‰*安全文明施工扣罚分数/0.1。</w:t>
      </w:r>
    </w:p>
    <w:p>
      <w:pPr>
        <w:pStyle w:val="5"/>
        <w:spacing w:after="0"/>
        <w:ind w:left="0" w:leftChars="0" w:firstLine="420" w:firstLineChars="200"/>
        <w:outlineLvl w:val="3"/>
        <w:rPr>
          <w:rFonts w:ascii="宋体" w:hAnsi="宋体"/>
          <w:color w:val="auto"/>
          <w:szCs w:val="21"/>
          <w:highlight w:val="none"/>
        </w:rPr>
      </w:pPr>
      <w:r>
        <w:rPr>
          <w:rFonts w:hint="eastAsia" w:ascii="宋体" w:hAnsi="宋体"/>
          <w:color w:val="auto"/>
          <w:szCs w:val="21"/>
          <w:highlight w:val="none"/>
        </w:rPr>
        <w:t xml:space="preserve">14.12 </w:t>
      </w:r>
      <w:r>
        <w:rPr>
          <w:rFonts w:hint="eastAsia" w:ascii="宋体" w:hAnsi="宋体"/>
          <w:color w:val="auto"/>
          <w:szCs w:val="21"/>
          <w:highlight w:val="none"/>
        </w:rPr>
        <w:tab/>
      </w:r>
      <w:r>
        <w:rPr>
          <w:rFonts w:hint="eastAsia" w:ascii="宋体" w:hAnsi="宋体"/>
          <w:color w:val="auto"/>
          <w:szCs w:val="21"/>
          <w:highlight w:val="none"/>
        </w:rPr>
        <w:t>结清单</w:t>
      </w:r>
    </w:p>
    <w:p>
      <w:pPr>
        <w:pStyle w:val="13"/>
        <w:spacing w:after="0"/>
        <w:ind w:left="0" w:leftChars="0" w:firstLine="422" w:firstLineChars="200"/>
        <w:rPr>
          <w:rFonts w:hint="eastAsia" w:ascii="宋体"/>
          <w:color w:val="auto"/>
          <w:highlight w:val="none"/>
        </w:rPr>
      </w:pPr>
      <w:r>
        <w:rPr>
          <w:rFonts w:hint="eastAsia" w:ascii="宋体"/>
          <w:color w:val="auto"/>
          <w:highlight w:val="none"/>
        </w:rPr>
        <w:t>增加以下内容到14.12款：</w:t>
      </w:r>
    </w:p>
    <w:p>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承包人负责在工程竣工投产后7天内，上报结算资料；参与总结算报告的编制工作。</w:t>
      </w:r>
    </w:p>
    <w:p>
      <w:pPr>
        <w:pStyle w:val="5"/>
        <w:spacing w:after="0"/>
        <w:ind w:left="0" w:leftChars="0" w:firstLine="420" w:firstLineChars="200"/>
        <w:outlineLvl w:val="3"/>
        <w:rPr>
          <w:rFonts w:hint="default" w:ascii="宋体" w:hAnsi="宋体" w:eastAsia="宋体"/>
          <w:color w:val="auto"/>
          <w:szCs w:val="21"/>
          <w:highlight w:val="none"/>
          <w:lang w:val="en-US" w:eastAsia="zh-CN"/>
        </w:rPr>
      </w:pPr>
      <w:r>
        <w:rPr>
          <w:rFonts w:hint="eastAsia" w:ascii="宋体" w:hAnsi="宋体"/>
          <w:color w:val="auto"/>
          <w:szCs w:val="21"/>
          <w:highlight w:val="none"/>
        </w:rPr>
        <w:t xml:space="preserve">20.6  </w:t>
      </w:r>
      <w:r>
        <w:rPr>
          <w:rFonts w:hint="eastAsia" w:ascii="宋体" w:hAnsi="宋体"/>
          <w:color w:val="auto"/>
          <w:szCs w:val="21"/>
          <w:highlight w:val="none"/>
          <w:lang w:val="en-US" w:eastAsia="zh-CN"/>
        </w:rPr>
        <w:t>争议解决</w:t>
      </w:r>
    </w:p>
    <w:p>
      <w:pPr>
        <w:pStyle w:val="5"/>
        <w:spacing w:after="0" w:line="360" w:lineRule="auto"/>
        <w:ind w:left="0" w:leftChars="0" w:firstLine="422" w:firstLineChars="200"/>
        <w:rPr>
          <w:rFonts w:hint="eastAsia" w:ascii="宋体" w:hAnsi="宋体"/>
          <w:b/>
          <w:bCs/>
          <w:color w:val="auto"/>
          <w:szCs w:val="21"/>
          <w:highlight w:val="none"/>
        </w:rPr>
      </w:pPr>
      <w:r>
        <w:rPr>
          <w:rFonts w:hint="eastAsia" w:ascii="宋体" w:hAnsi="宋体"/>
          <w:b/>
          <w:bCs/>
          <w:color w:val="auto"/>
          <w:szCs w:val="21"/>
          <w:highlight w:val="none"/>
          <w:lang w:eastAsia="zh-CN"/>
        </w:rPr>
        <w:t>替换</w:t>
      </w:r>
      <w:r>
        <w:rPr>
          <w:rFonts w:hint="eastAsia" w:ascii="宋体" w:hAnsi="宋体"/>
          <w:b/>
          <w:bCs/>
          <w:color w:val="auto"/>
          <w:szCs w:val="21"/>
          <w:highlight w:val="none"/>
        </w:rPr>
        <w:t>以下内容到第20.6款：</w:t>
      </w:r>
    </w:p>
    <w:p>
      <w:pPr>
        <w:pStyle w:val="5"/>
        <w:spacing w:after="0" w:line="360" w:lineRule="auto"/>
        <w:ind w:left="0" w:leftChars="0" w:firstLine="420" w:firstLineChars="200"/>
        <w:rPr>
          <w:rFonts w:hint="eastAsia" w:ascii="宋体" w:hAnsi="宋体"/>
          <w:color w:val="auto"/>
          <w:szCs w:val="21"/>
          <w:highlight w:val="none"/>
        </w:rPr>
      </w:pPr>
      <w:r>
        <w:rPr>
          <w:rFonts w:hint="eastAsia" w:ascii="宋体" w:hAnsi="宋体"/>
          <w:color w:val="auto"/>
          <w:szCs w:val="21"/>
          <w:highlight w:val="none"/>
        </w:rPr>
        <w:t>在无法执行第20.5条[友好解决]的情况下，因合同及合同有关事项发生的争议，按下列第（  ）种方式解决：</w:t>
      </w:r>
    </w:p>
    <w:p>
      <w:pPr>
        <w:pStyle w:val="5"/>
        <w:spacing w:after="0" w:line="360" w:lineRule="auto"/>
        <w:ind w:left="0" w:leftChars="0" w:firstLine="420" w:firstLineChars="200"/>
        <w:rPr>
          <w:rFonts w:hint="eastAsia" w:ascii="宋体" w:hAnsi="宋体"/>
          <w:color w:val="auto"/>
          <w:szCs w:val="21"/>
          <w:highlight w:val="none"/>
        </w:rPr>
      </w:pPr>
      <w:r>
        <w:rPr>
          <w:rFonts w:hint="eastAsia" w:ascii="宋体" w:hAnsi="宋体"/>
          <w:color w:val="auto"/>
          <w:szCs w:val="21"/>
          <w:highlight w:val="none"/>
        </w:rPr>
        <w:t>（1）向</w:t>
      </w:r>
      <w:r>
        <w:rPr>
          <w:rFonts w:hint="eastAsia" w:ascii="宋体" w:hAnsi="宋体"/>
          <w:color w:val="auto"/>
          <w:szCs w:val="21"/>
          <w:highlight w:val="none"/>
          <w:u w:val="single"/>
        </w:rPr>
        <w:t xml:space="preserve">                     </w:t>
      </w:r>
      <w:r>
        <w:rPr>
          <w:rFonts w:hint="eastAsia" w:ascii="宋体" w:hAnsi="宋体"/>
          <w:color w:val="auto"/>
          <w:szCs w:val="21"/>
          <w:highlight w:val="none"/>
        </w:rPr>
        <w:t>仲裁委员会申请仲裁；按照申请仲裁时该会现行有效的仲裁规则进行仲裁。仲裁裁决是终局，对双方均有约束力。仲裁费用由败诉方承担。</w:t>
      </w:r>
    </w:p>
    <w:p>
      <w:pPr>
        <w:pStyle w:val="5"/>
        <w:spacing w:after="0" w:line="360" w:lineRule="auto"/>
        <w:ind w:left="0" w:leftChars="0" w:firstLine="420" w:firstLineChars="200"/>
        <w:rPr>
          <w:rFonts w:hint="eastAsia" w:ascii="宋体" w:hAnsi="宋体"/>
          <w:color w:val="auto"/>
          <w:szCs w:val="21"/>
          <w:highlight w:val="none"/>
        </w:rPr>
      </w:pPr>
      <w:r>
        <w:rPr>
          <w:rFonts w:hint="eastAsia" w:ascii="宋体" w:hAnsi="宋体"/>
          <w:color w:val="auto"/>
          <w:szCs w:val="21"/>
          <w:highlight w:val="none"/>
        </w:rPr>
        <w:t>（2）向</w:t>
      </w:r>
      <w:r>
        <w:rPr>
          <w:rFonts w:hint="eastAsia" w:ascii="宋体" w:hAnsi="宋体"/>
          <w:color w:val="auto"/>
          <w:szCs w:val="21"/>
          <w:highlight w:val="none"/>
          <w:u w:val="single"/>
        </w:rPr>
        <w:t xml:space="preserve">                     </w:t>
      </w:r>
      <w:r>
        <w:rPr>
          <w:rFonts w:hint="eastAsia" w:ascii="宋体" w:hAnsi="宋体"/>
          <w:color w:val="auto"/>
          <w:szCs w:val="21"/>
          <w:highlight w:val="none"/>
        </w:rPr>
        <w:t>人民法院起诉。</w:t>
      </w:r>
    </w:p>
    <w:p>
      <w:pPr>
        <w:pStyle w:val="5"/>
        <w:spacing w:after="0" w:line="360" w:lineRule="auto"/>
        <w:ind w:left="0" w:leftChars="0" w:firstLine="420" w:firstLineChars="200"/>
        <w:rPr>
          <w:rFonts w:hint="eastAsia" w:ascii="宋体" w:hAnsi="宋体"/>
          <w:color w:val="auto"/>
          <w:szCs w:val="21"/>
          <w:highlight w:val="none"/>
        </w:rPr>
      </w:pPr>
      <w:r>
        <w:rPr>
          <w:rFonts w:hint="eastAsia" w:ascii="宋体" w:hAnsi="宋体"/>
          <w:color w:val="auto"/>
          <w:szCs w:val="21"/>
          <w:highlight w:val="none"/>
        </w:rPr>
        <w:t>在仲裁或诉讼期间，本合同不涉及</w:t>
      </w:r>
      <w:r>
        <w:rPr>
          <w:rFonts w:hint="eastAsia" w:ascii="宋体" w:hAnsi="宋体"/>
          <w:color w:val="auto"/>
          <w:szCs w:val="21"/>
          <w:highlight w:val="none"/>
          <w:lang w:val="en-US" w:eastAsia="zh-CN"/>
        </w:rPr>
        <w:t>7</w:t>
      </w:r>
      <w:r>
        <w:rPr>
          <w:rFonts w:hint="eastAsia" w:ascii="宋体" w:hAnsi="宋体"/>
          <w:color w:val="auto"/>
          <w:szCs w:val="21"/>
          <w:highlight w:val="none"/>
        </w:rPr>
        <w:t>争议部分的条款仍须履行。</w:t>
      </w:r>
    </w:p>
    <w:p>
      <w:pPr>
        <w:pStyle w:val="13"/>
        <w:spacing w:after="0" w:line="240" w:lineRule="auto"/>
        <w:ind w:left="0" w:leftChars="0" w:firstLine="420" w:firstLineChars="200"/>
        <w:outlineLvl w:val="9"/>
        <w:rPr>
          <w:rFonts w:hint="eastAsia" w:ascii="宋体"/>
          <w:b w:val="0"/>
          <w:bCs/>
          <w:color w:val="auto"/>
          <w:highlight w:val="none"/>
          <w:shd w:val="clear" w:color="auto" w:fill="auto"/>
        </w:rPr>
      </w:pPr>
      <w:r>
        <w:rPr>
          <w:rFonts w:hint="eastAsia" w:ascii="宋体"/>
          <w:b w:val="0"/>
          <w:bCs/>
          <w:color w:val="auto"/>
          <w:highlight w:val="none"/>
          <w:shd w:val="clear" w:color="auto" w:fill="auto"/>
        </w:rPr>
        <w:t>21.</w:t>
      </w:r>
      <w:r>
        <w:rPr>
          <w:rFonts w:hint="eastAsia" w:ascii="宋体"/>
          <w:b w:val="0"/>
          <w:bCs/>
          <w:color w:val="auto"/>
          <w:highlight w:val="none"/>
          <w:shd w:val="clear" w:color="auto" w:fill="auto"/>
        </w:rPr>
        <w:tab/>
      </w:r>
      <w:r>
        <w:rPr>
          <w:rFonts w:hint="eastAsia" w:ascii="宋体"/>
          <w:b w:val="0"/>
          <w:bCs/>
          <w:color w:val="auto"/>
          <w:highlight w:val="none"/>
          <w:shd w:val="clear" w:color="auto" w:fill="auto"/>
        </w:rPr>
        <w:t>其他</w:t>
      </w:r>
    </w:p>
    <w:p>
      <w:pPr>
        <w:pStyle w:val="13"/>
        <w:spacing w:after="0"/>
        <w:ind w:left="0" w:leftChars="0" w:firstLine="422" w:firstLineChars="200"/>
        <w:rPr>
          <w:rFonts w:hint="eastAsia" w:ascii="宋体"/>
          <w:color w:val="auto"/>
          <w:highlight w:val="none"/>
        </w:rPr>
      </w:pPr>
      <w:r>
        <w:rPr>
          <w:rFonts w:hint="eastAsia" w:ascii="宋体"/>
          <w:color w:val="auto"/>
          <w:highlight w:val="none"/>
        </w:rPr>
        <w:t>增加以下内容到</w:t>
      </w:r>
      <w:r>
        <w:rPr>
          <w:rFonts w:hint="eastAsia" w:ascii="宋体"/>
          <w:color w:val="auto"/>
          <w:highlight w:val="none"/>
          <w:lang w:val="en-US" w:eastAsia="zh-CN"/>
        </w:rPr>
        <w:t>21</w:t>
      </w:r>
      <w:r>
        <w:rPr>
          <w:rFonts w:hint="eastAsia" w:ascii="宋体"/>
          <w:color w:val="auto"/>
          <w:highlight w:val="none"/>
        </w:rPr>
        <w:t>款：</w:t>
      </w:r>
    </w:p>
    <w:p>
      <w:pPr>
        <w:pStyle w:val="5"/>
        <w:shd w:val="clear" w:color="auto" w:fill="auto"/>
        <w:spacing w:after="0" w:line="360" w:lineRule="auto"/>
        <w:ind w:left="0" w:leftChars="0" w:firstLine="420" w:firstLineChars="200"/>
        <w:rPr>
          <w:rFonts w:hint="eastAsia" w:ascii="宋体" w:hAnsi="宋体"/>
          <w:color w:val="auto"/>
          <w:szCs w:val="21"/>
          <w:highlight w:val="none"/>
          <w:shd w:val="clear" w:color="auto" w:fill="auto"/>
          <w:lang w:eastAsia="zh-CN"/>
        </w:rPr>
      </w:pPr>
      <w:r>
        <w:rPr>
          <w:rFonts w:hint="eastAsia" w:ascii="宋体" w:hAnsi="宋体"/>
          <w:color w:val="auto"/>
          <w:szCs w:val="21"/>
          <w:highlight w:val="none"/>
          <w:shd w:val="clear" w:color="auto" w:fill="auto"/>
          <w:lang w:val="en-US" w:eastAsia="zh-CN"/>
        </w:rPr>
        <w:t>1、</w:t>
      </w:r>
      <w:r>
        <w:rPr>
          <w:rFonts w:hint="eastAsia" w:ascii="宋体" w:hAnsi="宋体"/>
          <w:color w:val="auto"/>
          <w:szCs w:val="21"/>
          <w:highlight w:val="none"/>
          <w:shd w:val="clear" w:color="auto" w:fill="auto"/>
          <w:lang w:eastAsia="zh-CN"/>
        </w:rPr>
        <w:t>严格执行《保障中小企业款项支付条例》（中华人民共和国国务院令 第728号）相关要求，确保款项支付依法合规。</w:t>
      </w:r>
    </w:p>
    <w:p>
      <w:pPr>
        <w:pStyle w:val="5"/>
        <w:shd w:val="clear" w:color="auto" w:fill="auto"/>
        <w:spacing w:after="0" w:line="360" w:lineRule="auto"/>
        <w:ind w:left="0" w:leftChars="0" w:firstLine="420" w:firstLineChars="200"/>
        <w:rPr>
          <w:rFonts w:hint="default" w:ascii="宋体" w:hAnsi="宋体"/>
          <w:color w:val="auto"/>
          <w:szCs w:val="21"/>
          <w:highlight w:val="none"/>
          <w:shd w:val="clear" w:color="auto" w:fill="auto"/>
          <w:lang w:val="en-US" w:eastAsia="zh-CN"/>
        </w:rPr>
      </w:pPr>
      <w:r>
        <w:rPr>
          <w:rFonts w:hint="eastAsia" w:ascii="宋体" w:hAnsi="宋体"/>
          <w:color w:val="auto"/>
          <w:szCs w:val="21"/>
          <w:highlight w:val="none"/>
          <w:shd w:val="clear" w:color="auto" w:fill="auto"/>
          <w:lang w:val="en-US" w:eastAsia="zh-CN"/>
        </w:rPr>
        <w:t>2、建设单位对出现未提供作业现场视频或弄虚作假、故意逃避视频监督等严禁和违章类问题的承包商，有权依据《广东电网有限责任公司作业现场智慧安全监督办法》对其进行处罚；对出现作业信息填报不正确、不规范等规范类问题的承包商，有权依据《中国南方电网有限责任公司基建项目承包商管理业务指导书》等相关承包商管理制度对其进行扣分处罚。</w:t>
      </w:r>
    </w:p>
    <w:p>
      <w:pPr>
        <w:pStyle w:val="5"/>
        <w:shd w:val="clear" w:color="auto" w:fill="auto"/>
        <w:spacing w:after="0" w:line="360" w:lineRule="auto"/>
        <w:ind w:left="0" w:leftChars="0" w:firstLine="420" w:firstLineChars="200"/>
        <w:rPr>
          <w:rFonts w:hint="default" w:ascii="宋体" w:hAnsi="宋体"/>
          <w:color w:val="auto"/>
          <w:szCs w:val="21"/>
          <w:highlight w:val="none"/>
          <w:shd w:val="clear" w:color="auto" w:fill="auto"/>
          <w:lang w:val="en-US" w:eastAsia="zh-CN"/>
        </w:rPr>
      </w:pPr>
      <w:r>
        <w:rPr>
          <w:rFonts w:hint="eastAsia" w:ascii="宋体" w:hAnsi="宋体"/>
          <w:color w:val="auto"/>
          <w:szCs w:val="21"/>
          <w:highlight w:val="none"/>
          <w:shd w:val="clear" w:color="auto" w:fill="auto"/>
          <w:lang w:val="en-US" w:eastAsia="zh-CN"/>
        </w:rPr>
        <w:t>3、严格执行《广东电网公司基建工程施工领域总包代付分包工人工资方案》中关于专用账户管理、人工费用拨付要求、用工管理、工资支付管理等各项相关管理要求。</w:t>
      </w:r>
    </w:p>
    <w:p>
      <w:pPr>
        <w:pStyle w:val="5"/>
        <w:shd w:val="clear" w:color="auto" w:fill="auto"/>
        <w:spacing w:after="0" w:line="360" w:lineRule="auto"/>
        <w:ind w:left="0" w:leftChars="0" w:firstLine="420" w:firstLineChars="200"/>
        <w:rPr>
          <w:rFonts w:hint="eastAsia" w:ascii="宋体" w:hAnsi="宋体"/>
          <w:color w:val="auto"/>
          <w:szCs w:val="21"/>
          <w:highlight w:val="none"/>
          <w:shd w:val="clear" w:color="auto" w:fill="auto"/>
          <w:lang w:eastAsia="zh-CN"/>
        </w:rPr>
      </w:pPr>
      <w:r>
        <w:rPr>
          <w:rFonts w:hint="eastAsia" w:ascii="宋体" w:hAnsi="宋体"/>
          <w:color w:val="auto"/>
          <w:szCs w:val="21"/>
          <w:highlight w:val="none"/>
          <w:shd w:val="clear" w:color="auto" w:fill="auto"/>
          <w:lang w:eastAsia="zh-CN"/>
        </w:rPr>
        <w:t>4、如工程实施过程中出现舆情事件的，不管实际责任人是否为承包人，或其分包商及其他相关参建方，均由承包人主导协调解决。如舆情事件是因承包人管理不善（包括但不限于违法分包、转包等）造成的，发包人可根据相关扣罚条例对承包人处以扣罚。</w:t>
      </w:r>
    </w:p>
    <w:p>
      <w:pPr>
        <w:pStyle w:val="5"/>
        <w:shd w:val="clear" w:color="auto" w:fill="auto"/>
        <w:spacing w:after="0" w:line="360" w:lineRule="auto"/>
        <w:ind w:left="0" w:leftChars="0" w:firstLine="420" w:firstLineChars="200"/>
        <w:rPr>
          <w:rFonts w:hint="eastAsia" w:ascii="宋体" w:hAnsi="宋体"/>
          <w:color w:val="auto"/>
          <w:szCs w:val="21"/>
          <w:highlight w:val="none"/>
          <w:shd w:val="clear" w:color="auto" w:fill="auto"/>
          <w:lang w:eastAsia="zh-CN"/>
        </w:rPr>
      </w:pPr>
      <w:r>
        <w:rPr>
          <w:rFonts w:hint="eastAsia" w:ascii="宋体" w:hAnsi="宋体"/>
          <w:color w:val="auto"/>
          <w:szCs w:val="21"/>
          <w:highlight w:val="none"/>
          <w:shd w:val="clear" w:color="auto" w:fill="auto"/>
          <w:lang w:eastAsia="zh-CN"/>
        </w:rPr>
        <w:t>5、工程实施过程的核心管理团队应与承包人在投标文件中的人员保持一致，项目经理（现场负责人）、项目总工（技术负责人、技术员）、安全员等核心管理人员原则上不得更换，如需更换核心管理人员，需书面向业主项目部申请，经监理审核、业主项目部审批同意后方可更换。且更换后的核心管理团队能力评价不低于原投标文件人员水平。</w:t>
      </w:r>
    </w:p>
    <w:p>
      <w:pPr>
        <w:pStyle w:val="5"/>
        <w:shd w:val="clear" w:color="auto" w:fill="auto"/>
        <w:spacing w:after="0" w:line="360" w:lineRule="auto"/>
        <w:ind w:left="0" w:leftChars="0" w:firstLine="420" w:firstLineChars="200"/>
        <w:rPr>
          <w:rFonts w:hint="eastAsia" w:ascii="宋体" w:hAnsi="宋体"/>
          <w:color w:val="auto"/>
          <w:szCs w:val="21"/>
          <w:highlight w:val="none"/>
          <w:shd w:val="clear" w:color="auto" w:fill="auto"/>
          <w:lang w:eastAsia="zh-CN"/>
        </w:rPr>
      </w:pPr>
      <w:r>
        <w:rPr>
          <w:rFonts w:hint="eastAsia" w:ascii="宋体" w:hAnsi="宋体"/>
          <w:color w:val="auto"/>
          <w:szCs w:val="21"/>
          <w:highlight w:val="none"/>
          <w:shd w:val="clear" w:color="auto" w:fill="auto"/>
          <w:lang w:eastAsia="zh-CN"/>
        </w:rPr>
        <w:t>6、承包人更换核心管理团队对工程造成影响的将进行承包商扣分、经济扣罚等处罚，其中更换1名项目经理（现场负责人）罚20万、更换1名项目总工（技术负责人、技术员）或安全员的罚10万。罚款豁免条件：实施周期超过2年或工程停滞超过1年的项目可由项目部批准更换1次。（合同通用条款与专用条款已有具体处罚条款的，以本条为准。）</w:t>
      </w:r>
    </w:p>
    <w:p>
      <w:pPr>
        <w:pStyle w:val="5"/>
        <w:shd w:val="clear" w:color="auto" w:fill="auto"/>
        <w:spacing w:after="0" w:line="360" w:lineRule="auto"/>
        <w:ind w:left="0" w:leftChars="0" w:firstLine="420" w:firstLineChars="200"/>
        <w:rPr>
          <w:rFonts w:hint="eastAsia" w:ascii="宋体" w:hAnsi="宋体"/>
          <w:color w:val="auto"/>
          <w:szCs w:val="21"/>
          <w:highlight w:val="none"/>
          <w:shd w:val="clear" w:color="auto" w:fill="auto"/>
          <w:lang w:eastAsia="zh-CN"/>
        </w:rPr>
      </w:pPr>
      <w:r>
        <w:rPr>
          <w:rFonts w:hint="eastAsia" w:ascii="宋体" w:hAnsi="宋体"/>
          <w:color w:val="auto"/>
          <w:szCs w:val="21"/>
          <w:highlight w:val="none"/>
          <w:shd w:val="clear" w:color="auto" w:fill="auto"/>
          <w:lang w:eastAsia="zh-CN"/>
        </w:rPr>
        <w:t>7、工程需要专业分包的，承包人（总包单位）的专业分包合同应明确分包商主要管理人员、特种作业人员持证情况和人力等资源投入明细，并与现场实际相符。分包合同应报建设单位进行备案。</w:t>
      </w:r>
    </w:p>
    <w:p>
      <w:pPr>
        <w:pStyle w:val="5"/>
        <w:shd w:val="clear" w:color="auto" w:fill="auto"/>
        <w:spacing w:after="0" w:line="360" w:lineRule="auto"/>
        <w:ind w:left="0" w:leftChars="0" w:firstLine="420" w:firstLineChars="200"/>
        <w:rPr>
          <w:rFonts w:hint="eastAsia" w:ascii="宋体" w:hAnsi="宋体"/>
          <w:color w:val="auto"/>
          <w:szCs w:val="21"/>
          <w:highlight w:val="none"/>
          <w:shd w:val="clear" w:color="auto" w:fill="auto"/>
          <w:lang w:eastAsia="zh-CN"/>
        </w:rPr>
      </w:pPr>
      <w:r>
        <w:rPr>
          <w:rFonts w:hint="eastAsia" w:ascii="宋体" w:hAnsi="宋体"/>
          <w:color w:val="auto"/>
          <w:szCs w:val="21"/>
          <w:highlight w:val="none"/>
          <w:shd w:val="clear" w:color="auto" w:fill="auto"/>
          <w:lang w:eastAsia="zh-CN"/>
        </w:rPr>
        <w:t>8、专业分包管理团队人员应与备案的分包合同中的保持一致，若需要更换专业分包管理团队人员的，必须履行审批手续，经监理审核、业主项目部审批同意后方可更换。</w:t>
      </w:r>
    </w:p>
    <w:p>
      <w:pPr>
        <w:pStyle w:val="5"/>
        <w:shd w:val="clear" w:color="auto" w:fill="auto"/>
        <w:spacing w:after="0" w:line="360" w:lineRule="auto"/>
        <w:ind w:left="0" w:leftChars="0" w:firstLine="420" w:firstLineChars="200"/>
        <w:rPr>
          <w:rFonts w:hint="eastAsia" w:ascii="宋体" w:hAnsi="宋体"/>
          <w:color w:val="auto"/>
          <w:szCs w:val="21"/>
          <w:highlight w:val="none"/>
          <w:shd w:val="clear" w:color="auto" w:fill="auto"/>
          <w:lang w:val="en-US" w:eastAsia="zh-CN"/>
        </w:rPr>
      </w:pPr>
      <w:r>
        <w:rPr>
          <w:rFonts w:hint="eastAsia" w:ascii="宋体" w:hAnsi="宋体"/>
          <w:color w:val="auto"/>
          <w:szCs w:val="21"/>
          <w:highlight w:val="none"/>
          <w:shd w:val="clear" w:color="auto" w:fill="auto"/>
          <w:lang w:val="en-US" w:eastAsia="zh-CN"/>
        </w:rPr>
        <w:t>9、根据广州市交通运输局《关于商请进一步做好所属占道施工项目精细化管理的函》的要求，输变电工程涉及占道施工的，需按照《广州交通运输局关于进一步规范城市道路挖掘修复工作的通知》、《广州市交通运输局 广州市公安局交通警察支队关于印发占道施工路段责任管理工作意见的通知》、《广州市交通运输关于进一步规范设置占道施工公示牌的通知》《广州市交通运输局关于科学评估优化中心城区城市道路占道施工围蔽和交通组织的通知》《广州市交通运输局关于启用市道路占道施工监管平台客户端的通知》等规范和管理要求提升供电占道施工项目的精细化管理水平。</w:t>
      </w:r>
    </w:p>
    <w:p>
      <w:pPr>
        <w:pStyle w:val="5"/>
        <w:shd w:val="clear" w:color="auto" w:fill="auto"/>
        <w:spacing w:after="0" w:line="360" w:lineRule="auto"/>
        <w:ind w:left="0" w:leftChars="0" w:firstLine="420" w:firstLineChars="200"/>
        <w:rPr>
          <w:rFonts w:hint="default" w:ascii="宋体" w:hAnsi="宋体" w:eastAsia="宋体" w:cs="Times New Roman"/>
          <w:strike w:val="0"/>
          <w:dstrike w:val="0"/>
          <w:color w:val="auto"/>
          <w:szCs w:val="21"/>
          <w:highlight w:val="none"/>
          <w:shd w:val="clear" w:color="auto" w:fill="auto"/>
          <w:lang w:val="en-US" w:eastAsia="zh-CN"/>
        </w:rPr>
      </w:pPr>
      <w:r>
        <w:rPr>
          <w:rFonts w:hint="eastAsia" w:ascii="宋体" w:hAnsi="宋体" w:eastAsia="宋体" w:cs="Times New Roman"/>
          <w:strike w:val="0"/>
          <w:dstrike w:val="0"/>
          <w:color w:val="auto"/>
          <w:szCs w:val="21"/>
          <w:highlight w:val="none"/>
          <w:shd w:val="clear" w:color="auto" w:fill="auto"/>
          <w:lang w:val="en-US" w:eastAsia="zh-CN"/>
        </w:rPr>
        <w:t>10、</w:t>
      </w:r>
      <w:r>
        <w:rPr>
          <w:rFonts w:hint="eastAsia" w:ascii="宋体" w:hAnsi="宋体" w:cs="Times New Roman"/>
          <w:strike w:val="0"/>
          <w:dstrike w:val="0"/>
          <w:color w:val="auto"/>
          <w:szCs w:val="21"/>
          <w:highlight w:val="none"/>
          <w:shd w:val="clear" w:color="auto" w:fill="auto"/>
          <w:lang w:val="en-US" w:eastAsia="zh-CN"/>
        </w:rPr>
        <w:t>建设单位要对变电站建筑工程、电力隧道工程、小型基建工程等</w:t>
      </w:r>
      <w:r>
        <w:rPr>
          <w:rFonts w:hint="eastAsia" w:ascii="宋体" w:hAnsi="宋体" w:eastAsia="宋体" w:cs="Times New Roman"/>
          <w:strike w:val="0"/>
          <w:dstrike w:val="0"/>
          <w:color w:val="auto"/>
          <w:szCs w:val="21"/>
          <w:highlight w:val="none"/>
          <w:shd w:val="clear" w:color="auto" w:fill="auto"/>
          <w:lang w:val="en-US" w:eastAsia="zh-CN"/>
        </w:rPr>
        <w:t>加强工程款项的监管，保证专款专用，</w:t>
      </w:r>
      <w:r>
        <w:rPr>
          <w:rFonts w:hint="eastAsia" w:ascii="宋体" w:hAnsi="宋体" w:cs="Times New Roman"/>
          <w:strike w:val="0"/>
          <w:dstrike w:val="0"/>
          <w:color w:val="auto"/>
          <w:szCs w:val="21"/>
          <w:highlight w:val="none"/>
          <w:shd w:val="clear" w:color="auto" w:fill="auto"/>
          <w:lang w:val="en-US" w:eastAsia="zh-CN"/>
        </w:rPr>
        <w:t>变电站建筑工程、电力隧道工程、小型基建工程的</w:t>
      </w:r>
      <w:r>
        <w:rPr>
          <w:rFonts w:hint="eastAsia" w:ascii="宋体" w:hAnsi="宋体" w:eastAsia="宋体" w:cs="Times New Roman"/>
          <w:strike w:val="0"/>
          <w:dstrike w:val="0"/>
          <w:color w:val="auto"/>
          <w:szCs w:val="21"/>
          <w:highlight w:val="none"/>
          <w:shd w:val="clear" w:color="auto" w:fill="auto"/>
          <w:lang w:val="en-US" w:eastAsia="zh-CN"/>
        </w:rPr>
        <w:t>中标人在与建设单位签订合同时需同时签订《工程款项监管协议》（详见附件）。</w:t>
      </w:r>
    </w:p>
    <w:p>
      <w:pPr>
        <w:pStyle w:val="5"/>
        <w:shd w:val="clear" w:color="auto" w:fill="auto"/>
        <w:spacing w:after="0" w:line="360" w:lineRule="auto"/>
        <w:ind w:left="0" w:leftChars="0" w:firstLine="420" w:firstLineChars="200"/>
        <w:rPr>
          <w:rFonts w:hint="eastAsia" w:ascii="宋体" w:hAnsi="宋体"/>
          <w:color w:val="auto"/>
          <w:szCs w:val="21"/>
          <w:highlight w:val="none"/>
          <w:shd w:val="clear" w:color="auto" w:fill="auto"/>
          <w:lang w:eastAsia="zh-CN"/>
        </w:rPr>
      </w:pPr>
    </w:p>
    <w:p>
      <w:pPr>
        <w:pStyle w:val="5"/>
        <w:spacing w:after="0" w:line="360" w:lineRule="auto"/>
        <w:ind w:left="0" w:leftChars="0" w:firstLine="0" w:firstLineChars="0"/>
        <w:jc w:val="left"/>
        <w:rPr>
          <w:rFonts w:hint="eastAsia" w:ascii="宋体" w:hAnsi="宋体"/>
          <w:b/>
          <w:bCs/>
          <w:color w:val="auto"/>
          <w:szCs w:val="21"/>
          <w:highlight w:val="none"/>
        </w:rPr>
      </w:pPr>
      <w:r>
        <w:rPr>
          <w:rFonts w:hint="eastAsia" w:ascii="宋体" w:hAnsi="宋体"/>
          <w:b/>
          <w:bCs/>
          <w:color w:val="auto"/>
          <w:szCs w:val="21"/>
          <w:highlight w:val="none"/>
        </w:rPr>
        <w:t>附件三 安全文明施工协议书</w:t>
      </w:r>
    </w:p>
    <w:p>
      <w:pPr>
        <w:pStyle w:val="5"/>
        <w:spacing w:after="0" w:line="360" w:lineRule="auto"/>
        <w:ind w:left="0" w:leftChars="0" w:firstLine="0" w:firstLineChars="0"/>
        <w:rPr>
          <w:rFonts w:hint="eastAsia" w:ascii="宋体" w:hAnsi="宋体"/>
          <w:color w:val="auto"/>
          <w:szCs w:val="21"/>
          <w:highlight w:val="none"/>
        </w:rPr>
      </w:pPr>
      <w:r>
        <w:rPr>
          <w:rFonts w:hint="eastAsia" w:ascii="宋体"/>
          <w:b/>
          <w:color w:val="auto"/>
          <w:highlight w:val="none"/>
        </w:rPr>
        <w:t>替换以下内容到“三、严格执行本安全协议”</w:t>
      </w:r>
    </w:p>
    <w:p>
      <w:pPr>
        <w:pStyle w:val="5"/>
        <w:spacing w:after="0" w:line="360" w:lineRule="auto"/>
        <w:ind w:left="0" w:leftChars="0" w:firstLine="420" w:firstLineChars="200"/>
        <w:rPr>
          <w:rFonts w:hint="eastAsia" w:ascii="宋体" w:hAnsi="宋体"/>
          <w:color w:val="auto"/>
          <w:szCs w:val="21"/>
          <w:highlight w:val="none"/>
        </w:rPr>
      </w:pPr>
      <w:r>
        <w:rPr>
          <w:rFonts w:hint="eastAsia" w:ascii="宋体" w:hAnsi="宋体"/>
          <w:color w:val="auto"/>
          <w:szCs w:val="21"/>
          <w:highlight w:val="none"/>
        </w:rPr>
        <w:t>1.如其中一方不遵守本协议中规定的安全责任造成人身、电网、设备事故及其一切损失，均由违反的一方负责，并按中国南方电网有限责任公司《安全管理规定》等相关的规定进行处罚。如乙方违反本协议，甲方将按照履约担保的程序进行索赔。</w:t>
      </w:r>
    </w:p>
    <w:p>
      <w:pPr>
        <w:pStyle w:val="5"/>
        <w:spacing w:after="0" w:line="360" w:lineRule="auto"/>
        <w:ind w:left="0" w:leftChars="0" w:firstLine="420" w:firstLineChars="200"/>
        <w:rPr>
          <w:rFonts w:hint="eastAsia" w:ascii="宋体" w:hAnsi="宋体"/>
          <w:color w:val="auto"/>
          <w:szCs w:val="21"/>
          <w:highlight w:val="none"/>
        </w:rPr>
      </w:pPr>
      <w:r>
        <w:rPr>
          <w:rFonts w:hint="eastAsia" w:ascii="宋体" w:hAnsi="宋体"/>
          <w:color w:val="auto"/>
          <w:szCs w:val="21"/>
          <w:highlight w:val="none"/>
        </w:rPr>
        <w:t>2.公司对出现未提供作业现场视频或弄虚作假、故意逃避视频监督等严禁和违章类问题及出现作业信息填报不正确、不规范等规范类问题的承包商，依据《中国南方电网有限责任公司基建项目承包商管理业务指导书》等相关承包商管理制度对其进行扣分处罚，本工程因此项原因扣分达到6分的，工程项目不予结算。</w:t>
      </w:r>
    </w:p>
    <w:p>
      <w:pPr>
        <w:pStyle w:val="5"/>
        <w:spacing w:after="0" w:line="360" w:lineRule="auto"/>
        <w:ind w:left="0" w:leftChars="0" w:firstLine="420" w:firstLineChars="200"/>
        <w:rPr>
          <w:rFonts w:hint="eastAsia" w:ascii="宋体" w:hAnsi="宋体"/>
          <w:color w:val="auto"/>
          <w:szCs w:val="21"/>
          <w:highlight w:val="none"/>
        </w:rPr>
      </w:pPr>
      <w:r>
        <w:rPr>
          <w:rFonts w:hint="eastAsia" w:ascii="宋体" w:hAnsi="宋体"/>
          <w:color w:val="auto"/>
          <w:szCs w:val="21"/>
          <w:highlight w:val="none"/>
        </w:rPr>
        <w:t>3.违反《广东电网有限责任公司作业现场安全纪律管理“六条铁律”》的的承包商人员（直接责任人和工作负责人），根据安监部门发布的处罚结果进行处罚。</w:t>
      </w:r>
    </w:p>
    <w:p>
      <w:pPr>
        <w:pStyle w:val="5"/>
        <w:spacing w:after="0" w:line="360" w:lineRule="auto"/>
        <w:ind w:left="0" w:leftChars="0" w:firstLine="420" w:firstLineChars="200"/>
        <w:rPr>
          <w:rFonts w:hint="eastAsia" w:ascii="宋体" w:hAnsi="宋体"/>
          <w:color w:val="auto"/>
          <w:szCs w:val="21"/>
          <w:highlight w:val="none"/>
        </w:rPr>
      </w:pPr>
      <w:r>
        <w:rPr>
          <w:rFonts w:hint="eastAsia" w:ascii="宋体" w:hAnsi="宋体"/>
          <w:color w:val="auto"/>
          <w:szCs w:val="21"/>
          <w:highlight w:val="none"/>
        </w:rPr>
        <w:t>4、执行《关于印发基建项目安全文明施工使用工作指引（试行）的通知》（广电办建[2022]28号）相关要求。</w:t>
      </w:r>
    </w:p>
    <w:p>
      <w:pPr>
        <w:outlineLvl w:val="2"/>
        <w:rPr>
          <w:rFonts w:hint="eastAsia" w:ascii="宋体" w:hAnsi="宋体"/>
          <w:color w:val="auto"/>
          <w:szCs w:val="21"/>
          <w:highlight w:val="none"/>
        </w:rPr>
      </w:pPr>
    </w:p>
    <w:p>
      <w:pPr>
        <w:pStyle w:val="5"/>
        <w:shd w:val="clear" w:color="auto" w:fill="auto"/>
        <w:spacing w:after="0" w:line="360" w:lineRule="auto"/>
        <w:ind w:left="0" w:leftChars="0" w:firstLine="0" w:firstLineChars="0"/>
        <w:jc w:val="left"/>
        <w:rPr>
          <w:rFonts w:hint="eastAsia" w:ascii="宋体" w:hAnsi="宋体"/>
          <w:b/>
          <w:bCs/>
          <w:color w:val="auto"/>
          <w:szCs w:val="21"/>
          <w:highlight w:val="none"/>
        </w:rPr>
      </w:pPr>
      <w:r>
        <w:rPr>
          <w:rFonts w:hint="eastAsia" w:ascii="宋体" w:hAnsi="宋体"/>
          <w:b/>
          <w:bCs/>
          <w:color w:val="auto"/>
          <w:szCs w:val="21"/>
          <w:highlight w:val="none"/>
        </w:rPr>
        <w:t>附件十 分包管理</w:t>
      </w:r>
    </w:p>
    <w:p>
      <w:pPr>
        <w:pStyle w:val="5"/>
        <w:shd w:val="clear" w:color="auto" w:fill="auto"/>
        <w:spacing w:after="0" w:line="360" w:lineRule="auto"/>
        <w:ind w:left="0" w:leftChars="0" w:firstLine="0" w:firstLineChars="0"/>
        <w:jc w:val="left"/>
        <w:rPr>
          <w:rFonts w:hint="eastAsia" w:ascii="宋体" w:hAnsi="宋体"/>
          <w:b/>
          <w:bCs/>
          <w:color w:val="auto"/>
          <w:szCs w:val="21"/>
          <w:highlight w:val="none"/>
        </w:rPr>
      </w:pPr>
      <w:r>
        <w:rPr>
          <w:rFonts w:hint="eastAsia" w:ascii="宋体" w:hAnsi="宋体"/>
          <w:b/>
          <w:bCs/>
          <w:color w:val="auto"/>
          <w:szCs w:val="21"/>
          <w:highlight w:val="none"/>
        </w:rPr>
        <w:t>增加以下内容到“附件</w:t>
      </w:r>
      <w:r>
        <w:rPr>
          <w:rFonts w:hint="eastAsia" w:ascii="宋体" w:hAnsi="宋体"/>
          <w:b/>
          <w:bCs/>
          <w:color w:val="auto"/>
          <w:szCs w:val="21"/>
          <w:highlight w:val="none"/>
          <w:lang w:eastAsia="zh-CN"/>
        </w:rPr>
        <w:t>十</w:t>
      </w:r>
      <w:r>
        <w:rPr>
          <w:rFonts w:hint="eastAsia" w:ascii="宋体" w:hAnsi="宋体"/>
          <w:b/>
          <w:bCs/>
          <w:color w:val="auto"/>
          <w:szCs w:val="21"/>
          <w:highlight w:val="none"/>
        </w:rPr>
        <w:t>”</w:t>
      </w:r>
    </w:p>
    <w:p>
      <w:pPr>
        <w:autoSpaceDE w:val="0"/>
        <w:autoSpaceDN w:val="0"/>
        <w:jc w:val="left"/>
        <w:rPr>
          <w:rFonts w:hint="eastAsia" w:ascii="宋体" w:hAnsi="宋体" w:cs="仿宋_GB2312"/>
          <w:color w:val="auto"/>
          <w:szCs w:val="21"/>
          <w:highlight w:val="none"/>
        </w:rPr>
      </w:pPr>
      <w:r>
        <w:rPr>
          <w:rFonts w:hint="eastAsia" w:ascii="宋体" w:hAnsi="宋体" w:cs="仿宋_GB2312"/>
          <w:color w:val="auto"/>
          <w:szCs w:val="21"/>
          <w:highlight w:val="none"/>
        </w:rPr>
        <w:t xml:space="preserve">  经发包人书面同意，可分包的内容和类型如下：</w:t>
      </w:r>
    </w:p>
    <w:p>
      <w:pPr>
        <w:spacing w:line="360" w:lineRule="auto"/>
        <w:jc w:val="center"/>
        <w:rPr>
          <w:rFonts w:hint="eastAsia" w:ascii="宋体" w:hAnsi="宋体"/>
          <w:b/>
          <w:color w:val="auto"/>
          <w:szCs w:val="24"/>
          <w:highlight w:val="none"/>
        </w:rPr>
      </w:pPr>
      <w:r>
        <w:rPr>
          <w:rFonts w:hint="eastAsia" w:ascii="宋体" w:hAnsi="宋体"/>
          <w:b/>
          <w:color w:val="auto"/>
          <w:sz w:val="24"/>
          <w:szCs w:val="24"/>
          <w:highlight w:val="none"/>
        </w:rPr>
        <w:t>电网建设工程施工允许分包范围</w:t>
      </w:r>
    </w:p>
    <w:p>
      <w:pPr>
        <w:rPr>
          <w:rFonts w:hint="eastAsia" w:ascii="仿宋_GB2312" w:hAnsi="宋体" w:eastAsia="仿宋_GB2312"/>
          <w:color w:val="auto"/>
          <w:sz w:val="24"/>
          <w:highlight w:val="none"/>
        </w:rPr>
      </w:pP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9"/>
        <w:gridCol w:w="1620"/>
        <w:gridCol w:w="1800"/>
        <w:gridCol w:w="1521"/>
        <w:gridCol w:w="1528"/>
        <w:gridCol w:w="14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1" w:hRule="atLeast"/>
          <w:tblHeader/>
          <w:jc w:val="center"/>
        </w:trPr>
        <w:tc>
          <w:tcPr>
            <w:tcW w:w="999" w:type="dxa"/>
            <w:noWrap w:val="0"/>
            <w:vAlign w:val="center"/>
          </w:tcPr>
          <w:p>
            <w:pPr>
              <w:jc w:val="center"/>
              <w:rPr>
                <w:rFonts w:hint="eastAsia" w:ascii="宋体" w:hAnsi="宋体" w:cs="宋体"/>
                <w:b/>
                <w:color w:val="auto"/>
                <w:szCs w:val="21"/>
                <w:highlight w:val="none"/>
              </w:rPr>
            </w:pPr>
            <w:r>
              <w:rPr>
                <w:rFonts w:hint="eastAsia" w:ascii="宋体" w:hAnsi="宋体" w:cs="宋体"/>
                <w:b/>
                <w:color w:val="auto"/>
                <w:szCs w:val="21"/>
                <w:highlight w:val="none"/>
              </w:rPr>
              <w:t>序号</w:t>
            </w:r>
          </w:p>
        </w:tc>
        <w:tc>
          <w:tcPr>
            <w:tcW w:w="1620" w:type="dxa"/>
            <w:noWrap w:val="0"/>
            <w:vAlign w:val="center"/>
          </w:tcPr>
          <w:p>
            <w:pPr>
              <w:jc w:val="center"/>
              <w:rPr>
                <w:rFonts w:hint="eastAsia" w:ascii="宋体" w:hAnsi="宋体" w:cs="宋体"/>
                <w:b/>
                <w:color w:val="auto"/>
                <w:szCs w:val="21"/>
                <w:highlight w:val="none"/>
              </w:rPr>
            </w:pPr>
            <w:r>
              <w:rPr>
                <w:rFonts w:hint="eastAsia" w:ascii="宋体" w:hAnsi="宋体" w:cs="宋体"/>
                <w:b/>
                <w:color w:val="auto"/>
                <w:szCs w:val="21"/>
                <w:highlight w:val="none"/>
              </w:rPr>
              <w:t>项目类型</w:t>
            </w:r>
          </w:p>
        </w:tc>
        <w:tc>
          <w:tcPr>
            <w:tcW w:w="1800" w:type="dxa"/>
            <w:noWrap w:val="0"/>
            <w:vAlign w:val="center"/>
          </w:tcPr>
          <w:p>
            <w:pPr>
              <w:jc w:val="center"/>
              <w:rPr>
                <w:rFonts w:hint="eastAsia" w:ascii="宋体" w:hAnsi="宋体" w:cs="宋体"/>
                <w:b/>
                <w:color w:val="auto"/>
                <w:szCs w:val="21"/>
                <w:highlight w:val="none"/>
              </w:rPr>
            </w:pPr>
            <w:r>
              <w:rPr>
                <w:rFonts w:hint="eastAsia" w:ascii="宋体" w:hAnsi="宋体" w:cs="宋体"/>
                <w:b/>
                <w:color w:val="auto"/>
                <w:szCs w:val="21"/>
                <w:highlight w:val="none"/>
              </w:rPr>
              <w:t>工程内容</w:t>
            </w:r>
          </w:p>
        </w:tc>
        <w:tc>
          <w:tcPr>
            <w:tcW w:w="1521" w:type="dxa"/>
            <w:noWrap w:val="0"/>
            <w:vAlign w:val="center"/>
          </w:tcPr>
          <w:p>
            <w:pPr>
              <w:jc w:val="center"/>
              <w:rPr>
                <w:rFonts w:hint="eastAsia" w:ascii="宋体" w:hAnsi="宋体" w:cs="宋体"/>
                <w:b/>
                <w:color w:val="auto"/>
                <w:szCs w:val="21"/>
                <w:highlight w:val="none"/>
              </w:rPr>
            </w:pPr>
            <w:r>
              <w:rPr>
                <w:rFonts w:hint="eastAsia" w:ascii="宋体" w:hAnsi="宋体" w:cs="宋体"/>
                <w:b/>
                <w:color w:val="auto"/>
                <w:szCs w:val="21"/>
                <w:highlight w:val="none"/>
              </w:rPr>
              <w:t>可分包类型</w:t>
            </w:r>
          </w:p>
        </w:tc>
        <w:tc>
          <w:tcPr>
            <w:tcW w:w="1528" w:type="dxa"/>
            <w:noWrap w:val="0"/>
            <w:vAlign w:val="center"/>
          </w:tcPr>
          <w:p>
            <w:pPr>
              <w:jc w:val="center"/>
              <w:rPr>
                <w:rFonts w:hint="eastAsia" w:ascii="宋体" w:hAnsi="宋体" w:cs="宋体"/>
                <w:b/>
                <w:color w:val="auto"/>
                <w:szCs w:val="21"/>
                <w:highlight w:val="none"/>
              </w:rPr>
            </w:pPr>
            <w:r>
              <w:rPr>
                <w:rFonts w:hint="eastAsia" w:ascii="宋体" w:hAnsi="宋体" w:cs="宋体"/>
                <w:b/>
                <w:color w:val="auto"/>
                <w:szCs w:val="21"/>
                <w:highlight w:val="none"/>
              </w:rPr>
              <w:t>再分包内容</w:t>
            </w:r>
          </w:p>
        </w:tc>
        <w:tc>
          <w:tcPr>
            <w:tcW w:w="1460" w:type="dxa"/>
            <w:noWrap w:val="0"/>
            <w:vAlign w:val="center"/>
          </w:tcPr>
          <w:p>
            <w:pPr>
              <w:jc w:val="center"/>
              <w:rPr>
                <w:rFonts w:hint="eastAsia" w:ascii="宋体" w:hAnsi="宋体" w:cs="宋体"/>
                <w:b/>
                <w:color w:val="auto"/>
                <w:szCs w:val="21"/>
                <w:highlight w:val="none"/>
              </w:rPr>
            </w:pPr>
            <w:r>
              <w:rPr>
                <w:rFonts w:hint="eastAsia" w:ascii="宋体" w:hAnsi="宋体" w:cs="宋体"/>
                <w:b/>
                <w:color w:val="auto"/>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noWrap w:val="0"/>
            <w:vAlign w:val="center"/>
          </w:tcPr>
          <w:p>
            <w:pPr>
              <w:jc w:val="center"/>
              <w:rPr>
                <w:rFonts w:hint="eastAsia" w:ascii="宋体" w:hAnsi="宋体" w:cs="宋体"/>
                <w:b/>
                <w:color w:val="auto"/>
                <w:szCs w:val="21"/>
                <w:highlight w:val="none"/>
              </w:rPr>
            </w:pPr>
            <w:r>
              <w:rPr>
                <w:rFonts w:hint="eastAsia" w:ascii="宋体" w:hAnsi="宋体" w:cs="宋体"/>
                <w:b/>
                <w:color w:val="auto"/>
                <w:szCs w:val="21"/>
                <w:highlight w:val="none"/>
              </w:rPr>
              <w:t>1</w:t>
            </w:r>
          </w:p>
        </w:tc>
        <w:tc>
          <w:tcPr>
            <w:tcW w:w="1620" w:type="dxa"/>
            <w:noWrap w:val="0"/>
            <w:vAlign w:val="center"/>
          </w:tcPr>
          <w:p>
            <w:pPr>
              <w:jc w:val="center"/>
              <w:rPr>
                <w:rFonts w:hint="eastAsia" w:ascii="宋体" w:hAnsi="宋体" w:cs="宋体"/>
                <w:b/>
                <w:color w:val="auto"/>
                <w:szCs w:val="21"/>
                <w:highlight w:val="none"/>
              </w:rPr>
            </w:pPr>
            <w:r>
              <w:rPr>
                <w:rFonts w:hint="eastAsia" w:ascii="宋体" w:hAnsi="宋体" w:cs="宋体"/>
                <w:b/>
                <w:color w:val="auto"/>
                <w:szCs w:val="21"/>
                <w:highlight w:val="none"/>
              </w:rPr>
              <w:t>输变电工程</w:t>
            </w:r>
          </w:p>
        </w:tc>
        <w:tc>
          <w:tcPr>
            <w:tcW w:w="1800" w:type="dxa"/>
            <w:noWrap w:val="0"/>
            <w:vAlign w:val="center"/>
          </w:tcPr>
          <w:p>
            <w:pPr>
              <w:jc w:val="center"/>
              <w:rPr>
                <w:rFonts w:hint="eastAsia" w:ascii="宋体" w:hAnsi="宋体" w:cs="宋体"/>
                <w:color w:val="auto"/>
                <w:szCs w:val="21"/>
                <w:highlight w:val="none"/>
              </w:rPr>
            </w:pPr>
          </w:p>
        </w:tc>
        <w:tc>
          <w:tcPr>
            <w:tcW w:w="1521" w:type="dxa"/>
            <w:noWrap w:val="0"/>
            <w:vAlign w:val="center"/>
          </w:tcPr>
          <w:p>
            <w:pPr>
              <w:jc w:val="center"/>
              <w:rPr>
                <w:rFonts w:hint="eastAsia" w:ascii="宋体" w:hAnsi="宋体" w:cs="宋体"/>
                <w:color w:val="auto"/>
                <w:szCs w:val="21"/>
                <w:highlight w:val="none"/>
              </w:rPr>
            </w:pPr>
          </w:p>
        </w:tc>
        <w:tc>
          <w:tcPr>
            <w:tcW w:w="1528" w:type="dxa"/>
            <w:noWrap w:val="0"/>
            <w:vAlign w:val="center"/>
          </w:tcPr>
          <w:p>
            <w:pPr>
              <w:jc w:val="center"/>
              <w:rPr>
                <w:rFonts w:hint="eastAsia" w:ascii="宋体" w:hAnsi="宋体" w:cs="宋体"/>
                <w:color w:val="auto"/>
                <w:szCs w:val="21"/>
                <w:highlight w:val="none"/>
              </w:rPr>
            </w:pPr>
          </w:p>
        </w:tc>
        <w:tc>
          <w:tcPr>
            <w:tcW w:w="1460" w:type="dxa"/>
            <w:noWrap w:val="0"/>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noWrap w:val="0"/>
            <w:vAlign w:val="center"/>
          </w:tcPr>
          <w:p>
            <w:pPr>
              <w:jc w:val="center"/>
              <w:rPr>
                <w:rFonts w:hint="eastAsia" w:ascii="宋体" w:hAnsi="宋体" w:cs="宋体"/>
                <w:b/>
                <w:color w:val="auto"/>
                <w:szCs w:val="21"/>
                <w:highlight w:val="none"/>
              </w:rPr>
            </w:pPr>
            <w:r>
              <w:rPr>
                <w:rFonts w:hint="eastAsia" w:ascii="宋体" w:hAnsi="宋体" w:cs="宋体"/>
                <w:b/>
                <w:color w:val="auto"/>
                <w:szCs w:val="21"/>
                <w:highlight w:val="none"/>
              </w:rPr>
              <w:t>1.1</w:t>
            </w:r>
          </w:p>
        </w:tc>
        <w:tc>
          <w:tcPr>
            <w:tcW w:w="1620" w:type="dxa"/>
            <w:noWrap w:val="0"/>
            <w:vAlign w:val="center"/>
          </w:tcPr>
          <w:p>
            <w:pPr>
              <w:jc w:val="center"/>
              <w:rPr>
                <w:rFonts w:hint="eastAsia" w:ascii="宋体" w:hAnsi="宋体" w:cs="宋体"/>
                <w:b/>
                <w:color w:val="auto"/>
                <w:szCs w:val="21"/>
                <w:highlight w:val="none"/>
              </w:rPr>
            </w:pPr>
            <w:r>
              <w:rPr>
                <w:rFonts w:hint="eastAsia" w:ascii="宋体" w:hAnsi="宋体" w:cs="宋体"/>
                <w:b/>
                <w:color w:val="auto"/>
                <w:szCs w:val="21"/>
                <w:highlight w:val="none"/>
              </w:rPr>
              <w:t>主体工程</w:t>
            </w:r>
          </w:p>
        </w:tc>
        <w:tc>
          <w:tcPr>
            <w:tcW w:w="1800" w:type="dxa"/>
            <w:noWrap w:val="0"/>
            <w:vAlign w:val="center"/>
          </w:tcPr>
          <w:p>
            <w:pPr>
              <w:jc w:val="center"/>
              <w:rPr>
                <w:rFonts w:hint="eastAsia" w:ascii="宋体" w:hAnsi="宋体" w:cs="宋体"/>
                <w:color w:val="auto"/>
                <w:szCs w:val="21"/>
                <w:highlight w:val="none"/>
              </w:rPr>
            </w:pPr>
          </w:p>
        </w:tc>
        <w:tc>
          <w:tcPr>
            <w:tcW w:w="1521" w:type="dxa"/>
            <w:noWrap w:val="0"/>
            <w:vAlign w:val="center"/>
          </w:tcPr>
          <w:p>
            <w:pPr>
              <w:jc w:val="center"/>
              <w:rPr>
                <w:rFonts w:hint="eastAsia" w:ascii="宋体" w:hAnsi="宋体" w:cs="宋体"/>
                <w:color w:val="auto"/>
                <w:szCs w:val="21"/>
                <w:highlight w:val="none"/>
              </w:rPr>
            </w:pPr>
          </w:p>
        </w:tc>
        <w:tc>
          <w:tcPr>
            <w:tcW w:w="1528" w:type="dxa"/>
            <w:noWrap w:val="0"/>
            <w:vAlign w:val="center"/>
          </w:tcPr>
          <w:p>
            <w:pPr>
              <w:jc w:val="center"/>
              <w:rPr>
                <w:rFonts w:hint="eastAsia" w:ascii="宋体" w:hAnsi="宋体" w:cs="宋体"/>
                <w:color w:val="auto"/>
                <w:szCs w:val="21"/>
                <w:highlight w:val="none"/>
              </w:rPr>
            </w:pPr>
          </w:p>
        </w:tc>
        <w:tc>
          <w:tcPr>
            <w:tcW w:w="1460" w:type="dxa"/>
            <w:noWrap w:val="0"/>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restart"/>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1.1.1</w:t>
            </w:r>
          </w:p>
        </w:tc>
        <w:tc>
          <w:tcPr>
            <w:tcW w:w="1620" w:type="dxa"/>
            <w:vMerge w:val="restart"/>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变电站工程</w:t>
            </w:r>
          </w:p>
        </w:tc>
        <w:tc>
          <w:tcPr>
            <w:tcW w:w="1800"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电气一次设备安装</w:t>
            </w:r>
          </w:p>
        </w:tc>
        <w:tc>
          <w:tcPr>
            <w:tcW w:w="1521"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528"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无</w:t>
            </w:r>
          </w:p>
        </w:tc>
        <w:tc>
          <w:tcPr>
            <w:tcW w:w="1460" w:type="dxa"/>
            <w:noWrap w:val="0"/>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pPr>
              <w:jc w:val="center"/>
              <w:rPr>
                <w:rFonts w:hint="eastAsia" w:ascii="宋体" w:hAnsi="宋体" w:cs="宋体"/>
                <w:color w:val="auto"/>
                <w:szCs w:val="21"/>
                <w:highlight w:val="none"/>
              </w:rPr>
            </w:pPr>
          </w:p>
        </w:tc>
        <w:tc>
          <w:tcPr>
            <w:tcW w:w="1620" w:type="dxa"/>
            <w:vMerge w:val="continue"/>
            <w:noWrap w:val="0"/>
            <w:vAlign w:val="center"/>
          </w:tcPr>
          <w:p>
            <w:pPr>
              <w:jc w:val="center"/>
              <w:rPr>
                <w:rFonts w:hint="eastAsia" w:ascii="宋体" w:hAnsi="宋体" w:cs="宋体"/>
                <w:color w:val="auto"/>
                <w:szCs w:val="21"/>
                <w:highlight w:val="none"/>
              </w:rPr>
            </w:pPr>
          </w:p>
        </w:tc>
        <w:tc>
          <w:tcPr>
            <w:tcW w:w="1800"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电气二次设备安装</w:t>
            </w:r>
          </w:p>
        </w:tc>
        <w:tc>
          <w:tcPr>
            <w:tcW w:w="1521"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528"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无</w:t>
            </w:r>
          </w:p>
        </w:tc>
        <w:tc>
          <w:tcPr>
            <w:tcW w:w="1460" w:type="dxa"/>
            <w:noWrap w:val="0"/>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pPr>
              <w:jc w:val="center"/>
              <w:rPr>
                <w:rFonts w:hint="eastAsia" w:ascii="宋体" w:hAnsi="宋体" w:cs="宋体"/>
                <w:color w:val="auto"/>
                <w:szCs w:val="21"/>
                <w:highlight w:val="none"/>
              </w:rPr>
            </w:pPr>
          </w:p>
        </w:tc>
        <w:tc>
          <w:tcPr>
            <w:tcW w:w="1620" w:type="dxa"/>
            <w:vMerge w:val="continue"/>
            <w:noWrap w:val="0"/>
            <w:vAlign w:val="center"/>
          </w:tcPr>
          <w:p>
            <w:pPr>
              <w:jc w:val="center"/>
              <w:rPr>
                <w:rFonts w:hint="eastAsia" w:ascii="宋体" w:hAnsi="宋体" w:cs="宋体"/>
                <w:color w:val="auto"/>
                <w:szCs w:val="21"/>
                <w:highlight w:val="none"/>
              </w:rPr>
            </w:pPr>
          </w:p>
        </w:tc>
        <w:tc>
          <w:tcPr>
            <w:tcW w:w="1800"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构支架组立</w:t>
            </w:r>
          </w:p>
        </w:tc>
        <w:tc>
          <w:tcPr>
            <w:tcW w:w="1521"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528"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无</w:t>
            </w:r>
          </w:p>
        </w:tc>
        <w:tc>
          <w:tcPr>
            <w:tcW w:w="1460" w:type="dxa"/>
            <w:noWrap w:val="0"/>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pPr>
              <w:jc w:val="center"/>
              <w:rPr>
                <w:rFonts w:hint="eastAsia" w:ascii="宋体" w:hAnsi="宋体" w:cs="宋体"/>
                <w:color w:val="auto"/>
                <w:szCs w:val="21"/>
                <w:highlight w:val="none"/>
              </w:rPr>
            </w:pPr>
          </w:p>
        </w:tc>
        <w:tc>
          <w:tcPr>
            <w:tcW w:w="1620" w:type="dxa"/>
            <w:vMerge w:val="continue"/>
            <w:noWrap w:val="0"/>
            <w:vAlign w:val="center"/>
          </w:tcPr>
          <w:p>
            <w:pPr>
              <w:jc w:val="center"/>
              <w:rPr>
                <w:rFonts w:hint="eastAsia" w:ascii="宋体" w:hAnsi="宋体" w:cs="宋体"/>
                <w:color w:val="auto"/>
                <w:szCs w:val="21"/>
                <w:highlight w:val="none"/>
              </w:rPr>
            </w:pPr>
          </w:p>
        </w:tc>
        <w:tc>
          <w:tcPr>
            <w:tcW w:w="1800"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分系统及整套启动试运</w:t>
            </w:r>
          </w:p>
        </w:tc>
        <w:tc>
          <w:tcPr>
            <w:tcW w:w="1521"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528"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无</w:t>
            </w:r>
          </w:p>
        </w:tc>
        <w:tc>
          <w:tcPr>
            <w:tcW w:w="1460" w:type="dxa"/>
            <w:noWrap w:val="0"/>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restart"/>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1.1.2</w:t>
            </w:r>
          </w:p>
        </w:tc>
        <w:tc>
          <w:tcPr>
            <w:tcW w:w="1620" w:type="dxa"/>
            <w:vMerge w:val="restart"/>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线路工程</w:t>
            </w:r>
          </w:p>
        </w:tc>
        <w:tc>
          <w:tcPr>
            <w:tcW w:w="1800"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杆塔组立</w:t>
            </w:r>
          </w:p>
        </w:tc>
        <w:tc>
          <w:tcPr>
            <w:tcW w:w="1521"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528"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无</w:t>
            </w:r>
          </w:p>
        </w:tc>
        <w:tc>
          <w:tcPr>
            <w:tcW w:w="1460" w:type="dxa"/>
            <w:noWrap w:val="0"/>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pPr>
              <w:jc w:val="center"/>
              <w:rPr>
                <w:rFonts w:hint="eastAsia" w:ascii="宋体" w:hAnsi="宋体" w:cs="宋体"/>
                <w:color w:val="auto"/>
                <w:szCs w:val="21"/>
                <w:highlight w:val="none"/>
              </w:rPr>
            </w:pPr>
          </w:p>
        </w:tc>
        <w:tc>
          <w:tcPr>
            <w:tcW w:w="1620" w:type="dxa"/>
            <w:vMerge w:val="continue"/>
            <w:noWrap w:val="0"/>
            <w:vAlign w:val="center"/>
          </w:tcPr>
          <w:p>
            <w:pPr>
              <w:jc w:val="center"/>
              <w:rPr>
                <w:rFonts w:hint="eastAsia" w:ascii="宋体" w:hAnsi="宋体" w:cs="宋体"/>
                <w:color w:val="auto"/>
                <w:szCs w:val="21"/>
                <w:highlight w:val="none"/>
              </w:rPr>
            </w:pPr>
          </w:p>
        </w:tc>
        <w:tc>
          <w:tcPr>
            <w:tcW w:w="1800"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架线</w:t>
            </w:r>
          </w:p>
        </w:tc>
        <w:tc>
          <w:tcPr>
            <w:tcW w:w="1521"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528"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无</w:t>
            </w:r>
          </w:p>
        </w:tc>
        <w:tc>
          <w:tcPr>
            <w:tcW w:w="1460" w:type="dxa"/>
            <w:noWrap w:val="0"/>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pPr>
              <w:jc w:val="center"/>
              <w:rPr>
                <w:rFonts w:hint="eastAsia" w:ascii="宋体" w:hAnsi="宋体" w:cs="宋体"/>
                <w:color w:val="auto"/>
                <w:szCs w:val="21"/>
                <w:highlight w:val="none"/>
              </w:rPr>
            </w:pPr>
          </w:p>
        </w:tc>
        <w:tc>
          <w:tcPr>
            <w:tcW w:w="1620" w:type="dxa"/>
            <w:vMerge w:val="continue"/>
            <w:noWrap w:val="0"/>
            <w:vAlign w:val="center"/>
          </w:tcPr>
          <w:p>
            <w:pPr>
              <w:jc w:val="center"/>
              <w:rPr>
                <w:rFonts w:hint="eastAsia" w:ascii="宋体" w:hAnsi="宋体" w:cs="宋体"/>
                <w:color w:val="auto"/>
                <w:szCs w:val="21"/>
                <w:highlight w:val="none"/>
              </w:rPr>
            </w:pPr>
          </w:p>
        </w:tc>
        <w:tc>
          <w:tcPr>
            <w:tcW w:w="1800"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附件安装</w:t>
            </w:r>
          </w:p>
        </w:tc>
        <w:tc>
          <w:tcPr>
            <w:tcW w:w="1521"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528"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无</w:t>
            </w:r>
          </w:p>
        </w:tc>
        <w:tc>
          <w:tcPr>
            <w:tcW w:w="1460" w:type="dxa"/>
            <w:noWrap w:val="0"/>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restart"/>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1.1.3</w:t>
            </w:r>
          </w:p>
        </w:tc>
        <w:tc>
          <w:tcPr>
            <w:tcW w:w="1620" w:type="dxa"/>
            <w:vMerge w:val="restart"/>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电缆工程</w:t>
            </w:r>
          </w:p>
        </w:tc>
        <w:tc>
          <w:tcPr>
            <w:tcW w:w="1800"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电缆敷设</w:t>
            </w:r>
          </w:p>
        </w:tc>
        <w:tc>
          <w:tcPr>
            <w:tcW w:w="1521"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528"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无</w:t>
            </w:r>
          </w:p>
        </w:tc>
        <w:tc>
          <w:tcPr>
            <w:tcW w:w="1460" w:type="dxa"/>
            <w:noWrap w:val="0"/>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pPr>
              <w:jc w:val="center"/>
              <w:rPr>
                <w:rFonts w:hint="eastAsia" w:ascii="宋体" w:hAnsi="宋体" w:cs="宋体"/>
                <w:color w:val="auto"/>
                <w:szCs w:val="21"/>
                <w:highlight w:val="none"/>
              </w:rPr>
            </w:pPr>
          </w:p>
        </w:tc>
        <w:tc>
          <w:tcPr>
            <w:tcW w:w="1620" w:type="dxa"/>
            <w:vMerge w:val="continue"/>
            <w:noWrap w:val="0"/>
            <w:vAlign w:val="center"/>
          </w:tcPr>
          <w:p>
            <w:pPr>
              <w:jc w:val="center"/>
              <w:rPr>
                <w:rFonts w:hint="eastAsia" w:ascii="宋体" w:hAnsi="宋体" w:cs="宋体"/>
                <w:color w:val="auto"/>
                <w:szCs w:val="21"/>
                <w:highlight w:val="none"/>
              </w:rPr>
            </w:pPr>
          </w:p>
        </w:tc>
        <w:tc>
          <w:tcPr>
            <w:tcW w:w="1800"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电缆头制作安装</w:t>
            </w:r>
          </w:p>
        </w:tc>
        <w:tc>
          <w:tcPr>
            <w:tcW w:w="1521"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528"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无</w:t>
            </w:r>
          </w:p>
        </w:tc>
        <w:tc>
          <w:tcPr>
            <w:tcW w:w="1460" w:type="dxa"/>
            <w:noWrap w:val="0"/>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pPr>
              <w:jc w:val="center"/>
              <w:rPr>
                <w:rFonts w:hint="eastAsia" w:ascii="宋体" w:hAnsi="宋体" w:cs="宋体"/>
                <w:color w:val="auto"/>
                <w:szCs w:val="21"/>
                <w:highlight w:val="none"/>
              </w:rPr>
            </w:pPr>
          </w:p>
        </w:tc>
        <w:tc>
          <w:tcPr>
            <w:tcW w:w="1620" w:type="dxa"/>
            <w:vMerge w:val="continue"/>
            <w:noWrap w:val="0"/>
            <w:vAlign w:val="center"/>
          </w:tcPr>
          <w:p>
            <w:pPr>
              <w:jc w:val="center"/>
              <w:rPr>
                <w:rFonts w:hint="eastAsia" w:ascii="宋体" w:hAnsi="宋体" w:cs="宋体"/>
                <w:color w:val="auto"/>
                <w:szCs w:val="21"/>
                <w:highlight w:val="none"/>
              </w:rPr>
            </w:pPr>
          </w:p>
        </w:tc>
        <w:tc>
          <w:tcPr>
            <w:tcW w:w="1800"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避雷器及接地工程</w:t>
            </w:r>
          </w:p>
        </w:tc>
        <w:tc>
          <w:tcPr>
            <w:tcW w:w="1521"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528"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无</w:t>
            </w:r>
          </w:p>
        </w:tc>
        <w:tc>
          <w:tcPr>
            <w:tcW w:w="1460" w:type="dxa"/>
            <w:noWrap w:val="0"/>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pPr>
              <w:jc w:val="center"/>
              <w:rPr>
                <w:rFonts w:hint="eastAsia" w:ascii="宋体" w:hAnsi="宋体" w:cs="宋体"/>
                <w:color w:val="auto"/>
                <w:szCs w:val="21"/>
                <w:highlight w:val="none"/>
              </w:rPr>
            </w:pPr>
          </w:p>
        </w:tc>
        <w:tc>
          <w:tcPr>
            <w:tcW w:w="1620" w:type="dxa"/>
            <w:vMerge w:val="continue"/>
            <w:noWrap w:val="0"/>
            <w:vAlign w:val="center"/>
          </w:tcPr>
          <w:p>
            <w:pPr>
              <w:jc w:val="center"/>
              <w:rPr>
                <w:rFonts w:hint="eastAsia" w:ascii="宋体" w:hAnsi="宋体" w:cs="宋体"/>
                <w:color w:val="auto"/>
                <w:szCs w:val="21"/>
                <w:highlight w:val="none"/>
              </w:rPr>
            </w:pPr>
          </w:p>
        </w:tc>
        <w:tc>
          <w:tcPr>
            <w:tcW w:w="1800"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两端工程</w:t>
            </w:r>
          </w:p>
        </w:tc>
        <w:tc>
          <w:tcPr>
            <w:tcW w:w="1521"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528"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无</w:t>
            </w:r>
          </w:p>
        </w:tc>
        <w:tc>
          <w:tcPr>
            <w:tcW w:w="1460" w:type="dxa"/>
            <w:noWrap w:val="0"/>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pPr>
              <w:jc w:val="center"/>
              <w:rPr>
                <w:rFonts w:hint="eastAsia" w:ascii="宋体" w:hAnsi="宋体" w:cs="宋体"/>
                <w:color w:val="auto"/>
                <w:szCs w:val="21"/>
                <w:highlight w:val="none"/>
              </w:rPr>
            </w:pPr>
          </w:p>
        </w:tc>
        <w:tc>
          <w:tcPr>
            <w:tcW w:w="1620" w:type="dxa"/>
            <w:vMerge w:val="continue"/>
            <w:noWrap w:val="0"/>
            <w:vAlign w:val="center"/>
          </w:tcPr>
          <w:p>
            <w:pPr>
              <w:jc w:val="center"/>
              <w:rPr>
                <w:rFonts w:hint="eastAsia" w:ascii="宋体" w:hAnsi="宋体" w:cs="宋体"/>
                <w:color w:val="auto"/>
                <w:szCs w:val="21"/>
                <w:highlight w:val="none"/>
              </w:rPr>
            </w:pPr>
          </w:p>
        </w:tc>
        <w:tc>
          <w:tcPr>
            <w:tcW w:w="1800"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电缆常规试验</w:t>
            </w:r>
          </w:p>
        </w:tc>
        <w:tc>
          <w:tcPr>
            <w:tcW w:w="1521"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528"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无</w:t>
            </w:r>
          </w:p>
        </w:tc>
        <w:tc>
          <w:tcPr>
            <w:tcW w:w="1460" w:type="dxa"/>
            <w:noWrap w:val="0"/>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noWrap w:val="0"/>
            <w:vAlign w:val="center"/>
          </w:tcPr>
          <w:p>
            <w:pPr>
              <w:jc w:val="center"/>
              <w:rPr>
                <w:rFonts w:hint="eastAsia" w:ascii="宋体" w:hAnsi="宋体" w:cs="宋体"/>
                <w:b/>
                <w:color w:val="auto"/>
                <w:szCs w:val="21"/>
                <w:highlight w:val="none"/>
              </w:rPr>
            </w:pPr>
            <w:r>
              <w:rPr>
                <w:rFonts w:hint="eastAsia" w:ascii="宋体" w:hAnsi="宋体" w:cs="宋体"/>
                <w:b/>
                <w:color w:val="auto"/>
                <w:szCs w:val="21"/>
                <w:highlight w:val="none"/>
              </w:rPr>
              <w:t>1.2</w:t>
            </w:r>
          </w:p>
        </w:tc>
        <w:tc>
          <w:tcPr>
            <w:tcW w:w="1620" w:type="dxa"/>
            <w:noWrap w:val="0"/>
            <w:vAlign w:val="center"/>
          </w:tcPr>
          <w:p>
            <w:pPr>
              <w:jc w:val="center"/>
              <w:rPr>
                <w:rFonts w:hint="eastAsia" w:ascii="宋体" w:hAnsi="宋体" w:cs="宋体"/>
                <w:b/>
                <w:color w:val="auto"/>
                <w:szCs w:val="21"/>
                <w:highlight w:val="none"/>
              </w:rPr>
            </w:pPr>
            <w:r>
              <w:rPr>
                <w:rFonts w:hint="eastAsia" w:ascii="宋体" w:hAnsi="宋体" w:cs="宋体"/>
                <w:b/>
                <w:color w:val="auto"/>
                <w:szCs w:val="21"/>
                <w:highlight w:val="none"/>
              </w:rPr>
              <w:t>非主体工程</w:t>
            </w:r>
          </w:p>
        </w:tc>
        <w:tc>
          <w:tcPr>
            <w:tcW w:w="1800" w:type="dxa"/>
            <w:noWrap w:val="0"/>
            <w:vAlign w:val="center"/>
          </w:tcPr>
          <w:p>
            <w:pPr>
              <w:jc w:val="center"/>
              <w:rPr>
                <w:rFonts w:hint="eastAsia" w:ascii="宋体" w:hAnsi="宋体" w:cs="宋体"/>
                <w:color w:val="auto"/>
                <w:szCs w:val="21"/>
                <w:highlight w:val="none"/>
              </w:rPr>
            </w:pPr>
          </w:p>
        </w:tc>
        <w:tc>
          <w:tcPr>
            <w:tcW w:w="1521" w:type="dxa"/>
            <w:noWrap w:val="0"/>
            <w:vAlign w:val="center"/>
          </w:tcPr>
          <w:p>
            <w:pPr>
              <w:jc w:val="center"/>
              <w:rPr>
                <w:rFonts w:hint="eastAsia" w:ascii="宋体" w:hAnsi="宋体" w:cs="宋体"/>
                <w:color w:val="auto"/>
                <w:szCs w:val="21"/>
                <w:highlight w:val="none"/>
              </w:rPr>
            </w:pPr>
          </w:p>
        </w:tc>
        <w:tc>
          <w:tcPr>
            <w:tcW w:w="1528" w:type="dxa"/>
            <w:noWrap w:val="0"/>
            <w:vAlign w:val="center"/>
          </w:tcPr>
          <w:p>
            <w:pPr>
              <w:jc w:val="center"/>
              <w:rPr>
                <w:rFonts w:hint="eastAsia" w:ascii="宋体" w:hAnsi="宋体" w:cs="宋体"/>
                <w:color w:val="auto"/>
                <w:szCs w:val="21"/>
                <w:highlight w:val="none"/>
              </w:rPr>
            </w:pPr>
          </w:p>
        </w:tc>
        <w:tc>
          <w:tcPr>
            <w:tcW w:w="1460" w:type="dxa"/>
            <w:noWrap w:val="0"/>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999" w:type="dxa"/>
            <w:vMerge w:val="restart"/>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1.2.1</w:t>
            </w:r>
          </w:p>
        </w:tc>
        <w:tc>
          <w:tcPr>
            <w:tcW w:w="1620" w:type="dxa"/>
            <w:vMerge w:val="restart"/>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变电站工程</w:t>
            </w:r>
          </w:p>
        </w:tc>
        <w:tc>
          <w:tcPr>
            <w:tcW w:w="1800"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特殊调试</w:t>
            </w:r>
          </w:p>
        </w:tc>
        <w:tc>
          <w:tcPr>
            <w:tcW w:w="1521"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无</w:t>
            </w:r>
          </w:p>
        </w:tc>
        <w:tc>
          <w:tcPr>
            <w:tcW w:w="1460" w:type="dxa"/>
            <w:noWrap w:val="0"/>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999" w:type="dxa"/>
            <w:vMerge w:val="continue"/>
            <w:noWrap w:val="0"/>
            <w:vAlign w:val="center"/>
          </w:tcPr>
          <w:p>
            <w:pPr>
              <w:jc w:val="center"/>
              <w:rPr>
                <w:rFonts w:hint="eastAsia" w:ascii="宋体" w:hAnsi="宋体" w:cs="宋体"/>
                <w:color w:val="auto"/>
                <w:szCs w:val="21"/>
                <w:highlight w:val="none"/>
              </w:rPr>
            </w:pPr>
          </w:p>
        </w:tc>
        <w:tc>
          <w:tcPr>
            <w:tcW w:w="1620" w:type="dxa"/>
            <w:vMerge w:val="continue"/>
            <w:noWrap w:val="0"/>
            <w:vAlign w:val="center"/>
          </w:tcPr>
          <w:p>
            <w:pPr>
              <w:jc w:val="center"/>
              <w:rPr>
                <w:rFonts w:hint="eastAsia" w:ascii="宋体" w:hAnsi="宋体" w:cs="宋体"/>
                <w:color w:val="auto"/>
                <w:szCs w:val="21"/>
                <w:highlight w:val="none"/>
              </w:rPr>
            </w:pPr>
          </w:p>
        </w:tc>
        <w:tc>
          <w:tcPr>
            <w:tcW w:w="1800"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土建</w:t>
            </w:r>
          </w:p>
        </w:tc>
        <w:tc>
          <w:tcPr>
            <w:tcW w:w="1521"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含桩基础施工、防火封堵、进站道路、顶管等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pPr>
              <w:jc w:val="center"/>
              <w:rPr>
                <w:rFonts w:hint="eastAsia" w:ascii="宋体" w:hAnsi="宋体" w:cs="宋体"/>
                <w:color w:val="auto"/>
                <w:szCs w:val="21"/>
                <w:highlight w:val="none"/>
              </w:rPr>
            </w:pPr>
          </w:p>
        </w:tc>
        <w:tc>
          <w:tcPr>
            <w:tcW w:w="1620" w:type="dxa"/>
            <w:vMerge w:val="continue"/>
            <w:noWrap w:val="0"/>
            <w:vAlign w:val="center"/>
          </w:tcPr>
          <w:p>
            <w:pPr>
              <w:jc w:val="center"/>
              <w:rPr>
                <w:rFonts w:hint="eastAsia" w:ascii="宋体" w:hAnsi="宋体" w:cs="宋体"/>
                <w:color w:val="auto"/>
                <w:szCs w:val="21"/>
                <w:highlight w:val="none"/>
              </w:rPr>
            </w:pPr>
          </w:p>
        </w:tc>
        <w:tc>
          <w:tcPr>
            <w:tcW w:w="1800"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特种设备安装</w:t>
            </w:r>
          </w:p>
        </w:tc>
        <w:tc>
          <w:tcPr>
            <w:tcW w:w="1521"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含电梯、天车等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999" w:type="dxa"/>
            <w:vMerge w:val="continue"/>
            <w:noWrap w:val="0"/>
            <w:vAlign w:val="center"/>
          </w:tcPr>
          <w:p>
            <w:pPr>
              <w:jc w:val="center"/>
              <w:rPr>
                <w:rFonts w:hint="eastAsia" w:ascii="宋体" w:hAnsi="宋体" w:cs="宋体"/>
                <w:color w:val="auto"/>
                <w:szCs w:val="21"/>
                <w:highlight w:val="none"/>
              </w:rPr>
            </w:pPr>
          </w:p>
        </w:tc>
        <w:tc>
          <w:tcPr>
            <w:tcW w:w="1620" w:type="dxa"/>
            <w:vMerge w:val="continue"/>
            <w:noWrap w:val="0"/>
            <w:vAlign w:val="center"/>
          </w:tcPr>
          <w:p>
            <w:pPr>
              <w:jc w:val="center"/>
              <w:rPr>
                <w:rFonts w:hint="eastAsia" w:ascii="宋体" w:hAnsi="宋体" w:cs="宋体"/>
                <w:color w:val="auto"/>
                <w:szCs w:val="21"/>
                <w:highlight w:val="none"/>
              </w:rPr>
            </w:pPr>
          </w:p>
        </w:tc>
        <w:tc>
          <w:tcPr>
            <w:tcW w:w="1800"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消防</w:t>
            </w:r>
          </w:p>
        </w:tc>
        <w:tc>
          <w:tcPr>
            <w:tcW w:w="1521"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noWrap w:val="0"/>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pPr>
              <w:jc w:val="center"/>
              <w:rPr>
                <w:rFonts w:hint="eastAsia" w:ascii="宋体" w:hAnsi="宋体" w:cs="宋体"/>
                <w:color w:val="auto"/>
                <w:szCs w:val="21"/>
                <w:highlight w:val="none"/>
              </w:rPr>
            </w:pPr>
          </w:p>
        </w:tc>
        <w:tc>
          <w:tcPr>
            <w:tcW w:w="1620" w:type="dxa"/>
            <w:vMerge w:val="continue"/>
            <w:noWrap w:val="0"/>
            <w:vAlign w:val="center"/>
          </w:tcPr>
          <w:p>
            <w:pPr>
              <w:jc w:val="center"/>
              <w:rPr>
                <w:rFonts w:hint="eastAsia" w:ascii="宋体" w:hAnsi="宋体" w:cs="宋体"/>
                <w:color w:val="auto"/>
                <w:szCs w:val="21"/>
                <w:highlight w:val="none"/>
              </w:rPr>
            </w:pPr>
          </w:p>
        </w:tc>
        <w:tc>
          <w:tcPr>
            <w:tcW w:w="1800"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绿化</w:t>
            </w:r>
          </w:p>
        </w:tc>
        <w:tc>
          <w:tcPr>
            <w:tcW w:w="1521"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noWrap w:val="0"/>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pPr>
              <w:jc w:val="center"/>
              <w:rPr>
                <w:rFonts w:hint="eastAsia" w:ascii="宋体" w:hAnsi="宋体" w:cs="宋体"/>
                <w:color w:val="auto"/>
                <w:szCs w:val="21"/>
                <w:highlight w:val="none"/>
              </w:rPr>
            </w:pPr>
          </w:p>
        </w:tc>
        <w:tc>
          <w:tcPr>
            <w:tcW w:w="1620" w:type="dxa"/>
            <w:vMerge w:val="continue"/>
            <w:noWrap w:val="0"/>
            <w:vAlign w:val="center"/>
          </w:tcPr>
          <w:p>
            <w:pPr>
              <w:jc w:val="center"/>
              <w:rPr>
                <w:rFonts w:hint="eastAsia" w:ascii="宋体" w:hAnsi="宋体" w:cs="宋体"/>
                <w:color w:val="auto"/>
                <w:szCs w:val="21"/>
                <w:highlight w:val="none"/>
              </w:rPr>
            </w:pPr>
          </w:p>
        </w:tc>
        <w:tc>
          <w:tcPr>
            <w:tcW w:w="1800"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给排水</w:t>
            </w:r>
          </w:p>
        </w:tc>
        <w:tc>
          <w:tcPr>
            <w:tcW w:w="1521"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noWrap w:val="0"/>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999" w:type="dxa"/>
            <w:vMerge w:val="restart"/>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1.2.2</w:t>
            </w:r>
          </w:p>
        </w:tc>
        <w:tc>
          <w:tcPr>
            <w:tcW w:w="1620" w:type="dxa"/>
            <w:vMerge w:val="restart"/>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线路工程</w:t>
            </w:r>
          </w:p>
        </w:tc>
        <w:tc>
          <w:tcPr>
            <w:tcW w:w="1800"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核相、线路参数测试</w:t>
            </w:r>
          </w:p>
        </w:tc>
        <w:tc>
          <w:tcPr>
            <w:tcW w:w="1521"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无</w:t>
            </w:r>
          </w:p>
        </w:tc>
        <w:tc>
          <w:tcPr>
            <w:tcW w:w="1460" w:type="dxa"/>
            <w:noWrap w:val="0"/>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pPr>
              <w:jc w:val="center"/>
              <w:rPr>
                <w:rFonts w:hint="eastAsia" w:ascii="宋体" w:hAnsi="宋体" w:cs="宋体"/>
                <w:color w:val="auto"/>
                <w:szCs w:val="21"/>
                <w:highlight w:val="none"/>
              </w:rPr>
            </w:pPr>
          </w:p>
        </w:tc>
        <w:tc>
          <w:tcPr>
            <w:tcW w:w="1620" w:type="dxa"/>
            <w:vMerge w:val="continue"/>
            <w:noWrap w:val="0"/>
            <w:vAlign w:val="center"/>
          </w:tcPr>
          <w:p>
            <w:pPr>
              <w:jc w:val="center"/>
              <w:rPr>
                <w:rFonts w:hint="eastAsia" w:ascii="宋体" w:hAnsi="宋体" w:cs="宋体"/>
                <w:color w:val="auto"/>
                <w:szCs w:val="21"/>
                <w:highlight w:val="none"/>
              </w:rPr>
            </w:pPr>
          </w:p>
        </w:tc>
        <w:tc>
          <w:tcPr>
            <w:tcW w:w="1800"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土石方工程</w:t>
            </w:r>
          </w:p>
        </w:tc>
        <w:tc>
          <w:tcPr>
            <w:tcW w:w="1521"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vMerge w:val="restart"/>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含工地运输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pPr>
              <w:jc w:val="center"/>
              <w:rPr>
                <w:rFonts w:hint="eastAsia" w:ascii="宋体" w:hAnsi="宋体" w:cs="宋体"/>
                <w:color w:val="auto"/>
                <w:szCs w:val="21"/>
                <w:highlight w:val="none"/>
              </w:rPr>
            </w:pPr>
          </w:p>
        </w:tc>
        <w:tc>
          <w:tcPr>
            <w:tcW w:w="1620" w:type="dxa"/>
            <w:vMerge w:val="continue"/>
            <w:noWrap w:val="0"/>
            <w:vAlign w:val="center"/>
          </w:tcPr>
          <w:p>
            <w:pPr>
              <w:jc w:val="center"/>
              <w:rPr>
                <w:rFonts w:hint="eastAsia" w:ascii="宋体" w:hAnsi="宋体" w:cs="宋体"/>
                <w:color w:val="auto"/>
                <w:szCs w:val="21"/>
                <w:highlight w:val="none"/>
              </w:rPr>
            </w:pPr>
          </w:p>
        </w:tc>
        <w:tc>
          <w:tcPr>
            <w:tcW w:w="1800"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基础工程</w:t>
            </w:r>
          </w:p>
        </w:tc>
        <w:tc>
          <w:tcPr>
            <w:tcW w:w="1521"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vMerge w:val="continue"/>
            <w:noWrap w:val="0"/>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restart"/>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1.2.3</w:t>
            </w:r>
          </w:p>
        </w:tc>
        <w:tc>
          <w:tcPr>
            <w:tcW w:w="1620" w:type="dxa"/>
            <w:vMerge w:val="restart"/>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电缆工程</w:t>
            </w:r>
          </w:p>
        </w:tc>
        <w:tc>
          <w:tcPr>
            <w:tcW w:w="1800"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电缆特殊试验</w:t>
            </w:r>
          </w:p>
        </w:tc>
        <w:tc>
          <w:tcPr>
            <w:tcW w:w="1521"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无</w:t>
            </w:r>
          </w:p>
        </w:tc>
        <w:tc>
          <w:tcPr>
            <w:tcW w:w="1460" w:type="dxa"/>
            <w:noWrap w:val="0"/>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pPr>
              <w:jc w:val="center"/>
              <w:rPr>
                <w:rFonts w:hint="eastAsia" w:ascii="宋体" w:hAnsi="宋体" w:cs="宋体"/>
                <w:color w:val="auto"/>
                <w:szCs w:val="21"/>
                <w:highlight w:val="none"/>
              </w:rPr>
            </w:pPr>
          </w:p>
        </w:tc>
        <w:tc>
          <w:tcPr>
            <w:tcW w:w="1620" w:type="dxa"/>
            <w:vMerge w:val="continue"/>
            <w:noWrap w:val="0"/>
            <w:vAlign w:val="center"/>
          </w:tcPr>
          <w:p>
            <w:pPr>
              <w:jc w:val="center"/>
              <w:rPr>
                <w:rFonts w:hint="eastAsia" w:ascii="宋体" w:hAnsi="宋体" w:cs="宋体"/>
                <w:color w:val="auto"/>
                <w:szCs w:val="21"/>
                <w:highlight w:val="none"/>
              </w:rPr>
            </w:pPr>
          </w:p>
        </w:tc>
        <w:tc>
          <w:tcPr>
            <w:tcW w:w="1800"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电缆沟、井、隧道及保护管工程</w:t>
            </w:r>
          </w:p>
        </w:tc>
        <w:tc>
          <w:tcPr>
            <w:tcW w:w="1521"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含防火封堵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pPr>
              <w:jc w:val="center"/>
              <w:rPr>
                <w:rFonts w:hint="eastAsia" w:ascii="宋体" w:hAnsi="宋体" w:cs="宋体"/>
                <w:color w:val="auto"/>
                <w:szCs w:val="21"/>
                <w:highlight w:val="none"/>
              </w:rPr>
            </w:pPr>
          </w:p>
        </w:tc>
        <w:tc>
          <w:tcPr>
            <w:tcW w:w="1620" w:type="dxa"/>
            <w:vMerge w:val="continue"/>
            <w:noWrap w:val="0"/>
            <w:vAlign w:val="center"/>
          </w:tcPr>
          <w:p>
            <w:pPr>
              <w:jc w:val="center"/>
              <w:rPr>
                <w:rFonts w:hint="eastAsia" w:ascii="宋体" w:hAnsi="宋体" w:cs="宋体"/>
                <w:color w:val="auto"/>
                <w:szCs w:val="21"/>
                <w:highlight w:val="none"/>
              </w:rPr>
            </w:pPr>
          </w:p>
        </w:tc>
        <w:tc>
          <w:tcPr>
            <w:tcW w:w="1800"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电缆支架、桥架及托架工程</w:t>
            </w:r>
          </w:p>
        </w:tc>
        <w:tc>
          <w:tcPr>
            <w:tcW w:w="1521"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noWrap w:val="0"/>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pPr>
              <w:jc w:val="center"/>
              <w:rPr>
                <w:rFonts w:hint="eastAsia" w:ascii="宋体" w:hAnsi="宋体" w:cs="宋体"/>
                <w:color w:val="auto"/>
                <w:szCs w:val="21"/>
                <w:highlight w:val="none"/>
              </w:rPr>
            </w:pPr>
          </w:p>
        </w:tc>
        <w:tc>
          <w:tcPr>
            <w:tcW w:w="1620" w:type="dxa"/>
            <w:vMerge w:val="continue"/>
            <w:noWrap w:val="0"/>
            <w:vAlign w:val="center"/>
          </w:tcPr>
          <w:p>
            <w:pPr>
              <w:jc w:val="center"/>
              <w:rPr>
                <w:rFonts w:hint="eastAsia" w:ascii="宋体" w:hAnsi="宋体" w:cs="宋体"/>
                <w:color w:val="auto"/>
                <w:szCs w:val="21"/>
                <w:highlight w:val="none"/>
              </w:rPr>
            </w:pPr>
          </w:p>
        </w:tc>
        <w:tc>
          <w:tcPr>
            <w:tcW w:w="1800"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路面处理</w:t>
            </w:r>
          </w:p>
        </w:tc>
        <w:tc>
          <w:tcPr>
            <w:tcW w:w="1521"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noWrap w:val="0"/>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999" w:type="dxa"/>
            <w:vMerge w:val="restart"/>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1.2.4</w:t>
            </w:r>
          </w:p>
        </w:tc>
        <w:tc>
          <w:tcPr>
            <w:tcW w:w="1620" w:type="dxa"/>
            <w:vMerge w:val="restart"/>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通信工程</w:t>
            </w:r>
          </w:p>
        </w:tc>
        <w:tc>
          <w:tcPr>
            <w:tcW w:w="1800"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土建</w:t>
            </w:r>
          </w:p>
        </w:tc>
        <w:tc>
          <w:tcPr>
            <w:tcW w:w="1521"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noWrap w:val="0"/>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pPr>
              <w:jc w:val="center"/>
              <w:rPr>
                <w:rFonts w:hint="eastAsia" w:ascii="宋体" w:hAnsi="宋体" w:cs="宋体"/>
                <w:color w:val="auto"/>
                <w:szCs w:val="21"/>
                <w:highlight w:val="none"/>
              </w:rPr>
            </w:pPr>
          </w:p>
        </w:tc>
        <w:tc>
          <w:tcPr>
            <w:tcW w:w="1620" w:type="dxa"/>
            <w:vMerge w:val="continue"/>
            <w:noWrap w:val="0"/>
            <w:vAlign w:val="center"/>
          </w:tcPr>
          <w:p>
            <w:pPr>
              <w:jc w:val="center"/>
              <w:rPr>
                <w:rFonts w:hint="eastAsia" w:ascii="宋体" w:hAnsi="宋体" w:cs="宋体"/>
                <w:color w:val="auto"/>
                <w:szCs w:val="21"/>
                <w:highlight w:val="none"/>
              </w:rPr>
            </w:pPr>
          </w:p>
        </w:tc>
        <w:tc>
          <w:tcPr>
            <w:tcW w:w="1800"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工地运输</w:t>
            </w:r>
          </w:p>
        </w:tc>
        <w:tc>
          <w:tcPr>
            <w:tcW w:w="1521"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noWrap w:val="0"/>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pPr>
              <w:jc w:val="center"/>
              <w:rPr>
                <w:rFonts w:hint="eastAsia" w:ascii="宋体" w:hAnsi="宋体" w:cs="宋体"/>
                <w:color w:val="auto"/>
                <w:szCs w:val="21"/>
                <w:highlight w:val="none"/>
              </w:rPr>
            </w:pPr>
          </w:p>
        </w:tc>
        <w:tc>
          <w:tcPr>
            <w:tcW w:w="1620" w:type="dxa"/>
            <w:vMerge w:val="continue"/>
            <w:noWrap w:val="0"/>
            <w:vAlign w:val="center"/>
          </w:tcPr>
          <w:p>
            <w:pPr>
              <w:jc w:val="center"/>
              <w:rPr>
                <w:rFonts w:hint="eastAsia" w:ascii="宋体" w:hAnsi="宋体" w:cs="宋体"/>
                <w:color w:val="auto"/>
                <w:szCs w:val="21"/>
                <w:highlight w:val="none"/>
              </w:rPr>
            </w:pPr>
          </w:p>
        </w:tc>
        <w:tc>
          <w:tcPr>
            <w:tcW w:w="1800"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光设备安装与调试</w:t>
            </w:r>
          </w:p>
        </w:tc>
        <w:tc>
          <w:tcPr>
            <w:tcW w:w="1521"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noWrap w:val="0"/>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pPr>
              <w:jc w:val="center"/>
              <w:rPr>
                <w:rFonts w:hint="eastAsia" w:ascii="宋体" w:hAnsi="宋体" w:cs="宋体"/>
                <w:color w:val="auto"/>
                <w:szCs w:val="21"/>
                <w:highlight w:val="none"/>
              </w:rPr>
            </w:pPr>
          </w:p>
        </w:tc>
        <w:tc>
          <w:tcPr>
            <w:tcW w:w="1620" w:type="dxa"/>
            <w:vMerge w:val="continue"/>
            <w:noWrap w:val="0"/>
            <w:vAlign w:val="center"/>
          </w:tcPr>
          <w:p>
            <w:pPr>
              <w:jc w:val="center"/>
              <w:rPr>
                <w:rFonts w:hint="eastAsia" w:ascii="宋体" w:hAnsi="宋体" w:cs="宋体"/>
                <w:color w:val="auto"/>
                <w:szCs w:val="21"/>
                <w:highlight w:val="none"/>
              </w:rPr>
            </w:pPr>
          </w:p>
        </w:tc>
        <w:tc>
          <w:tcPr>
            <w:tcW w:w="1800"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配电设备安装与调试</w:t>
            </w:r>
          </w:p>
        </w:tc>
        <w:tc>
          <w:tcPr>
            <w:tcW w:w="1521"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noWrap w:val="0"/>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pPr>
              <w:jc w:val="center"/>
              <w:rPr>
                <w:rFonts w:hint="eastAsia" w:ascii="宋体" w:hAnsi="宋体" w:cs="宋体"/>
                <w:color w:val="auto"/>
                <w:szCs w:val="21"/>
                <w:highlight w:val="none"/>
              </w:rPr>
            </w:pPr>
          </w:p>
        </w:tc>
        <w:tc>
          <w:tcPr>
            <w:tcW w:w="1620" w:type="dxa"/>
            <w:vMerge w:val="continue"/>
            <w:noWrap w:val="0"/>
            <w:vAlign w:val="center"/>
          </w:tcPr>
          <w:p>
            <w:pPr>
              <w:jc w:val="center"/>
              <w:rPr>
                <w:rFonts w:hint="eastAsia" w:ascii="宋体" w:hAnsi="宋体" w:cs="宋体"/>
                <w:color w:val="auto"/>
                <w:szCs w:val="21"/>
                <w:highlight w:val="none"/>
              </w:rPr>
            </w:pPr>
          </w:p>
        </w:tc>
        <w:tc>
          <w:tcPr>
            <w:tcW w:w="1800"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电缆及接地</w:t>
            </w:r>
          </w:p>
        </w:tc>
        <w:tc>
          <w:tcPr>
            <w:tcW w:w="1521"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noWrap w:val="0"/>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pPr>
              <w:jc w:val="center"/>
              <w:rPr>
                <w:rFonts w:hint="eastAsia" w:ascii="宋体" w:hAnsi="宋体" w:cs="宋体"/>
                <w:color w:val="auto"/>
                <w:szCs w:val="21"/>
                <w:highlight w:val="none"/>
              </w:rPr>
            </w:pPr>
          </w:p>
        </w:tc>
        <w:tc>
          <w:tcPr>
            <w:tcW w:w="1620" w:type="dxa"/>
            <w:vMerge w:val="continue"/>
            <w:noWrap w:val="0"/>
            <w:vAlign w:val="center"/>
          </w:tcPr>
          <w:p>
            <w:pPr>
              <w:jc w:val="center"/>
              <w:rPr>
                <w:rFonts w:hint="eastAsia" w:ascii="宋体" w:hAnsi="宋体" w:cs="宋体"/>
                <w:color w:val="auto"/>
                <w:szCs w:val="21"/>
                <w:highlight w:val="none"/>
              </w:rPr>
            </w:pPr>
          </w:p>
        </w:tc>
        <w:tc>
          <w:tcPr>
            <w:tcW w:w="1800"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光缆敷设与架设</w:t>
            </w:r>
          </w:p>
        </w:tc>
        <w:tc>
          <w:tcPr>
            <w:tcW w:w="1521"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noWrap w:val="0"/>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pPr>
              <w:jc w:val="center"/>
              <w:rPr>
                <w:rFonts w:hint="eastAsia" w:ascii="宋体" w:hAnsi="宋体" w:cs="宋体"/>
                <w:color w:val="auto"/>
                <w:szCs w:val="21"/>
                <w:highlight w:val="none"/>
              </w:rPr>
            </w:pPr>
          </w:p>
        </w:tc>
        <w:tc>
          <w:tcPr>
            <w:tcW w:w="1620" w:type="dxa"/>
            <w:vMerge w:val="continue"/>
            <w:noWrap w:val="0"/>
            <w:vAlign w:val="center"/>
          </w:tcPr>
          <w:p>
            <w:pPr>
              <w:jc w:val="center"/>
              <w:rPr>
                <w:rFonts w:hint="eastAsia" w:ascii="宋体" w:hAnsi="宋体" w:cs="宋体"/>
                <w:color w:val="auto"/>
                <w:szCs w:val="21"/>
                <w:highlight w:val="none"/>
              </w:rPr>
            </w:pPr>
          </w:p>
        </w:tc>
        <w:tc>
          <w:tcPr>
            <w:tcW w:w="1800"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光缆头制作与安装</w:t>
            </w:r>
          </w:p>
        </w:tc>
        <w:tc>
          <w:tcPr>
            <w:tcW w:w="1521"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noWrap w:val="0"/>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pPr>
              <w:jc w:val="center"/>
              <w:rPr>
                <w:rFonts w:hint="eastAsia" w:ascii="宋体" w:hAnsi="宋体" w:cs="宋体"/>
                <w:color w:val="auto"/>
                <w:szCs w:val="21"/>
                <w:highlight w:val="none"/>
              </w:rPr>
            </w:pPr>
          </w:p>
        </w:tc>
        <w:tc>
          <w:tcPr>
            <w:tcW w:w="1620" w:type="dxa"/>
            <w:vMerge w:val="continue"/>
            <w:noWrap w:val="0"/>
            <w:vAlign w:val="center"/>
          </w:tcPr>
          <w:p>
            <w:pPr>
              <w:jc w:val="center"/>
              <w:rPr>
                <w:rFonts w:hint="eastAsia" w:ascii="宋体" w:hAnsi="宋体" w:cs="宋体"/>
                <w:color w:val="auto"/>
                <w:szCs w:val="21"/>
                <w:highlight w:val="none"/>
              </w:rPr>
            </w:pPr>
          </w:p>
        </w:tc>
        <w:tc>
          <w:tcPr>
            <w:tcW w:w="1800"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光缆测试</w:t>
            </w:r>
          </w:p>
        </w:tc>
        <w:tc>
          <w:tcPr>
            <w:tcW w:w="1521"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noWrap w:val="0"/>
            <w:vAlign w:val="center"/>
          </w:tcPr>
          <w:p>
            <w:pPr>
              <w:jc w:val="center"/>
              <w:rPr>
                <w:rFonts w:hint="eastAsia" w:ascii="宋体" w:hAnsi="宋体" w:cs="宋体"/>
                <w:color w:val="auto"/>
                <w:szCs w:val="21"/>
                <w:highlight w:val="none"/>
              </w:rPr>
            </w:pPr>
          </w:p>
        </w:tc>
      </w:tr>
    </w:tbl>
    <w:p>
      <w:pPr>
        <w:pStyle w:val="2"/>
        <w:rPr>
          <w:rFonts w:hint="eastAsia"/>
          <w:color w:val="auto"/>
          <w:highlight w:val="none"/>
          <w:lang w:val="en-US" w:eastAsia="zh-CN"/>
        </w:rPr>
      </w:pPr>
    </w:p>
    <w:sectPr>
      <w:pgSz w:w="11906" w:h="16838"/>
      <w:pgMar w:top="1247" w:right="1800" w:bottom="1247"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Wingdings 2">
    <w:altName w:val="Wingdings"/>
    <w:panose1 w:val="05020102010507070707"/>
    <w:charset w:val="02"/>
    <w:family w:val="roman"/>
    <w:pitch w:val="default"/>
    <w:sig w:usb0="00000000" w:usb1="00000000" w:usb2="00000000" w:usb3="00000000" w:csb0="80000000" w:csb1="00000000"/>
  </w:font>
  <w:font w:name="TimesNewRomanPSMT">
    <w:altName w:val="Times New Roman"/>
    <w:panose1 w:val="00000000000000000000"/>
    <w:charset w:val="00"/>
    <w:family w:val="roman"/>
    <w:pitch w:val="default"/>
    <w:sig w:usb0="00000000" w:usb1="00000000" w:usb2="00000000" w:usb3="00000000" w:csb0="00000001" w:csb1="00000000"/>
  </w:font>
  <w:font w:name="仿宋_GB2312">
    <w:altName w:val="仿宋"/>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MS PGothic">
    <w:panose1 w:val="020B0600070205080204"/>
    <w:charset w:val="80"/>
    <w:family w:val="auto"/>
    <w:pitch w:val="default"/>
    <w:sig w:usb0="E00002FF" w:usb1="6AC7FDFB" w:usb2="08000012" w:usb3="00000000" w:csb0="4002009F" w:csb1="DFD7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F8BCA1"/>
    <w:multiLevelType w:val="singleLevel"/>
    <w:tmpl w:val="93F8BCA1"/>
    <w:lvl w:ilvl="0" w:tentative="0">
      <w:start w:val="2"/>
      <w:numFmt w:val="decimal"/>
      <w:suff w:val="space"/>
      <w:lvlText w:val="%1."/>
      <w:lvlJc w:val="left"/>
    </w:lvl>
  </w:abstractNum>
  <w:abstractNum w:abstractNumId="1">
    <w:nsid w:val="D380874D"/>
    <w:multiLevelType w:val="singleLevel"/>
    <w:tmpl w:val="D380874D"/>
    <w:lvl w:ilvl="0" w:tentative="0">
      <w:start w:val="1"/>
      <w:numFmt w:val="decimal"/>
      <w:suff w:val="nothing"/>
      <w:lvlText w:val="（%1）"/>
      <w:lvlJc w:val="left"/>
    </w:lvl>
  </w:abstractNum>
  <w:abstractNum w:abstractNumId="2">
    <w:nsid w:val="29DCA47E"/>
    <w:multiLevelType w:val="singleLevel"/>
    <w:tmpl w:val="29DCA47E"/>
    <w:lvl w:ilvl="0" w:tentative="0">
      <w:start w:val="2"/>
      <w:numFmt w:val="decimal"/>
      <w:suff w:val="nothing"/>
      <w:lvlText w:val="（%1）"/>
      <w:lvlJc w:val="left"/>
    </w:lvl>
  </w:abstractNum>
  <w:abstractNum w:abstractNumId="3">
    <w:nsid w:val="5A97BCAD"/>
    <w:multiLevelType w:val="singleLevel"/>
    <w:tmpl w:val="5A97BCAD"/>
    <w:lvl w:ilvl="0" w:tentative="0">
      <w:start w:val="1"/>
      <w:numFmt w:val="lowerLetter"/>
      <w:suff w:val="nothing"/>
      <w:lvlText w:val="（%1）"/>
      <w:lvlJc w:val="left"/>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trackRevisions w:val="1"/>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Y5ZGQ5ZWQ1MmJhMGZkNmYwMjg3MjM4MGI4MGE3YjQifQ=="/>
  </w:docVars>
  <w:rsids>
    <w:rsidRoot w:val="00000000"/>
    <w:rsid w:val="008A4DD1"/>
    <w:rsid w:val="012771CA"/>
    <w:rsid w:val="01840767"/>
    <w:rsid w:val="025C5C86"/>
    <w:rsid w:val="028D2A10"/>
    <w:rsid w:val="03055D36"/>
    <w:rsid w:val="039B4076"/>
    <w:rsid w:val="03FF09D1"/>
    <w:rsid w:val="0434068E"/>
    <w:rsid w:val="04444582"/>
    <w:rsid w:val="044E6A01"/>
    <w:rsid w:val="04935C27"/>
    <w:rsid w:val="04A42176"/>
    <w:rsid w:val="04EE5035"/>
    <w:rsid w:val="05E3484E"/>
    <w:rsid w:val="062F27A0"/>
    <w:rsid w:val="064F275A"/>
    <w:rsid w:val="071C74E7"/>
    <w:rsid w:val="07626FF2"/>
    <w:rsid w:val="07EF06E0"/>
    <w:rsid w:val="07FC58F7"/>
    <w:rsid w:val="08F37F55"/>
    <w:rsid w:val="092B66E4"/>
    <w:rsid w:val="096F254B"/>
    <w:rsid w:val="09F54830"/>
    <w:rsid w:val="0A0210D2"/>
    <w:rsid w:val="0A357CA6"/>
    <w:rsid w:val="0A7A62B1"/>
    <w:rsid w:val="0A857EFA"/>
    <w:rsid w:val="0AB02A04"/>
    <w:rsid w:val="0B73624B"/>
    <w:rsid w:val="0B952B8D"/>
    <w:rsid w:val="0BB3080C"/>
    <w:rsid w:val="0BD6105C"/>
    <w:rsid w:val="0C2C076A"/>
    <w:rsid w:val="0C3B1291"/>
    <w:rsid w:val="0C54499C"/>
    <w:rsid w:val="0D0A45F3"/>
    <w:rsid w:val="0D3523D5"/>
    <w:rsid w:val="0D6C29E7"/>
    <w:rsid w:val="0E3B075D"/>
    <w:rsid w:val="0E534696"/>
    <w:rsid w:val="0EA65532"/>
    <w:rsid w:val="0F6B490B"/>
    <w:rsid w:val="0FFF63DC"/>
    <w:rsid w:val="102D3FF1"/>
    <w:rsid w:val="10AD735D"/>
    <w:rsid w:val="11D844E4"/>
    <w:rsid w:val="11F47D94"/>
    <w:rsid w:val="12BC5972"/>
    <w:rsid w:val="13517287"/>
    <w:rsid w:val="13895AD1"/>
    <w:rsid w:val="13A2600B"/>
    <w:rsid w:val="13E85359"/>
    <w:rsid w:val="14000139"/>
    <w:rsid w:val="14457ECD"/>
    <w:rsid w:val="144C30DB"/>
    <w:rsid w:val="14945576"/>
    <w:rsid w:val="16422B8A"/>
    <w:rsid w:val="16787795"/>
    <w:rsid w:val="167D4006"/>
    <w:rsid w:val="16CE46AA"/>
    <w:rsid w:val="16D33104"/>
    <w:rsid w:val="16FF25CE"/>
    <w:rsid w:val="170A318D"/>
    <w:rsid w:val="170C19F2"/>
    <w:rsid w:val="17222706"/>
    <w:rsid w:val="178E6B3F"/>
    <w:rsid w:val="179F3297"/>
    <w:rsid w:val="17F95F96"/>
    <w:rsid w:val="18BE20F2"/>
    <w:rsid w:val="18C67E87"/>
    <w:rsid w:val="18F32B1A"/>
    <w:rsid w:val="19186A04"/>
    <w:rsid w:val="197154D5"/>
    <w:rsid w:val="19D708FD"/>
    <w:rsid w:val="1ABA07E3"/>
    <w:rsid w:val="1AF11EE9"/>
    <w:rsid w:val="1B1B5AE7"/>
    <w:rsid w:val="1BE61A31"/>
    <w:rsid w:val="1CA03607"/>
    <w:rsid w:val="1CCC4615"/>
    <w:rsid w:val="1D214E1D"/>
    <w:rsid w:val="1D46545E"/>
    <w:rsid w:val="1D8119D1"/>
    <w:rsid w:val="1DDA7705"/>
    <w:rsid w:val="1DE1733B"/>
    <w:rsid w:val="1DFE6556"/>
    <w:rsid w:val="1E3169BD"/>
    <w:rsid w:val="1F20215E"/>
    <w:rsid w:val="1F566E40"/>
    <w:rsid w:val="1FE8011B"/>
    <w:rsid w:val="200B2313"/>
    <w:rsid w:val="208B04E5"/>
    <w:rsid w:val="208E0B97"/>
    <w:rsid w:val="20A455EC"/>
    <w:rsid w:val="20E463FD"/>
    <w:rsid w:val="21B8105E"/>
    <w:rsid w:val="22B37E50"/>
    <w:rsid w:val="22EA5D55"/>
    <w:rsid w:val="23163928"/>
    <w:rsid w:val="23A668A4"/>
    <w:rsid w:val="23DC09E4"/>
    <w:rsid w:val="23F855A9"/>
    <w:rsid w:val="24202E68"/>
    <w:rsid w:val="245A4686"/>
    <w:rsid w:val="24817751"/>
    <w:rsid w:val="24A56C6E"/>
    <w:rsid w:val="24FA71F4"/>
    <w:rsid w:val="25043DDF"/>
    <w:rsid w:val="25587D4A"/>
    <w:rsid w:val="256652F2"/>
    <w:rsid w:val="25E54C16"/>
    <w:rsid w:val="25FE5E3B"/>
    <w:rsid w:val="26135940"/>
    <w:rsid w:val="26D7397F"/>
    <w:rsid w:val="270D0F30"/>
    <w:rsid w:val="278F11C3"/>
    <w:rsid w:val="27CA26F6"/>
    <w:rsid w:val="27DE2261"/>
    <w:rsid w:val="28424787"/>
    <w:rsid w:val="2849600C"/>
    <w:rsid w:val="28693F9B"/>
    <w:rsid w:val="28F532FD"/>
    <w:rsid w:val="28FA086E"/>
    <w:rsid w:val="2A2D07F8"/>
    <w:rsid w:val="2A512844"/>
    <w:rsid w:val="2B1F0683"/>
    <w:rsid w:val="2B44261D"/>
    <w:rsid w:val="2B44271F"/>
    <w:rsid w:val="2B595482"/>
    <w:rsid w:val="2B5C5A5F"/>
    <w:rsid w:val="2B763E0D"/>
    <w:rsid w:val="2B7C3D9A"/>
    <w:rsid w:val="2CE02C84"/>
    <w:rsid w:val="2CE24D9B"/>
    <w:rsid w:val="2DBE647D"/>
    <w:rsid w:val="2E142F4F"/>
    <w:rsid w:val="2E43229D"/>
    <w:rsid w:val="2E5252D5"/>
    <w:rsid w:val="2E5D431B"/>
    <w:rsid w:val="2EBA6A72"/>
    <w:rsid w:val="2EDC2CE7"/>
    <w:rsid w:val="2F9C5111"/>
    <w:rsid w:val="2FAB7D0C"/>
    <w:rsid w:val="2FD00080"/>
    <w:rsid w:val="303403F6"/>
    <w:rsid w:val="306666F7"/>
    <w:rsid w:val="306E16E9"/>
    <w:rsid w:val="3088561E"/>
    <w:rsid w:val="310475B8"/>
    <w:rsid w:val="310E7982"/>
    <w:rsid w:val="311447E9"/>
    <w:rsid w:val="31263489"/>
    <w:rsid w:val="312C1C0F"/>
    <w:rsid w:val="313F36B9"/>
    <w:rsid w:val="31C17740"/>
    <w:rsid w:val="32462FB2"/>
    <w:rsid w:val="326363F3"/>
    <w:rsid w:val="32F62731"/>
    <w:rsid w:val="33A30126"/>
    <w:rsid w:val="34035D87"/>
    <w:rsid w:val="34967BEC"/>
    <w:rsid w:val="35031914"/>
    <w:rsid w:val="355851B8"/>
    <w:rsid w:val="357B3B1F"/>
    <w:rsid w:val="35C17548"/>
    <w:rsid w:val="368E52D8"/>
    <w:rsid w:val="36E0159F"/>
    <w:rsid w:val="3734642A"/>
    <w:rsid w:val="376D1AC5"/>
    <w:rsid w:val="377A666E"/>
    <w:rsid w:val="3782510E"/>
    <w:rsid w:val="37877091"/>
    <w:rsid w:val="381C31E4"/>
    <w:rsid w:val="382F476D"/>
    <w:rsid w:val="38A725C7"/>
    <w:rsid w:val="38B0770F"/>
    <w:rsid w:val="38F72F1B"/>
    <w:rsid w:val="38F96505"/>
    <w:rsid w:val="392028C4"/>
    <w:rsid w:val="39472834"/>
    <w:rsid w:val="39485291"/>
    <w:rsid w:val="396A5C96"/>
    <w:rsid w:val="3A176869"/>
    <w:rsid w:val="3A65303F"/>
    <w:rsid w:val="3ADB5C85"/>
    <w:rsid w:val="3AF776C2"/>
    <w:rsid w:val="3AFA2251"/>
    <w:rsid w:val="3B376C98"/>
    <w:rsid w:val="3B931E0B"/>
    <w:rsid w:val="3C1F46BB"/>
    <w:rsid w:val="3C993C30"/>
    <w:rsid w:val="3CB55DD9"/>
    <w:rsid w:val="3D991F99"/>
    <w:rsid w:val="3DB07F6B"/>
    <w:rsid w:val="3DCE783B"/>
    <w:rsid w:val="3DE57621"/>
    <w:rsid w:val="3E22139D"/>
    <w:rsid w:val="3E901F5F"/>
    <w:rsid w:val="3EA856B2"/>
    <w:rsid w:val="3EE202B9"/>
    <w:rsid w:val="3F415710"/>
    <w:rsid w:val="3FA269AC"/>
    <w:rsid w:val="3FD25B24"/>
    <w:rsid w:val="404770E6"/>
    <w:rsid w:val="40991D13"/>
    <w:rsid w:val="40AD18E2"/>
    <w:rsid w:val="41AF4B8B"/>
    <w:rsid w:val="42302466"/>
    <w:rsid w:val="427771EB"/>
    <w:rsid w:val="430B3B99"/>
    <w:rsid w:val="431D10B7"/>
    <w:rsid w:val="43481FFB"/>
    <w:rsid w:val="44980CDC"/>
    <w:rsid w:val="44C16A07"/>
    <w:rsid w:val="44DB7A97"/>
    <w:rsid w:val="44EA4795"/>
    <w:rsid w:val="451A33E4"/>
    <w:rsid w:val="455137BA"/>
    <w:rsid w:val="455F7A69"/>
    <w:rsid w:val="45992592"/>
    <w:rsid w:val="45B01234"/>
    <w:rsid w:val="46285E16"/>
    <w:rsid w:val="464153DB"/>
    <w:rsid w:val="46565C03"/>
    <w:rsid w:val="46827A75"/>
    <w:rsid w:val="46862F52"/>
    <w:rsid w:val="46EF4DF0"/>
    <w:rsid w:val="47974B6C"/>
    <w:rsid w:val="47BE2B4A"/>
    <w:rsid w:val="489A7EE6"/>
    <w:rsid w:val="48C14F02"/>
    <w:rsid w:val="49083246"/>
    <w:rsid w:val="491456B1"/>
    <w:rsid w:val="49263929"/>
    <w:rsid w:val="49DC4E68"/>
    <w:rsid w:val="4A5F1906"/>
    <w:rsid w:val="4A61101F"/>
    <w:rsid w:val="4A6C1FC3"/>
    <w:rsid w:val="4AEB4E36"/>
    <w:rsid w:val="4AFC1FFA"/>
    <w:rsid w:val="4B285E73"/>
    <w:rsid w:val="4BD56629"/>
    <w:rsid w:val="4BDE000E"/>
    <w:rsid w:val="4BFE315B"/>
    <w:rsid w:val="4C144C48"/>
    <w:rsid w:val="4C2E17D2"/>
    <w:rsid w:val="4C417A6E"/>
    <w:rsid w:val="4C596153"/>
    <w:rsid w:val="4C80676A"/>
    <w:rsid w:val="4CE66ED1"/>
    <w:rsid w:val="4D0742A5"/>
    <w:rsid w:val="4D214ED7"/>
    <w:rsid w:val="4D3F3DD9"/>
    <w:rsid w:val="4D654A4A"/>
    <w:rsid w:val="4DD546D5"/>
    <w:rsid w:val="4E5A6BD8"/>
    <w:rsid w:val="4E6F0E2D"/>
    <w:rsid w:val="4ED2574B"/>
    <w:rsid w:val="4EFD6807"/>
    <w:rsid w:val="4F1B59B5"/>
    <w:rsid w:val="4F3B2021"/>
    <w:rsid w:val="5152079A"/>
    <w:rsid w:val="51AA6309"/>
    <w:rsid w:val="51F352EB"/>
    <w:rsid w:val="52265D02"/>
    <w:rsid w:val="52937716"/>
    <w:rsid w:val="52A11D3B"/>
    <w:rsid w:val="52B651A7"/>
    <w:rsid w:val="52DC751A"/>
    <w:rsid w:val="54007A11"/>
    <w:rsid w:val="544A0ADE"/>
    <w:rsid w:val="546973DC"/>
    <w:rsid w:val="54CF7D80"/>
    <w:rsid w:val="55A503E6"/>
    <w:rsid w:val="569E2036"/>
    <w:rsid w:val="56B700C6"/>
    <w:rsid w:val="57416F33"/>
    <w:rsid w:val="574E404B"/>
    <w:rsid w:val="576122DC"/>
    <w:rsid w:val="576E15CC"/>
    <w:rsid w:val="579978C1"/>
    <w:rsid w:val="57C62767"/>
    <w:rsid w:val="581E1696"/>
    <w:rsid w:val="581F5B81"/>
    <w:rsid w:val="586E5D3E"/>
    <w:rsid w:val="58D35EB3"/>
    <w:rsid w:val="59154660"/>
    <w:rsid w:val="594D4B8E"/>
    <w:rsid w:val="59525FDB"/>
    <w:rsid w:val="59A62A20"/>
    <w:rsid w:val="59A93A55"/>
    <w:rsid w:val="5A710D5C"/>
    <w:rsid w:val="5A7908D5"/>
    <w:rsid w:val="5AAD478D"/>
    <w:rsid w:val="5B4A2A3E"/>
    <w:rsid w:val="5BA45D69"/>
    <w:rsid w:val="5C2C4ADB"/>
    <w:rsid w:val="5C580382"/>
    <w:rsid w:val="5D62480F"/>
    <w:rsid w:val="5DDF6E91"/>
    <w:rsid w:val="5E1919CF"/>
    <w:rsid w:val="5ED53891"/>
    <w:rsid w:val="5F3C3859"/>
    <w:rsid w:val="5FB474E0"/>
    <w:rsid w:val="6023446D"/>
    <w:rsid w:val="61087E2D"/>
    <w:rsid w:val="61627EF2"/>
    <w:rsid w:val="61E045CD"/>
    <w:rsid w:val="62372C94"/>
    <w:rsid w:val="62874764"/>
    <w:rsid w:val="62F42042"/>
    <w:rsid w:val="635E565F"/>
    <w:rsid w:val="639D7495"/>
    <w:rsid w:val="63B065DA"/>
    <w:rsid w:val="63F97017"/>
    <w:rsid w:val="641540CC"/>
    <w:rsid w:val="641A131C"/>
    <w:rsid w:val="646E4065"/>
    <w:rsid w:val="649E418C"/>
    <w:rsid w:val="64B20A0E"/>
    <w:rsid w:val="64B32A88"/>
    <w:rsid w:val="65E5242F"/>
    <w:rsid w:val="66017E94"/>
    <w:rsid w:val="667211B2"/>
    <w:rsid w:val="66B2109F"/>
    <w:rsid w:val="66E2130C"/>
    <w:rsid w:val="6750559A"/>
    <w:rsid w:val="676350A4"/>
    <w:rsid w:val="678B32A0"/>
    <w:rsid w:val="684F5878"/>
    <w:rsid w:val="68BD71B4"/>
    <w:rsid w:val="68EC3DD0"/>
    <w:rsid w:val="692B4132"/>
    <w:rsid w:val="6A3C04F2"/>
    <w:rsid w:val="6A433669"/>
    <w:rsid w:val="6A7C678A"/>
    <w:rsid w:val="6A9E1710"/>
    <w:rsid w:val="6BAA7113"/>
    <w:rsid w:val="6BF80FF3"/>
    <w:rsid w:val="6C05238F"/>
    <w:rsid w:val="6C311B17"/>
    <w:rsid w:val="6D05244E"/>
    <w:rsid w:val="6D243774"/>
    <w:rsid w:val="6D2B6BB7"/>
    <w:rsid w:val="6D542C57"/>
    <w:rsid w:val="6D6418AE"/>
    <w:rsid w:val="6DBC51E2"/>
    <w:rsid w:val="6E287E44"/>
    <w:rsid w:val="6E2A4C0B"/>
    <w:rsid w:val="6E9D5637"/>
    <w:rsid w:val="6F4F605A"/>
    <w:rsid w:val="6FD025A6"/>
    <w:rsid w:val="70242621"/>
    <w:rsid w:val="7029103C"/>
    <w:rsid w:val="704F15F9"/>
    <w:rsid w:val="705E5698"/>
    <w:rsid w:val="70951F5C"/>
    <w:rsid w:val="709E5E25"/>
    <w:rsid w:val="71052A8E"/>
    <w:rsid w:val="714251E9"/>
    <w:rsid w:val="719F7978"/>
    <w:rsid w:val="71AB06BA"/>
    <w:rsid w:val="71F145A9"/>
    <w:rsid w:val="72330FCB"/>
    <w:rsid w:val="726B0346"/>
    <w:rsid w:val="72E82850"/>
    <w:rsid w:val="72F52A9F"/>
    <w:rsid w:val="739B7ABD"/>
    <w:rsid w:val="73F640E0"/>
    <w:rsid w:val="73F75673"/>
    <w:rsid w:val="740C2EB6"/>
    <w:rsid w:val="74360245"/>
    <w:rsid w:val="744448D5"/>
    <w:rsid w:val="74C332C2"/>
    <w:rsid w:val="74CB17FF"/>
    <w:rsid w:val="74E650D4"/>
    <w:rsid w:val="75AA14FE"/>
    <w:rsid w:val="75BF0C01"/>
    <w:rsid w:val="75C23499"/>
    <w:rsid w:val="76320D4E"/>
    <w:rsid w:val="7672533A"/>
    <w:rsid w:val="77132BA9"/>
    <w:rsid w:val="778E18B2"/>
    <w:rsid w:val="77D9070C"/>
    <w:rsid w:val="780A18BA"/>
    <w:rsid w:val="78641EBF"/>
    <w:rsid w:val="786B670E"/>
    <w:rsid w:val="78CB70BB"/>
    <w:rsid w:val="792E16F0"/>
    <w:rsid w:val="798F2768"/>
    <w:rsid w:val="79B902B8"/>
    <w:rsid w:val="79DC46B7"/>
    <w:rsid w:val="7A4946DA"/>
    <w:rsid w:val="7AC272FF"/>
    <w:rsid w:val="7AF75D5C"/>
    <w:rsid w:val="7AFB25AD"/>
    <w:rsid w:val="7B2B326A"/>
    <w:rsid w:val="7B3B2338"/>
    <w:rsid w:val="7B5D6421"/>
    <w:rsid w:val="7BA86E99"/>
    <w:rsid w:val="7BC469C3"/>
    <w:rsid w:val="7C4F7056"/>
    <w:rsid w:val="7C900816"/>
    <w:rsid w:val="7CAE29D1"/>
    <w:rsid w:val="7CD63AC7"/>
    <w:rsid w:val="7CEB54F6"/>
    <w:rsid w:val="7D2221D8"/>
    <w:rsid w:val="7D397C9C"/>
    <w:rsid w:val="7D442AF4"/>
    <w:rsid w:val="7D57146E"/>
    <w:rsid w:val="7D774E71"/>
    <w:rsid w:val="7DA525FA"/>
    <w:rsid w:val="7DAC269B"/>
    <w:rsid w:val="7DB8544C"/>
    <w:rsid w:val="7E135E11"/>
    <w:rsid w:val="7E362BEF"/>
    <w:rsid w:val="7F0E612D"/>
    <w:rsid w:val="7F5D773E"/>
    <w:rsid w:val="7F690FAE"/>
    <w:rsid w:val="7F7A63C8"/>
    <w:rsid w:val="7F8D0CCF"/>
    <w:rsid w:val="7FCA156D"/>
    <w:rsid w:val="7FD1641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Times New Roman" w:hAnsi="Times New Roman" w:eastAsia="宋体" w:cs="Times New Roman"/>
      <w:kern w:val="2"/>
      <w:sz w:val="21"/>
      <w:szCs w:val="22"/>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2">
    <w:name w:val="heading 2"/>
    <w:basedOn w:val="1"/>
    <w:next w:val="1"/>
    <w:unhideWhenUsed/>
    <w:qFormat/>
    <w:uiPriority w:val="99"/>
    <w:pPr>
      <w:widowControl w:val="0"/>
      <w:autoSpaceDE w:val="0"/>
      <w:autoSpaceDN w:val="0"/>
      <w:adjustRightInd w:val="0"/>
      <w:spacing w:beforeLines="0" w:afterLines="0"/>
      <w:outlineLvl w:val="1"/>
    </w:pPr>
    <w:rPr>
      <w:rFonts w:hint="default" w:ascii="Arial" w:hAnsi="Arial" w:eastAsia="宋体" w:cs="Times New Roman"/>
      <w:b/>
      <w:i/>
      <w:color w:val="000000"/>
      <w:sz w:val="28"/>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Body Text Indent"/>
    <w:basedOn w:val="1"/>
    <w:qFormat/>
    <w:uiPriority w:val="0"/>
    <w:pPr>
      <w:spacing w:after="120"/>
      <w:ind w:left="420" w:leftChars="200"/>
    </w:pPr>
  </w:style>
  <w:style w:type="paragraph" w:styleId="6">
    <w:name w:val="Plain Text"/>
    <w:basedOn w:val="1"/>
    <w:qFormat/>
    <w:uiPriority w:val="0"/>
    <w:rPr>
      <w:rFonts w:ascii="宋体" w:hAnsi="Courier New"/>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1">
    <w:name w:val="Table Grid"/>
    <w:basedOn w:val="10"/>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
    <w:name w:val="11"/>
    <w:basedOn w:val="5"/>
    <w:qFormat/>
    <w:uiPriority w:val="0"/>
    <w:pPr>
      <w:spacing w:line="360" w:lineRule="auto"/>
    </w:pPr>
    <w:rPr>
      <w:rFonts w:hAnsi="宋体"/>
      <w:b/>
      <w:szCs w:val="21"/>
    </w:rPr>
  </w:style>
  <w:style w:type="paragraph" w:customStyle="1" w:styleId="14">
    <w:name w:val="目录 21"/>
    <w:basedOn w:val="1"/>
    <w:next w:val="1"/>
    <w:qFormat/>
    <w:uiPriority w:val="0"/>
    <w:pPr>
      <w:spacing w:before="100" w:beforeAutospacing="1" w:after="100" w:afterAutospacing="1"/>
      <w:ind w:left="420" w:left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31</Pages>
  <Words>24630</Words>
  <Characters>25882</Characters>
  <Lines>0</Lines>
  <Paragraphs>0</Paragraphs>
  <TotalTime>254</TotalTime>
  <ScaleCrop>false</ScaleCrop>
  <LinksUpToDate>false</LinksUpToDate>
  <CharactersWithSpaces>26566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2020-10-13T00:40:00Z</dcterms:created>
  <dc:creator>Administrator</dc:creator>
  <cp:lastModifiedBy>鲍辰雨</cp:lastModifiedBy>
  <dcterms:modified xsi:type="dcterms:W3CDTF">2025-10-31T07:57:25Z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1F43B242C39B45EE83CBF971C6BC7A67</vt:lpwstr>
  </property>
  <property fmtid="{D5CDD505-2E9C-101B-9397-08002B2CF9AE}" pid="4" name="KSOTemplateDocerSaveRecord">
    <vt:lpwstr>eyJoZGlkIjoiN2E3MTllNmI5MGExMjc2MjBjZTE2MDE4MjgzYWM0NjgiLCJ1c2VySWQiOiI2NDIyMjU5MDAifQ==</vt:lpwstr>
  </property>
</Properties>
</file>