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广州供电局2026年110千伏基建重大紧急项目 </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监理招标）</w:t>
      </w:r>
    </w:p>
    <w:bookmarkEnd w:id="0"/>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exact"/>
          <w:jc w:val="center"/>
        </w:trPr>
        <w:tc>
          <w:tcPr>
            <w:tcW w:w="776"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工期/框架有效期</w:t>
            </w:r>
          </w:p>
        </w:tc>
        <w:tc>
          <w:tcPr>
            <w:tcW w:w="5250" w:type="dxa"/>
            <w:noWrap w:val="0"/>
            <w:vAlign w:val="center"/>
          </w:tcPr>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实际工期以委托函上截明时间为准</w:t>
            </w: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框架有效期：</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合同签订之日起至2026年12月31日。</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
          <w:sz w:val="24"/>
          <w:szCs w:val="24"/>
          <w:highlight w:val="none"/>
          <w:lang w:eastAsia="zh-CN"/>
        </w:rPr>
      </w:pPr>
      <w:r>
        <w:rPr>
          <w:rFonts w:hint="eastAsia" w:asciiTheme="minorEastAsia" w:hAnsiTheme="minorEastAsia" w:eastAsiaTheme="minorEastAsia" w:cstheme="minorEastAsia"/>
          <w:bCs/>
          <w:sz w:val="24"/>
          <w:szCs w:val="24"/>
          <w:highlight w:val="none"/>
        </w:rPr>
        <w:t>变电站工程：具体建设规模以施工图纸为准</w:t>
      </w:r>
      <w:r>
        <w:rPr>
          <w:rFonts w:hint="eastAsia" w:asciiTheme="minorEastAsia" w:hAnsiTheme="minorEastAsia" w:eastAsiaTheme="minorEastAsia" w:cstheme="minorEastAsia"/>
          <w:bCs/>
          <w:sz w:val="24"/>
          <w:szCs w:val="24"/>
          <w:highlight w:val="none"/>
          <w:lang w:eastAsia="zh-CN"/>
        </w:rPr>
        <w:t>。</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※架空线路部分</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rPr>
        <w:t>架空线路工程：具体建设规模以施工图纸为准</w:t>
      </w:r>
      <w:r>
        <w:rPr>
          <w:rFonts w:hint="eastAsia" w:asciiTheme="minorEastAsia" w:hAnsiTheme="minorEastAsia" w:eastAsiaTheme="minorEastAsia" w:cstheme="minorEastAsia"/>
          <w:bCs/>
          <w:sz w:val="24"/>
          <w:szCs w:val="24"/>
          <w:highlight w:val="none"/>
          <w:lang w:eastAsia="zh-CN"/>
        </w:rPr>
        <w:t>。</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※电缆线路部分</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rPr>
        <w:t>电缆线路工程：具体建设规模以施工图纸为准</w:t>
      </w:r>
      <w:r>
        <w:rPr>
          <w:rFonts w:hint="eastAsia" w:asciiTheme="minorEastAsia" w:hAnsiTheme="minorEastAsia" w:eastAsiaTheme="minorEastAsia" w:cstheme="minorEastAsia"/>
          <w:bCs/>
          <w:sz w:val="24"/>
          <w:szCs w:val="24"/>
          <w:highlight w:val="none"/>
          <w:lang w:eastAsia="zh-CN"/>
        </w:rPr>
        <w:t>。</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w:t>
      </w:r>
      <w:r>
        <w:rPr>
          <w:rFonts w:hint="eastAsia" w:asciiTheme="minorEastAsia" w:hAnsiTheme="minorEastAsia" w:eastAsiaTheme="minorEastAsia" w:cstheme="minorEastAsia"/>
          <w:b/>
          <w:sz w:val="24"/>
          <w:szCs w:val="24"/>
          <w:highlight w:val="none"/>
          <w:lang w:eastAsia="zh-CN"/>
        </w:rPr>
        <w:t>通信</w:t>
      </w:r>
      <w:r>
        <w:rPr>
          <w:rFonts w:hint="eastAsia" w:asciiTheme="minorEastAsia" w:hAnsiTheme="minorEastAsia" w:eastAsiaTheme="minorEastAsia" w:cstheme="minorEastAsia"/>
          <w:b/>
          <w:sz w:val="24"/>
          <w:szCs w:val="24"/>
          <w:highlight w:val="none"/>
        </w:rPr>
        <w:t>部分</w:t>
      </w:r>
    </w:p>
    <w:p>
      <w:pPr>
        <w:pStyle w:val="2"/>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eastAsia="zh-CN"/>
        </w:rPr>
        <w:t>变电站部分</w:t>
      </w:r>
      <w:r>
        <w:rPr>
          <w:rFonts w:hint="eastAsia" w:asciiTheme="minorEastAsia" w:hAnsiTheme="minorEastAsia" w:eastAsiaTheme="minorEastAsia" w:cstheme="minorEastAsia"/>
          <w:bCs/>
          <w:sz w:val="24"/>
          <w:szCs w:val="24"/>
          <w:highlight w:val="none"/>
        </w:rPr>
        <w:t>：具体建设规模以施工图纸为准</w:t>
      </w:r>
      <w:r>
        <w:rPr>
          <w:rFonts w:hint="eastAsia" w:asciiTheme="minorEastAsia" w:hAnsiTheme="minorEastAsia" w:eastAsiaTheme="minorEastAsia" w:cstheme="minorEastAsia"/>
          <w:bCs/>
          <w:sz w:val="24"/>
          <w:szCs w:val="24"/>
          <w:highlight w:val="none"/>
          <w:lang w:eastAsia="zh-CN"/>
        </w:rPr>
        <w:t>。</w:t>
      </w:r>
    </w:p>
    <w:p>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pPr>
        <w:rPr>
          <w:rFonts w:hint="eastAsia"/>
          <w:highlight w:val="none"/>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pPr w:leftFromText="180" w:rightFromText="180" w:vertAnchor="text" w:horzAnchor="page" w:tblpX="1646"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43" w:type="dxa"/>
            <w:tcBorders>
              <w:bottom w:val="single" w:color="auto" w:sz="4" w:space="0"/>
            </w:tcBorders>
            <w:noWrap w:val="0"/>
            <w:vAlign w:val="center"/>
          </w:tcPr>
          <w:p>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2242" w:type="dxa"/>
            <w:tcBorders>
              <w:bottom w:val="single" w:color="auto" w:sz="4" w:space="0"/>
            </w:tcBorders>
            <w:noWrap w:val="0"/>
            <w:vAlign w:val="center"/>
          </w:tcPr>
          <w:p>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top"/>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33" w:type="dxa"/>
            <w:tcBorders>
              <w:bottom w:val="single" w:color="auto" w:sz="4" w:space="0"/>
            </w:tcBorders>
            <w:noWrap w:val="0"/>
            <w:vAlign w:val="center"/>
          </w:tcPr>
          <w:p>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9" w:type="dxa"/>
            <w:tcBorders>
              <w:bottom w:val="single" w:color="auto" w:sz="4" w:space="0"/>
            </w:tcBorders>
            <w:noWrap w:val="0"/>
            <w:vAlign w:val="top"/>
          </w:tcPr>
          <w:p>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134" w:type="dxa"/>
            <w:tcBorders>
              <w:bottom w:val="single" w:color="auto" w:sz="4" w:space="0"/>
            </w:tcBorders>
            <w:noWrap w:val="0"/>
            <w:vAlign w:val="center"/>
          </w:tcPr>
          <w:p>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r>
              <w:rPr>
                <w:rFonts w:hint="eastAsia" w:ascii="宋体" w:hAnsi="宋体"/>
                <w:color w:val="auto"/>
                <w:highlight w:val="none"/>
              </w:rPr>
              <w:t>1</w:t>
            </w:r>
          </w:p>
        </w:tc>
        <w:tc>
          <w:tcPr>
            <w:tcW w:w="2242" w:type="dxa"/>
            <w:tcBorders>
              <w:top w:val="single" w:color="auto" w:sz="4" w:space="0"/>
              <w:bottom w:val="single" w:color="auto" w:sz="4" w:space="0"/>
            </w:tcBorders>
            <w:noWrap w:val="0"/>
            <w:vAlign w:val="center"/>
          </w:tcPr>
          <w:p>
            <w:pPr>
              <w:tabs>
                <w:tab w:val="left" w:pos="900"/>
              </w:tabs>
              <w:snapToGrid w:val="0"/>
              <w:spacing w:before="60" w:after="120"/>
              <w:ind w:right="-24"/>
              <w:jc w:val="left"/>
              <w:rPr>
                <w:rFonts w:ascii="宋体" w:hAnsi="宋体"/>
                <w:color w:val="auto"/>
                <w:highlight w:val="none"/>
              </w:rPr>
            </w:pPr>
            <w:r>
              <w:rPr>
                <w:rFonts w:hint="eastAsia" w:hAnsi="宋体"/>
                <w:color w:val="auto"/>
                <w:highlight w:val="none"/>
                <w:u w:val="none"/>
              </w:rPr>
              <w:t>广州供电局202</w:t>
            </w:r>
            <w:r>
              <w:rPr>
                <w:rFonts w:hint="eastAsia" w:hAnsi="宋体"/>
                <w:color w:val="auto"/>
                <w:highlight w:val="none"/>
                <w:u w:val="none"/>
                <w:lang w:val="en-US" w:eastAsia="zh-CN"/>
              </w:rPr>
              <w:t>6</w:t>
            </w:r>
            <w:r>
              <w:rPr>
                <w:rFonts w:hint="eastAsia" w:hAnsi="宋体"/>
                <w:color w:val="auto"/>
                <w:highlight w:val="none"/>
                <w:u w:val="none"/>
              </w:rPr>
              <w:t>年110千伏基建重大紧急项目监理</w:t>
            </w:r>
          </w:p>
        </w:tc>
        <w:tc>
          <w:tcPr>
            <w:tcW w:w="1519" w:type="dxa"/>
            <w:noWrap w:val="0"/>
            <w:vAlign w:val="center"/>
          </w:tcPr>
          <w:p>
            <w:pPr>
              <w:tabs>
                <w:tab w:val="left" w:pos="900"/>
              </w:tabs>
              <w:snapToGrid w:val="0"/>
              <w:spacing w:before="60" w:after="120"/>
              <w:ind w:right="-24"/>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8000000.00</w:t>
            </w:r>
          </w:p>
        </w:tc>
        <w:tc>
          <w:tcPr>
            <w:tcW w:w="1033" w:type="dxa"/>
            <w:vMerge w:val="restart"/>
            <w:tcBorders>
              <w:top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9"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hint="eastAsia" w:ascii="宋体" w:hAnsi="宋体"/>
                <w:color w:val="auto"/>
                <w:highlight w:val="none"/>
              </w:rPr>
            </w:pPr>
          </w:p>
        </w:tc>
        <w:tc>
          <w:tcPr>
            <w:tcW w:w="2242" w:type="dxa"/>
            <w:tcBorders>
              <w:top w:val="single" w:color="auto" w:sz="4" w:space="0"/>
              <w:bottom w:val="single" w:color="auto" w:sz="4" w:space="0"/>
            </w:tcBorders>
            <w:noWrap w:val="0"/>
            <w:vAlign w:val="center"/>
          </w:tcPr>
          <w:p>
            <w:pPr>
              <w:tabs>
                <w:tab w:val="left" w:pos="900"/>
              </w:tabs>
              <w:snapToGrid w:val="0"/>
              <w:spacing w:before="60" w:after="120"/>
              <w:ind w:right="-24"/>
              <w:jc w:val="left"/>
              <w:rPr>
                <w:rFonts w:hint="eastAsia" w:hAnsi="宋体" w:eastAsia="宋体"/>
                <w:color w:val="auto"/>
                <w:highlight w:val="none"/>
                <w:u w:val="none"/>
                <w:lang w:val="en-US" w:eastAsia="zh-CN"/>
              </w:rPr>
            </w:pPr>
            <w:r>
              <w:rPr>
                <w:rFonts w:hint="eastAsia" w:hAnsi="宋体"/>
                <w:color w:val="auto"/>
                <w:highlight w:val="none"/>
                <w:u w:val="none"/>
                <w:lang w:val="en-US" w:eastAsia="zh-CN"/>
              </w:rPr>
              <w:t>合计（小写）</w:t>
            </w:r>
          </w:p>
        </w:tc>
        <w:tc>
          <w:tcPr>
            <w:tcW w:w="1519" w:type="dxa"/>
            <w:noWrap w:val="0"/>
            <w:vAlign w:val="center"/>
          </w:tcPr>
          <w:p>
            <w:pPr>
              <w:tabs>
                <w:tab w:val="left" w:pos="900"/>
              </w:tabs>
              <w:snapToGrid w:val="0"/>
              <w:spacing w:before="60" w:after="120"/>
              <w:ind w:right="-24"/>
              <w:jc w:val="center"/>
              <w:rPr>
                <w:rFonts w:hint="eastAsia" w:ascii="宋体" w:hAnsi="宋体"/>
                <w:color w:val="auto"/>
                <w:highlight w:val="none"/>
                <w:lang w:val="en-US" w:eastAsia="zh-CN"/>
              </w:rPr>
            </w:pPr>
            <w:r>
              <w:rPr>
                <w:rFonts w:hint="eastAsia" w:ascii="宋体" w:hAnsi="宋体"/>
                <w:color w:val="auto"/>
                <w:highlight w:val="none"/>
                <w:lang w:val="en-US" w:eastAsia="zh-CN"/>
              </w:rPr>
              <w:t>8000000.00</w:t>
            </w:r>
          </w:p>
        </w:tc>
        <w:tc>
          <w:tcPr>
            <w:tcW w:w="1033" w:type="dxa"/>
            <w:vMerge w:val="continue"/>
            <w:noWrap w:val="0"/>
            <w:vAlign w:val="center"/>
          </w:tcPr>
          <w:p>
            <w:pPr>
              <w:tabs>
                <w:tab w:val="left" w:pos="900"/>
              </w:tabs>
              <w:snapToGrid w:val="0"/>
              <w:spacing w:before="60" w:after="120"/>
              <w:ind w:right="-24"/>
              <w:jc w:val="center"/>
              <w:rPr>
                <w:rFonts w:hint="eastAsia" w:ascii="宋体" w:hAnsi="宋体" w:cs="宋体"/>
                <w:color w:val="auto"/>
                <w:kern w:val="0"/>
                <w:szCs w:val="21"/>
                <w:highlight w:val="none"/>
                <w:u w:val="single"/>
                <w:lang w:val="en-US" w:eastAsia="zh-CN"/>
              </w:rPr>
            </w:pPr>
          </w:p>
        </w:tc>
        <w:tc>
          <w:tcPr>
            <w:tcW w:w="1559" w:type="dxa"/>
            <w:tcBorders>
              <w:top w:val="single" w:color="auto" w:sz="4" w:space="0"/>
            </w:tcBorders>
            <w:noWrap w:val="0"/>
            <w:vAlign w:val="top"/>
          </w:tcPr>
          <w:p>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pPr>
              <w:tabs>
                <w:tab w:val="left" w:pos="900"/>
              </w:tabs>
              <w:snapToGrid w:val="0"/>
              <w:spacing w:before="60" w:after="120"/>
              <w:ind w:right="-24"/>
              <w:jc w:val="center"/>
              <w:rPr>
                <w:rFonts w:ascii="宋体" w:hAnsi="宋体"/>
                <w:color w:val="auto"/>
                <w:highlight w:val="none"/>
              </w:rPr>
            </w:pPr>
          </w:p>
        </w:tc>
      </w:tr>
    </w:tbl>
    <w:p>
      <w:pPr>
        <w:pStyle w:val="3"/>
        <w:rPr>
          <w:rFonts w:hint="eastAsia"/>
          <w:highlight w:val="none"/>
          <w:lang w:val="en-US" w:eastAsia="zh-CN"/>
        </w:rPr>
      </w:pPr>
    </w:p>
    <w:p>
      <w:pPr>
        <w:rPr>
          <w:rFonts w:hint="eastAsia"/>
          <w:highlight w:val="none"/>
          <w:lang w:val="en-US" w:eastAsia="zh-CN"/>
        </w:rPr>
      </w:pPr>
    </w:p>
    <w:p>
      <w:pPr>
        <w:pStyle w:val="3"/>
        <w:rPr>
          <w:rFonts w:hint="eastAsia"/>
          <w:highlight w:val="none"/>
          <w:lang w:val="en-US" w:eastAsia="zh-CN"/>
        </w:rPr>
      </w:pPr>
    </w:p>
    <w:p>
      <w:pPr>
        <w:rPr>
          <w:rFonts w:hint="eastAsia"/>
          <w:highlight w:val="none"/>
          <w:lang w:val="en-US" w:eastAsia="zh-CN"/>
        </w:rPr>
      </w:pPr>
    </w:p>
    <w:p>
      <w:pPr>
        <w:pStyle w:val="3"/>
        <w:rPr>
          <w:rFonts w:hint="eastAsia"/>
          <w:highlight w:val="none"/>
          <w:lang w:val="en-US" w:eastAsia="zh-CN"/>
        </w:rPr>
      </w:pPr>
    </w:p>
    <w:p>
      <w:pPr>
        <w:rPr>
          <w:rFonts w:hint="eastAsia"/>
          <w:lang w:val="en-US" w:eastAsia="zh-CN"/>
        </w:rPr>
      </w:pPr>
    </w:p>
    <w:p>
      <w:pPr>
        <w:rPr>
          <w:rFonts w:hint="eastAsia"/>
          <w:highlight w:val="none"/>
          <w:lang w:val="en-US" w:eastAsia="zh-CN"/>
        </w:rPr>
      </w:pPr>
    </w:p>
    <w:p>
      <w:pPr>
        <w:rPr>
          <w:rFonts w:hint="eastAsia"/>
          <w:highlight w:val="none"/>
          <w:lang w:val="en-US" w:eastAsia="zh-CN"/>
        </w:rPr>
      </w:pPr>
    </w:p>
    <w:p>
      <w:pPr>
        <w:pStyle w:val="7"/>
        <w:ind w:firstLine="241"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1）按下浮率报价（保留两位小数，如8.88%），同时填报投标报价（投标报价=预计发包价*（1-投标下浮率），四舍五入保留两位小数）。当投标报价与投标下浮率计算结果不一致时，以投标下浮率为准，按上述公式修订投标报价。</w:t>
      </w:r>
    </w:p>
    <w:p>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（2）投标下浮率不低于0%为有效报价；当投标下浮率＞10%时应附成本分析报告，充分说明单价和费用的组成、降低成本的合理措施及在其他工程中应用过的经验等，经评审通过后方可视为有效报价。</w:t>
      </w:r>
    </w:p>
    <w:p>
      <w:pPr>
        <w:pStyle w:val="8"/>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（3）价格分计算时，投标人评标价按（100-投标人填写的下浮数值）参与计算。如：下浮率为1.88％时，评标价按（100-1.88）参与计算。                                                                         </w:t>
      </w:r>
    </w:p>
    <w:p>
      <w:pPr>
        <w:rPr>
          <w:rFonts w:hint="eastAsia"/>
          <w:highlight w:val="none"/>
          <w:lang w:val="en-US" w:eastAsia="zh-CN"/>
        </w:rPr>
      </w:pPr>
    </w:p>
    <w:p>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按实结算，结算时依据审定工作量和中标下浮率，按照合同结算条款进行结算。                                                                        </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numPr>
          <w:ilvl w:val="0"/>
          <w:numId w:val="0"/>
        </w:numPr>
        <w:rPr>
          <w:rFonts w:hint="eastAsia"/>
          <w:color w:val="auto"/>
          <w:sz w:val="24"/>
          <w:szCs w:val="24"/>
          <w:highlight w:val="none"/>
          <w:lang w:eastAsia="zh-CN"/>
        </w:rPr>
      </w:pPr>
      <w:bookmarkStart w:id="8" w:name="_GoBack"/>
      <w:r>
        <w:rPr>
          <w:rFonts w:hint="default" w:ascii="Wingdings" w:hAnsi="Wingdings" w:cs="Wingdings"/>
          <w:color w:val="auto"/>
          <w:sz w:val="24"/>
          <w:szCs w:val="24"/>
          <w:highlight w:val="none"/>
        </w:rPr>
        <w:sym w:font="Wingdings" w:char="00FE"/>
      </w:r>
      <w:r>
        <w:rPr>
          <w:rFonts w:hint="eastAsia"/>
          <w:color w:val="auto"/>
          <w:sz w:val="24"/>
          <w:szCs w:val="24"/>
          <w:highlight w:val="none"/>
          <w:lang w:eastAsia="zh-CN"/>
        </w:rPr>
        <w:t>不允许分包</w:t>
      </w:r>
    </w:p>
    <w:p>
      <w:pPr>
        <w:pStyle w:val="10"/>
        <w:numPr>
          <w:ilvl w:val="0"/>
          <w:numId w:val="0"/>
        </w:numPr>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A8"/>
      </w:r>
      <w:r>
        <w:rPr>
          <w:rFonts w:hint="eastAsia"/>
          <w:color w:val="auto"/>
          <w:sz w:val="24"/>
          <w:szCs w:val="24"/>
          <w:highlight w:val="none"/>
          <w:lang w:eastAsia="zh-CN"/>
        </w:rPr>
        <w:t>允许分包，但必须符合以下要求：</w:t>
      </w:r>
    </w:p>
    <w:bookmarkEnd w:id="8"/>
    <w:p>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pPr>
        <w:rPr>
          <w:rFonts w:hint="eastAsia" w:ascii="宋体" w:hAnsi="宋体" w:eastAsia="宋体" w:cs="宋体"/>
          <w:color w:val="auto"/>
          <w:kern w:val="2"/>
          <w:sz w:val="24"/>
          <w:szCs w:val="24"/>
          <w:highlight w:val="none"/>
          <w:u w:val="single"/>
          <w:lang w:val="en-US" w:eastAsia="zh-CN" w:bidi="ar-SA"/>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2"/>
        <w:rPr>
          <w:rFonts w:hint="eastAsia" w:asciiTheme="minorEastAsia" w:hAnsiTheme="minorEastAsia" w:eastAsiaTheme="minorEastAsia" w:cstheme="minorEastAsia"/>
          <w:i w:val="0"/>
          <w:iCs/>
          <w:color w:val="auto"/>
          <w:sz w:val="24"/>
          <w:szCs w:val="24"/>
          <w:highlight w:val="none"/>
        </w:rPr>
      </w:pPr>
    </w:p>
    <w:p>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2"/>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2"/>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2"/>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2"/>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（1）工程项目建议书；</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（2）工程项目批复文件；</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（3）工程前期有关文件（可研及初设审批文件）；</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（4）质量控制、造价控制、进度控制、安全生产管理、合同管理、信息管理、组织协调目标；</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（5）南网质量验评标准；</w:t>
      </w:r>
    </w:p>
    <w:p>
      <w:pPr>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（6）有关设计文件及资料。</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F1316B"/>
    <w:rsid w:val="04A24F71"/>
    <w:rsid w:val="06810196"/>
    <w:rsid w:val="076F3B3B"/>
    <w:rsid w:val="07CA37DF"/>
    <w:rsid w:val="07CC3833"/>
    <w:rsid w:val="0BC07002"/>
    <w:rsid w:val="0BD30473"/>
    <w:rsid w:val="0E2F4C02"/>
    <w:rsid w:val="0E3616E0"/>
    <w:rsid w:val="0E937FF7"/>
    <w:rsid w:val="0F81532F"/>
    <w:rsid w:val="107144D2"/>
    <w:rsid w:val="116419AD"/>
    <w:rsid w:val="11794537"/>
    <w:rsid w:val="11DF6CFE"/>
    <w:rsid w:val="12CE6D72"/>
    <w:rsid w:val="13383335"/>
    <w:rsid w:val="14440D4B"/>
    <w:rsid w:val="14B666F3"/>
    <w:rsid w:val="15056A61"/>
    <w:rsid w:val="163169BF"/>
    <w:rsid w:val="16A93B5A"/>
    <w:rsid w:val="182633AB"/>
    <w:rsid w:val="18E57496"/>
    <w:rsid w:val="1A2D5CFF"/>
    <w:rsid w:val="1A386933"/>
    <w:rsid w:val="1A452F93"/>
    <w:rsid w:val="1A4F176B"/>
    <w:rsid w:val="1A912F72"/>
    <w:rsid w:val="1B663F82"/>
    <w:rsid w:val="1C2D4629"/>
    <w:rsid w:val="1C43636C"/>
    <w:rsid w:val="1D904223"/>
    <w:rsid w:val="1F653C49"/>
    <w:rsid w:val="1F6C0D31"/>
    <w:rsid w:val="1FF914D4"/>
    <w:rsid w:val="20735046"/>
    <w:rsid w:val="216F4D5B"/>
    <w:rsid w:val="21DB7603"/>
    <w:rsid w:val="23B738BA"/>
    <w:rsid w:val="24E67795"/>
    <w:rsid w:val="24F737D8"/>
    <w:rsid w:val="25100685"/>
    <w:rsid w:val="26A73075"/>
    <w:rsid w:val="279A22D6"/>
    <w:rsid w:val="2CA17C08"/>
    <w:rsid w:val="2DDF66E3"/>
    <w:rsid w:val="2FF65FF8"/>
    <w:rsid w:val="300D195C"/>
    <w:rsid w:val="30BF37B5"/>
    <w:rsid w:val="31C955A9"/>
    <w:rsid w:val="33B200AF"/>
    <w:rsid w:val="33E61BE2"/>
    <w:rsid w:val="361736AD"/>
    <w:rsid w:val="36D200CF"/>
    <w:rsid w:val="36D65BD8"/>
    <w:rsid w:val="379951F8"/>
    <w:rsid w:val="38382DC3"/>
    <w:rsid w:val="38DE045C"/>
    <w:rsid w:val="3A546240"/>
    <w:rsid w:val="3BF24D81"/>
    <w:rsid w:val="3BFE7BEA"/>
    <w:rsid w:val="3C4750A3"/>
    <w:rsid w:val="3C4A35F1"/>
    <w:rsid w:val="3E664B6D"/>
    <w:rsid w:val="3ED7087B"/>
    <w:rsid w:val="3F141BFC"/>
    <w:rsid w:val="444D481C"/>
    <w:rsid w:val="44982260"/>
    <w:rsid w:val="44D414C9"/>
    <w:rsid w:val="46472D5E"/>
    <w:rsid w:val="496A657E"/>
    <w:rsid w:val="49843C09"/>
    <w:rsid w:val="4B3A1BDA"/>
    <w:rsid w:val="4BF83760"/>
    <w:rsid w:val="4C8349B8"/>
    <w:rsid w:val="520D6E5F"/>
    <w:rsid w:val="53115540"/>
    <w:rsid w:val="55AF45E0"/>
    <w:rsid w:val="55C3156A"/>
    <w:rsid w:val="5782183A"/>
    <w:rsid w:val="57BD355E"/>
    <w:rsid w:val="59A5419F"/>
    <w:rsid w:val="5B0320E2"/>
    <w:rsid w:val="5B8B11A7"/>
    <w:rsid w:val="5B9E2EC4"/>
    <w:rsid w:val="608606DE"/>
    <w:rsid w:val="610E324A"/>
    <w:rsid w:val="61F31EFD"/>
    <w:rsid w:val="63066BC7"/>
    <w:rsid w:val="63D0487B"/>
    <w:rsid w:val="64672037"/>
    <w:rsid w:val="64911DA0"/>
    <w:rsid w:val="65945D8D"/>
    <w:rsid w:val="66121410"/>
    <w:rsid w:val="66C35559"/>
    <w:rsid w:val="67D57489"/>
    <w:rsid w:val="68570F93"/>
    <w:rsid w:val="6A287B5E"/>
    <w:rsid w:val="6AFB5188"/>
    <w:rsid w:val="6B303A1A"/>
    <w:rsid w:val="6DAA2FDF"/>
    <w:rsid w:val="6E121228"/>
    <w:rsid w:val="6FC971BF"/>
    <w:rsid w:val="70D1495F"/>
    <w:rsid w:val="70ED510D"/>
    <w:rsid w:val="74695E39"/>
    <w:rsid w:val="754C6F3B"/>
    <w:rsid w:val="756A1B51"/>
    <w:rsid w:val="75B11AFF"/>
    <w:rsid w:val="75D32619"/>
    <w:rsid w:val="765369C1"/>
    <w:rsid w:val="767D6887"/>
    <w:rsid w:val="780B6A75"/>
    <w:rsid w:val="78242C25"/>
    <w:rsid w:val="79F83E18"/>
    <w:rsid w:val="7A262145"/>
    <w:rsid w:val="7BEC3F2B"/>
    <w:rsid w:val="7D0F76D8"/>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8"/>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1622</Words>
  <Characters>1684</Characters>
  <Lines>0</Lines>
  <Paragraphs>0</Paragraphs>
  <TotalTime>17</TotalTime>
  <ScaleCrop>false</ScaleCrop>
  <LinksUpToDate>false</LinksUpToDate>
  <CharactersWithSpaces>2081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chenyueming</cp:lastModifiedBy>
  <dcterms:modified xsi:type="dcterms:W3CDTF">2025-11-07T08:22:49Z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8A8C54658E2D41C7A1BB357F29FDF6BB</vt:lpwstr>
  </property>
</Properties>
</file>