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附件A.项目信息清单（广州供电局2026-2027年220千伏及以下输变电迁改工程（不含隧道土建及风水电部分）监理）</w:t>
      </w:r>
    </w:p>
    <w:bookmarkEnd w:id="0"/>
    <w:p>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纳入本框架采购协议内各迁改项目的立项批复文件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纳入本框架采购协议内各迁改项目的迁改资金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广东电网有限责任公司广州供电局</w:t>
            </w:r>
          </w:p>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6"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合同签订之日起至2027年12月31日。</w:t>
            </w:r>
          </w:p>
        </w:tc>
      </w:tr>
    </w:tbl>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hAnsi="宋体" w:eastAsia="宋体" w:cs="Times New Roman"/>
          <w:color w:val="auto"/>
          <w:sz w:val="24"/>
          <w:szCs w:val="24"/>
          <w:highlight w:val="none"/>
          <w:u w:val="single"/>
          <w:lang w:val="en-US" w:eastAsia="zh-CN"/>
        </w:rPr>
      </w:pPr>
      <w:r>
        <w:rPr>
          <w:rFonts w:hint="eastAsia" w:hAnsi="宋体" w:eastAsia="宋体" w:cs="Times New Roman"/>
          <w:color w:val="auto"/>
          <w:sz w:val="24"/>
          <w:szCs w:val="24"/>
          <w:highlight w:val="none"/>
          <w:u w:val="single"/>
          <w:lang w:val="en-US" w:eastAsia="zh-CN"/>
        </w:rPr>
        <w:t>根据广州供电局输变电设施迁改项目工程管理的需要，开展广州供电局</w:t>
      </w:r>
      <w:r>
        <w:rPr>
          <w:rFonts w:hint="eastAsia" w:hAnsi="宋体" w:cs="Times New Roman"/>
          <w:color w:val="auto"/>
          <w:sz w:val="24"/>
          <w:szCs w:val="24"/>
          <w:highlight w:val="none"/>
          <w:u w:val="single"/>
          <w:lang w:val="en-US" w:eastAsia="zh-CN"/>
        </w:rPr>
        <w:t>2026-2027年</w:t>
      </w:r>
      <w:r>
        <w:rPr>
          <w:rFonts w:hint="eastAsia" w:hAnsi="宋体" w:eastAsia="宋体" w:cs="Times New Roman"/>
          <w:color w:val="auto"/>
          <w:sz w:val="24"/>
          <w:szCs w:val="24"/>
          <w:highlight w:val="none"/>
          <w:u w:val="single"/>
          <w:lang w:val="en-US" w:eastAsia="zh-CN"/>
        </w:rPr>
        <w:t>220千伏及以下输变电迁改工程（不含隧道土建及风水电部分）监理工作。对于包含500千伏输变电设施的迁改工程，剔除500千伏部分后，根据剩余输变电设施情况（最高电压等级、是否包含隧道）套用相应框架合同，最终以招标人根据标的及标段划分原则和招标结果出具的委托书为准。</w:t>
      </w:r>
    </w:p>
    <w:p>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hAnsi="宋体" w:eastAsia="宋体" w:cs="Times New Roman"/>
          <w:color w:val="auto"/>
          <w:sz w:val="24"/>
          <w:szCs w:val="24"/>
          <w:highlight w:val="none"/>
          <w:u w:val="single"/>
          <w:lang w:val="en-US" w:eastAsia="zh-CN"/>
        </w:rPr>
      </w:pPr>
      <w:r>
        <w:rPr>
          <w:rFonts w:hint="eastAsia" w:hAnsi="宋体" w:eastAsia="宋体" w:cs="Times New Roman"/>
          <w:color w:val="auto"/>
          <w:sz w:val="24"/>
          <w:szCs w:val="24"/>
          <w:highlight w:val="none"/>
          <w:u w:val="single"/>
          <w:lang w:val="en-US" w:eastAsia="zh-CN"/>
        </w:rPr>
        <w:t>本项目预计采购金额是依据采购需求数据预测，仅作为招标预估规模供投标人参考，并不代表招标人对采购金额及数量的承诺，最终应以具体实际工程为准，并按合同条款实际结算金额为准。</w:t>
      </w:r>
    </w:p>
    <w:p>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hAnsi="宋体" w:eastAsia="宋体" w:cs="Times New Roman"/>
          <w:color w:val="auto"/>
          <w:sz w:val="24"/>
          <w:szCs w:val="24"/>
          <w:highlight w:val="none"/>
          <w:u w:val="single"/>
        </w:rPr>
      </w:pPr>
      <w:r>
        <w:rPr>
          <w:rFonts w:hint="eastAsia" w:hAnsi="宋体" w:eastAsia="宋体" w:cs="Times New Roman"/>
          <w:color w:val="auto"/>
          <w:sz w:val="24"/>
          <w:szCs w:val="24"/>
          <w:highlight w:val="none"/>
          <w:u w:val="single"/>
          <w:lang w:val="en-US" w:eastAsia="zh-CN"/>
        </w:rPr>
        <w:t>鉴于迁改工程项目立项存在不确定性，实施管控过程特殊，实际委托工程时应符合国家法律法规、南方电网公司相关管理制度要求，并及时完善相关项目的支撑性材料，合法依规有序开展相关工程和管理业务。</w:t>
      </w:r>
    </w:p>
    <w:p>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pPr>
        <w:keepNext w:val="0"/>
        <w:keepLines w:val="0"/>
        <w:pageBreakBefore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勘察设计、施工准备（含三通一平）、施工（含通信）、竣工结算、缺陷责任期、电子化移交的全过程监理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pPr>
        <w:rPr>
          <w:rFonts w:hint="eastAsia"/>
          <w:highlight w:val="none"/>
          <w:lang w:val="en-US" w:eastAsia="zh-CN"/>
        </w:rPr>
      </w:pPr>
    </w:p>
    <w:p>
      <w:pPr>
        <w:pStyle w:val="2"/>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3097"/>
        <w:gridCol w:w="2124"/>
        <w:gridCol w:w="1832"/>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903"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序号</w:t>
            </w:r>
          </w:p>
        </w:tc>
        <w:tc>
          <w:tcPr>
            <w:tcW w:w="3097"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项目名称</w:t>
            </w:r>
          </w:p>
        </w:tc>
        <w:tc>
          <w:tcPr>
            <w:tcW w:w="2124"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预计采购金额（元）</w:t>
            </w:r>
          </w:p>
        </w:tc>
        <w:tc>
          <w:tcPr>
            <w:tcW w:w="1832"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投标下浮率</w:t>
            </w:r>
          </w:p>
        </w:tc>
        <w:tc>
          <w:tcPr>
            <w:tcW w:w="1780"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投标报价（元）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trPr>
        <w:tc>
          <w:tcPr>
            <w:tcW w:w="903"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1</w:t>
            </w:r>
          </w:p>
        </w:tc>
        <w:tc>
          <w:tcPr>
            <w:tcW w:w="3097"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广州供电局</w:t>
            </w:r>
            <w:r>
              <w:rPr>
                <w:rFonts w:hint="eastAsia"/>
                <w:highlight w:val="none"/>
                <w:vertAlign w:val="baseline"/>
                <w:lang w:val="en-US" w:eastAsia="zh-CN"/>
              </w:rPr>
              <w:t>2026-2027</w:t>
            </w:r>
            <w:r>
              <w:rPr>
                <w:rFonts w:hint="eastAsia" w:eastAsia="宋体"/>
                <w:highlight w:val="none"/>
                <w:vertAlign w:val="baseline"/>
                <w:lang w:val="en-US" w:eastAsia="zh-CN"/>
              </w:rPr>
              <w:t>年220千伏及以下输变电迁改工程（不含隧道土建及风水电部分）监理</w:t>
            </w:r>
          </w:p>
        </w:tc>
        <w:tc>
          <w:tcPr>
            <w:tcW w:w="2124"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143000000</w:t>
            </w:r>
          </w:p>
        </w:tc>
        <w:tc>
          <w:tcPr>
            <w:tcW w:w="1832"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u w:val="single"/>
                <w:vertAlign w:val="baseline"/>
                <w:lang w:val="en-US" w:eastAsia="zh-CN"/>
              </w:rPr>
              <w:t xml:space="preserve">  </w:t>
            </w:r>
            <w:r>
              <w:rPr>
                <w:rFonts w:hint="eastAsia"/>
                <w:highlight w:val="none"/>
                <w:vertAlign w:val="baseline"/>
                <w:lang w:val="en-US" w:eastAsia="zh-CN"/>
              </w:rPr>
              <w:t>%</w:t>
            </w:r>
          </w:p>
        </w:tc>
        <w:tc>
          <w:tcPr>
            <w:tcW w:w="1780"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r>
    </w:tbl>
    <w:p>
      <w:pPr>
        <w:rPr>
          <w:rFonts w:hint="eastAsia"/>
          <w:highlight w:val="none"/>
          <w:lang w:val="en-US" w:eastAsia="zh-CN"/>
        </w:rPr>
      </w:pPr>
    </w:p>
    <w:p>
      <w:pPr>
        <w:pStyle w:val="6"/>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2"/>
        <w:keepNext w:val="0"/>
        <w:keepLines w:val="0"/>
        <w:pageBreakBefore w:val="0"/>
        <w:widowControl w:val="0"/>
        <w:kinsoku/>
        <w:wordWrap/>
        <w:overflowPunct/>
        <w:topLinePunct w:val="0"/>
        <w:bidi w:val="0"/>
        <w:snapToGrid/>
        <w:spacing w:beforeLines="0" w:afterLines="0" w:line="360" w:lineRule="auto"/>
        <w:ind w:firstLine="420" w:firstLineChars="200"/>
        <w:textAlignment w:val="auto"/>
        <w:rPr>
          <w:rFonts w:hint="eastAsia" w:ascii="宋体" w:hAnsi="宋体" w:eastAsia="宋体" w:cs="宋体"/>
          <w:b w:val="0"/>
          <w:i w:val="0"/>
          <w:strike w:val="0"/>
          <w:dstrike w:val="0"/>
          <w:color w:val="000000" w:themeColor="text1"/>
          <w:kern w:val="2"/>
          <w:sz w:val="21"/>
          <w:szCs w:val="21"/>
          <w:highlight w:val="none"/>
          <w:u w:val="single"/>
          <w:lang w:val="en-US" w:eastAsia="zh-CN" w:bidi="ar-SA"/>
          <w14:textFill>
            <w14:solidFill>
              <w14:schemeClr w14:val="tx1"/>
            </w14:solidFill>
          </w14:textFill>
        </w:rPr>
      </w:pPr>
      <w:r>
        <w:rPr>
          <w:rFonts w:hint="eastAsia" w:ascii="宋体" w:hAnsi="宋体" w:eastAsia="宋体" w:cs="宋体"/>
          <w:b w:val="0"/>
          <w:i w:val="0"/>
          <w:strike w:val="0"/>
          <w:dstrike w:val="0"/>
          <w:color w:val="000000" w:themeColor="text1"/>
          <w:kern w:val="2"/>
          <w:sz w:val="21"/>
          <w:szCs w:val="21"/>
          <w:highlight w:val="none"/>
          <w:u w:val="single"/>
          <w:lang w:val="en-US" w:eastAsia="zh-CN" w:bidi="ar-SA"/>
          <w14:textFill>
            <w14:solidFill>
              <w14:schemeClr w14:val="tx1"/>
            </w14:solidFill>
          </w14:textFill>
        </w:rPr>
        <w:t>（1）按下浮率报价（保留两位小数，如8.</w:t>
      </w:r>
      <w:r>
        <w:rPr>
          <w:rFonts w:hint="eastAsia" w:ascii="宋体" w:hAnsi="宋体" w:cs="宋体"/>
          <w:b w:val="0"/>
          <w:i w:val="0"/>
          <w:strike w:val="0"/>
          <w:dstrike w:val="0"/>
          <w:color w:val="000000" w:themeColor="text1"/>
          <w:kern w:val="2"/>
          <w:sz w:val="21"/>
          <w:szCs w:val="21"/>
          <w:highlight w:val="none"/>
          <w:u w:val="single"/>
          <w:lang w:val="en-US" w:eastAsia="zh-CN" w:bidi="ar-SA"/>
          <w14:textFill>
            <w14:solidFill>
              <w14:schemeClr w14:val="tx1"/>
            </w14:solidFill>
          </w14:textFill>
        </w:rPr>
        <w:t>88</w:t>
      </w:r>
      <w:r>
        <w:rPr>
          <w:rFonts w:hint="eastAsia" w:ascii="宋体" w:hAnsi="宋体" w:eastAsia="宋体" w:cs="宋体"/>
          <w:b w:val="0"/>
          <w:i w:val="0"/>
          <w:strike w:val="0"/>
          <w:dstrike w:val="0"/>
          <w:color w:val="000000" w:themeColor="text1"/>
          <w:kern w:val="2"/>
          <w:sz w:val="21"/>
          <w:szCs w:val="21"/>
          <w:highlight w:val="none"/>
          <w:u w:val="single"/>
          <w:lang w:val="en-US" w:eastAsia="zh-CN" w:bidi="ar-SA"/>
          <w14:textFill>
            <w14:solidFill>
              <w14:schemeClr w14:val="tx1"/>
            </w14:solidFill>
          </w14:textFill>
        </w:rPr>
        <w:t>%），同时填报固定金额报价（固定金额报价=预计采购金额×（1-投标下浮率），四舍五入保留两位小数），按（1-投标下浮率）计算价格分。当固定金额报价与投标下浮率计算结果不一致时，以投标下浮率为准，按上述公式修订固定金额报价。</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b w:val="0"/>
          <w:i w:val="0"/>
          <w:strike w:val="0"/>
          <w:dstrike w:val="0"/>
          <w:color w:val="000000" w:themeColor="text1"/>
          <w:kern w:val="2"/>
          <w:sz w:val="21"/>
          <w:szCs w:val="21"/>
          <w:highlight w:val="none"/>
          <w:u w:val="single"/>
          <w:lang w:val="en-US" w:eastAsia="zh-CN" w:bidi="ar-SA"/>
          <w14:textFill>
            <w14:solidFill>
              <w14:schemeClr w14:val="tx1"/>
            </w14:solidFill>
          </w14:textFill>
        </w:rPr>
        <w:t>（2）报价下浮率大于1</w:t>
      </w:r>
      <w:r>
        <w:rPr>
          <w:rFonts w:hint="eastAsia" w:ascii="宋体" w:hAnsi="宋体" w:cs="宋体"/>
          <w:b w:val="0"/>
          <w:i w:val="0"/>
          <w:strike w:val="0"/>
          <w:dstrike w:val="0"/>
          <w:color w:val="000000" w:themeColor="text1"/>
          <w:kern w:val="2"/>
          <w:sz w:val="21"/>
          <w:szCs w:val="21"/>
          <w:highlight w:val="none"/>
          <w:u w:val="single"/>
          <w:lang w:val="en-US" w:eastAsia="zh-CN" w:bidi="ar-SA"/>
          <w14:textFill>
            <w14:solidFill>
              <w14:schemeClr w14:val="tx1"/>
            </w14:solidFill>
          </w14:textFill>
        </w:rPr>
        <w:t>0</w:t>
      </w:r>
      <w:r>
        <w:rPr>
          <w:rFonts w:hint="eastAsia" w:ascii="宋体" w:hAnsi="宋体" w:eastAsia="宋体" w:cs="宋体"/>
          <w:b w:val="0"/>
          <w:i w:val="0"/>
          <w:strike w:val="0"/>
          <w:dstrike w:val="0"/>
          <w:color w:val="000000" w:themeColor="text1"/>
          <w:kern w:val="2"/>
          <w:sz w:val="21"/>
          <w:szCs w:val="21"/>
          <w:highlight w:val="none"/>
          <w:u w:val="single"/>
          <w:lang w:val="en-US" w:eastAsia="zh-CN" w:bidi="ar-SA"/>
          <w14:textFill>
            <w14:solidFill>
              <w14:schemeClr w14:val="tx1"/>
            </w14:solidFill>
          </w14:textFill>
        </w:rPr>
        <w:t>%的需提供成本分析报告（成本分析报告需充分说明单价和费用的组成、降低成本的合理措施及在其他项目中应用过的经验，未提供成本分析报告视为原则性不响应采购文件要求）。</w:t>
      </w:r>
    </w:p>
    <w:p>
      <w:pPr>
        <w:rPr>
          <w:rFonts w:hint="eastAsia"/>
          <w:highlight w:val="none"/>
          <w:lang w:val="en-US" w:eastAsia="zh-CN"/>
        </w:rPr>
      </w:pPr>
    </w:p>
    <w:p>
      <w:pPr>
        <w:pStyle w:val="2"/>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7"/>
        <w:jc w:val="left"/>
        <w:rPr>
          <w:rFonts w:hint="eastAsia" w:ascii="宋体" w:hAnsi="宋体" w:eastAsia="宋体" w:cs="宋体"/>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sz w:val="24"/>
          <w:szCs w:val="24"/>
          <w:highlight w:val="none"/>
        </w:rPr>
        <w:t>结算时按中标结果、依据审定工作量及按照合同结算条款进行结算。</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pPr>
        <w:pStyle w:val="7"/>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pPr>
        <w:rPr>
          <w:rFonts w:hint="eastAsia" w:ascii="宋体" w:hAnsi="宋体" w:eastAsia="宋体" w:cs="宋体"/>
          <w:color w:val="auto"/>
          <w:kern w:val="2"/>
          <w:sz w:val="24"/>
          <w:szCs w:val="24"/>
          <w:highlight w:val="none"/>
          <w:u w:val="single"/>
          <w:lang w:val="en-US" w:eastAsia="zh-CN" w:bidi="ar-SA"/>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2"/>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pPr>
        <w:pStyle w:val="9"/>
        <w:rPr>
          <w:rFonts w:hint="eastAsia" w:asciiTheme="minorEastAsia" w:hAnsiTheme="minorEastAsia" w:eastAsiaTheme="minorEastAsia" w:cstheme="minorEastAsia"/>
          <w:i w:val="0"/>
          <w:iCs/>
          <w:color w:val="auto"/>
          <w:sz w:val="24"/>
          <w:szCs w:val="24"/>
          <w:highlight w:val="none"/>
        </w:rPr>
      </w:pPr>
    </w:p>
    <w:p>
      <w:pPr>
        <w:pStyle w:val="2"/>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pPr>
        <w:pStyle w:val="2"/>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pPr>
        <w:pStyle w:val="2"/>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pPr>
        <w:pStyle w:val="9"/>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pPr>
        <w:pStyle w:val="9"/>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pPr>
        <w:pStyle w:val="9"/>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pPr>
        <w:pStyle w:val="2"/>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lang w:val="en-US" w:eastAsia="zh-CN"/>
        </w:rPr>
        <w:t>无</w:t>
      </w:r>
      <w:r>
        <w:rPr>
          <w:rFonts w:hint="eastAsia"/>
          <w:color w:val="auto"/>
          <w:sz w:val="24"/>
          <w:szCs w:val="24"/>
          <w:highlight w:val="none"/>
        </w:rPr>
        <w:t>。</w:t>
      </w:r>
    </w:p>
    <w:p>
      <w:pPr>
        <w:pStyle w:val="2"/>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无。</w:t>
      </w:r>
    </w:p>
    <w:p>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bookmarkStart w:id="8" w:name="_GoBack"/>
      <w:bookmarkEnd w:id="8"/>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xZGUyZmQ5MDU5MjhiNzUxNWY4N2Q0ZGU2Y2VhOTgifQ=="/>
  </w:docVars>
  <w:rsids>
    <w:rsidRoot w:val="24F737D8"/>
    <w:rsid w:val="001270A5"/>
    <w:rsid w:val="007A4AD7"/>
    <w:rsid w:val="030F00D9"/>
    <w:rsid w:val="034C42F7"/>
    <w:rsid w:val="03F1316B"/>
    <w:rsid w:val="04A24F71"/>
    <w:rsid w:val="05EC4021"/>
    <w:rsid w:val="076F3B3B"/>
    <w:rsid w:val="07CA37DF"/>
    <w:rsid w:val="07CC3833"/>
    <w:rsid w:val="0B82196E"/>
    <w:rsid w:val="0BA24217"/>
    <w:rsid w:val="0BC07002"/>
    <w:rsid w:val="0BD30473"/>
    <w:rsid w:val="0E2F4C02"/>
    <w:rsid w:val="0E3616E0"/>
    <w:rsid w:val="0E937FF7"/>
    <w:rsid w:val="0F717312"/>
    <w:rsid w:val="0F81532F"/>
    <w:rsid w:val="107144D2"/>
    <w:rsid w:val="116419AD"/>
    <w:rsid w:val="11794537"/>
    <w:rsid w:val="11DF6CFE"/>
    <w:rsid w:val="13383335"/>
    <w:rsid w:val="14440D4B"/>
    <w:rsid w:val="148923CF"/>
    <w:rsid w:val="14B666F3"/>
    <w:rsid w:val="15056A61"/>
    <w:rsid w:val="182633AB"/>
    <w:rsid w:val="18E57496"/>
    <w:rsid w:val="1A2D5CFF"/>
    <w:rsid w:val="1A386933"/>
    <w:rsid w:val="1A4F176B"/>
    <w:rsid w:val="1A912F72"/>
    <w:rsid w:val="1B663F82"/>
    <w:rsid w:val="1C2D4629"/>
    <w:rsid w:val="1C43636C"/>
    <w:rsid w:val="1D1A4D15"/>
    <w:rsid w:val="1D904223"/>
    <w:rsid w:val="1F653C49"/>
    <w:rsid w:val="1F6C0D31"/>
    <w:rsid w:val="1FF914D4"/>
    <w:rsid w:val="20735046"/>
    <w:rsid w:val="216F4D5B"/>
    <w:rsid w:val="238B3584"/>
    <w:rsid w:val="23B738BA"/>
    <w:rsid w:val="24AE0D3C"/>
    <w:rsid w:val="24E67795"/>
    <w:rsid w:val="24F737D8"/>
    <w:rsid w:val="25100685"/>
    <w:rsid w:val="25D179E3"/>
    <w:rsid w:val="26A73075"/>
    <w:rsid w:val="2A8E6439"/>
    <w:rsid w:val="2CA17C08"/>
    <w:rsid w:val="2DDF66E3"/>
    <w:rsid w:val="2FF65FF8"/>
    <w:rsid w:val="300D195C"/>
    <w:rsid w:val="30BF37B5"/>
    <w:rsid w:val="31C955A9"/>
    <w:rsid w:val="331165EB"/>
    <w:rsid w:val="33B200AF"/>
    <w:rsid w:val="33E61BE2"/>
    <w:rsid w:val="361736AD"/>
    <w:rsid w:val="36D200CF"/>
    <w:rsid w:val="379951F8"/>
    <w:rsid w:val="38382DC3"/>
    <w:rsid w:val="38DE045C"/>
    <w:rsid w:val="3A546240"/>
    <w:rsid w:val="3BF24D81"/>
    <w:rsid w:val="3BFE7BEA"/>
    <w:rsid w:val="3C4750A3"/>
    <w:rsid w:val="3C4A35F1"/>
    <w:rsid w:val="3E664B6D"/>
    <w:rsid w:val="3ED7087B"/>
    <w:rsid w:val="3F0604DF"/>
    <w:rsid w:val="3F141BFC"/>
    <w:rsid w:val="444D481C"/>
    <w:rsid w:val="44982260"/>
    <w:rsid w:val="44D414C9"/>
    <w:rsid w:val="46472D5E"/>
    <w:rsid w:val="46556784"/>
    <w:rsid w:val="496A657E"/>
    <w:rsid w:val="49843C09"/>
    <w:rsid w:val="4ABD1BB0"/>
    <w:rsid w:val="4B3A1BDA"/>
    <w:rsid w:val="4BF83760"/>
    <w:rsid w:val="4C8349B8"/>
    <w:rsid w:val="520D6E5F"/>
    <w:rsid w:val="53115540"/>
    <w:rsid w:val="55C3156A"/>
    <w:rsid w:val="5782183A"/>
    <w:rsid w:val="57BD355E"/>
    <w:rsid w:val="59A5419F"/>
    <w:rsid w:val="5B0320E2"/>
    <w:rsid w:val="5B8B11A7"/>
    <w:rsid w:val="5B9E2EC4"/>
    <w:rsid w:val="5BF862EE"/>
    <w:rsid w:val="608606DE"/>
    <w:rsid w:val="610E324A"/>
    <w:rsid w:val="61F31EFD"/>
    <w:rsid w:val="63066BC7"/>
    <w:rsid w:val="63D0487B"/>
    <w:rsid w:val="64672037"/>
    <w:rsid w:val="64911DA0"/>
    <w:rsid w:val="65945D8D"/>
    <w:rsid w:val="66C35559"/>
    <w:rsid w:val="670143B4"/>
    <w:rsid w:val="67D57489"/>
    <w:rsid w:val="68570F93"/>
    <w:rsid w:val="6A287B5E"/>
    <w:rsid w:val="6B303A1A"/>
    <w:rsid w:val="6DAA2FDF"/>
    <w:rsid w:val="6E121228"/>
    <w:rsid w:val="6FC971BF"/>
    <w:rsid w:val="70D1495F"/>
    <w:rsid w:val="70ED510D"/>
    <w:rsid w:val="73834DEC"/>
    <w:rsid w:val="74695E39"/>
    <w:rsid w:val="754C6F3B"/>
    <w:rsid w:val="75B11AFF"/>
    <w:rsid w:val="75D32619"/>
    <w:rsid w:val="765369C1"/>
    <w:rsid w:val="767D6887"/>
    <w:rsid w:val="780B6A75"/>
    <w:rsid w:val="79F83E18"/>
    <w:rsid w:val="7A262145"/>
    <w:rsid w:val="7D0F76D8"/>
    <w:rsid w:val="7DAD276D"/>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2">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1947</Words>
  <Characters>2025</Characters>
  <Lines>0</Lines>
  <Paragraphs>0</Paragraphs>
  <TotalTime>0</TotalTime>
  <ScaleCrop>false</ScaleCrop>
  <LinksUpToDate>false</LinksUpToDate>
  <CharactersWithSpaces>2212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chenyueming</cp:lastModifiedBy>
  <dcterms:modified xsi:type="dcterms:W3CDTF">2025-11-07T08:19:38Z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8A8C54658E2D41C7A1BB357F29FDF6BB</vt:lpwstr>
  </property>
</Properties>
</file>