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宋体" w:hAnsi="宋体" w:eastAsia="宋体" w:cs="宋体"/>
          <w:b/>
          <w:bCs/>
          <w:i w:val="0"/>
          <w:i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8"/>
          <w:szCs w:val="28"/>
          <w:highlight w:val="none"/>
          <w:lang w:val="en-US" w:eastAsia="zh-CN"/>
        </w:rPr>
        <w:t>推荐原则及评审标准</w:t>
      </w:r>
    </w:p>
    <w:p>
      <w:pPr>
        <w:rPr>
          <w:rFonts w:hint="default" w:ascii="宋体" w:hAnsi="宋体" w:eastAsia="宋体" w:cs="宋体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（一）推荐原则</w:t>
      </w:r>
    </w:p>
    <w:p>
      <w:pP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1.按得分由高到低进行排序，其中得分最高者为第一成交候选人，次高者为第二成交候选人，第三高者为第三成交候选人。原则上推荐第一候选人成交，第二、三候选人备选。</w:t>
      </w:r>
    </w:p>
    <w:p>
      <w:pPr>
        <w:rPr>
          <w:rFonts w:hint="default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2.当出现得分相同的存在两个或以上投标人的，以报价低者优先，如果报价也相同，则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优先考虑具有丰富资质和经验的报价人。</w:t>
      </w:r>
    </w:p>
    <w:p>
      <w:pP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</w:p>
    <w:p>
      <w:pP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</w:p>
    <w:p>
      <w:pPr>
        <w:rPr>
          <w:rFonts w:hint="default" w:ascii="宋体" w:hAnsi="宋体" w:eastAsia="宋体" w:cs="宋体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（二）评审标准</w:t>
      </w:r>
    </w:p>
    <w:tbl>
      <w:tblPr>
        <w:tblStyle w:val="4"/>
        <w:tblW w:w="93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950"/>
        <w:gridCol w:w="7074"/>
        <w:gridCol w:w="6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31" w:type="dxa"/>
            <w:gridSpan w:val="4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t>下列评审标准适用</w:t>
            </w:r>
            <w:r>
              <w:rPr>
                <w:rFonts w:hint="eastAsia"/>
                <w:lang w:val="en-US" w:eastAsia="zh-CN"/>
              </w:rPr>
              <w:t>于</w:t>
            </w:r>
            <w:r>
              <w:t>：</w:t>
            </w:r>
            <w:r>
              <w:rPr>
                <w:rFonts w:hint="eastAsia"/>
              </w:rPr>
              <w:t>2025年南网国际（香港）公司香港九龙巴士公司电动车充电桩供应、安装和运营项目法律顾问采购项目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7" w:type="dxa"/>
          </w:tcPr>
          <w:p>
            <w:pPr>
              <w:spacing w:line="400" w:lineRule="exact"/>
              <w:jc w:val="center"/>
              <w:rPr>
                <w:rFonts w:hint="default" w:asciiTheme="minorHAnsi" w:hAnsiTheme="minorHAnsi" w:eastAsiaTheme="minorEastAsia" w:cstheme="minorBidi"/>
                <w:b/>
                <w:bCs/>
                <w:i w:val="0"/>
                <w:iCs w:val="0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b/>
                <w:bCs/>
                <w:i w:val="0"/>
                <w:iCs w:val="0"/>
                <w:sz w:val="21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950" w:type="dxa"/>
          </w:tcPr>
          <w:p>
            <w:pPr>
              <w:spacing w:line="400" w:lineRule="exact"/>
              <w:jc w:val="center"/>
              <w:rPr>
                <w:rFonts w:hint="default" w:asciiTheme="minorHAnsi" w:hAnsiTheme="minorHAnsi" w:eastAsiaTheme="minorEastAsia" w:cstheme="minorBidi"/>
                <w:b/>
                <w:bCs/>
                <w:i w:val="0"/>
                <w:iCs w:val="0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b/>
                <w:bCs/>
                <w:i w:val="0"/>
                <w:iCs w:val="0"/>
                <w:sz w:val="21"/>
                <w:szCs w:val="24"/>
                <w:vertAlign w:val="baseline"/>
                <w:lang w:val="en-US" w:eastAsia="zh-CN"/>
              </w:rPr>
              <w:t>评审项</w:t>
            </w:r>
          </w:p>
        </w:tc>
        <w:tc>
          <w:tcPr>
            <w:tcW w:w="7074" w:type="dxa"/>
          </w:tcPr>
          <w:p>
            <w:pPr>
              <w:spacing w:line="400" w:lineRule="exact"/>
              <w:jc w:val="center"/>
              <w:rPr>
                <w:rFonts w:hint="default" w:asciiTheme="minorHAnsi" w:hAnsiTheme="minorHAnsi" w:eastAsiaTheme="minorEastAsia" w:cstheme="minorBidi"/>
                <w:b/>
                <w:bCs/>
                <w:i w:val="0"/>
                <w:iCs w:val="0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theme="minorBidi"/>
                <w:b/>
                <w:bCs/>
                <w:i w:val="0"/>
                <w:iCs w:val="0"/>
                <w:sz w:val="21"/>
                <w:szCs w:val="24"/>
                <w:vertAlign w:val="baseline"/>
                <w:lang w:val="en-US" w:eastAsia="zh-CN"/>
              </w:rPr>
              <w:t>评审项要素</w:t>
            </w:r>
          </w:p>
        </w:tc>
        <w:tc>
          <w:tcPr>
            <w:tcW w:w="660" w:type="dxa"/>
          </w:tcPr>
          <w:p>
            <w:pPr>
              <w:spacing w:line="400" w:lineRule="exact"/>
              <w:jc w:val="center"/>
              <w:rPr>
                <w:rFonts w:hint="default" w:asciiTheme="minorHAnsi" w:hAnsiTheme="minorHAnsi" w:eastAsiaTheme="minorEastAsia" w:cstheme="minorBidi"/>
                <w:b/>
                <w:bCs/>
                <w:i w:val="0"/>
                <w:iCs w:val="0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b/>
                <w:bCs/>
                <w:i w:val="0"/>
                <w:iCs w:val="0"/>
                <w:sz w:val="21"/>
                <w:szCs w:val="24"/>
                <w:vertAlign w:val="baseline"/>
                <w:lang w:val="en-US" w:eastAsia="zh-CN"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t>经验业绩</w:t>
            </w:r>
          </w:p>
        </w:tc>
        <w:tc>
          <w:tcPr>
            <w:tcW w:w="7074" w:type="dxa"/>
            <w:vAlign w:val="top"/>
          </w:tcPr>
          <w:p>
            <w:pPr>
              <w:spacing w:line="400" w:lineRule="exact"/>
              <w:jc w:val="left"/>
            </w:pPr>
            <w:r>
              <w:t>近</w:t>
            </w:r>
            <w:r>
              <w:rPr>
                <w:rFonts w:hint="eastAsia"/>
                <w:lang w:val="en-US" w:eastAsia="zh-CN"/>
              </w:rPr>
              <w:t>五</w:t>
            </w:r>
            <w:r>
              <w:t>年间，律所服务团队成员在</w:t>
            </w:r>
            <w:r>
              <w:rPr>
                <w:rFonts w:hint="eastAsia"/>
                <w:lang w:val="en-US" w:eastAsia="zh-CN"/>
              </w:rPr>
              <w:t>中国大陆、香港</w:t>
            </w:r>
            <w:r>
              <w:t>协助企业参与基础设施（包括项目、项目开发、工程</w:t>
            </w:r>
            <w:r>
              <w:rPr>
                <w:rFonts w:hint="eastAsia"/>
                <w:lang w:val="en-US" w:eastAsia="zh-CN"/>
              </w:rPr>
              <w:t>建设</w:t>
            </w:r>
            <w:r>
              <w:t>）或</w:t>
            </w:r>
            <w:r>
              <w:rPr>
                <w:rFonts w:hint="eastAsia"/>
                <w:lang w:val="en-US" w:eastAsia="zh-CN"/>
              </w:rPr>
              <w:t>与本项目</w:t>
            </w:r>
            <w:r>
              <w:t>类似</w:t>
            </w:r>
            <w:r>
              <w:rPr>
                <w:rFonts w:hint="eastAsia"/>
                <w:lang w:val="en-US" w:eastAsia="zh-CN"/>
              </w:rPr>
              <w:t>的</w:t>
            </w:r>
            <w:r>
              <w:t>项目经验（仅为项目提供融资服务的不计入），每有一项</w:t>
            </w:r>
            <w:r>
              <w:rPr>
                <w:rFonts w:hint="eastAsia"/>
                <w:lang w:val="en-US" w:eastAsia="zh-CN"/>
              </w:rPr>
              <w:t>项目经验</w:t>
            </w:r>
            <w:r>
              <w:t>得</w:t>
            </w:r>
            <w:r>
              <w:rPr>
                <w:rFonts w:hint="eastAsia"/>
                <w:lang w:val="en-US" w:eastAsia="zh-CN"/>
              </w:rPr>
              <w:t>10</w:t>
            </w:r>
            <w:r>
              <w:t>分，最高得</w:t>
            </w:r>
            <w:r>
              <w:rPr>
                <w:rFonts w:hint="eastAsia"/>
                <w:lang w:val="en-US" w:eastAsia="zh-CN"/>
              </w:rPr>
              <w:t>8</w:t>
            </w:r>
            <w:bookmarkStart w:id="0" w:name="_GoBack"/>
            <w:bookmarkEnd w:id="0"/>
            <w:r>
              <w:rPr>
                <w:rFonts w:hint="eastAsia"/>
                <w:lang w:val="en-US" w:eastAsia="zh-CN"/>
              </w:rPr>
              <w:t>0</w:t>
            </w:r>
            <w:r>
              <w:t>分。</w:t>
            </w:r>
          </w:p>
          <w:p>
            <w:pPr>
              <w:spacing w:line="400" w:lineRule="exact"/>
              <w:jc w:val="left"/>
            </w:pPr>
            <w:r>
              <w:t>注：</w:t>
            </w:r>
          </w:p>
          <w:p>
            <w:pPr>
              <w:spacing w:line="400" w:lineRule="exact"/>
              <w:jc w:val="left"/>
            </w:pPr>
            <w:r>
              <w:t>1.近</w:t>
            </w:r>
            <w:r>
              <w:rPr>
                <w:rFonts w:hint="eastAsia"/>
                <w:lang w:val="en-US" w:eastAsia="zh-CN"/>
              </w:rPr>
              <w:t>五</w:t>
            </w:r>
            <w:r>
              <w:t>年指从202</w:t>
            </w:r>
            <w:r>
              <w:rPr>
                <w:rFonts w:hint="eastAsia"/>
                <w:lang w:val="en-US" w:eastAsia="zh-CN"/>
              </w:rPr>
              <w:t>1</w:t>
            </w:r>
            <w:r>
              <w:t>年1月1日至报价截止时间。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2</w:t>
            </w:r>
            <w:r>
              <w:t>.单项服务经验不重复计分。需提供业绩证明材料，如服务合同首页、签字盖章页的合同复印件或扫描件（证明材料还应表明服务项目类型，其他信息可保密处理）。</w:t>
            </w:r>
          </w:p>
        </w:tc>
        <w:tc>
          <w:tcPr>
            <w:tcW w:w="66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95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t>团队配备成员组成</w:t>
            </w:r>
          </w:p>
        </w:tc>
        <w:tc>
          <w:tcPr>
            <w:tcW w:w="7074" w:type="dxa"/>
            <w:vAlign w:val="top"/>
          </w:tcPr>
          <w:p>
            <w:pPr>
              <w:spacing w:line="400" w:lineRule="exact"/>
              <w:jc w:val="left"/>
            </w:pPr>
            <w:r>
              <w:t>1.</w:t>
            </w:r>
            <w:r>
              <w:rPr>
                <w:rFonts w:hint="eastAsia"/>
                <w:lang w:val="en-US" w:eastAsia="zh-CN"/>
              </w:rPr>
              <w:t>报价人派出的</w:t>
            </w:r>
            <w:r>
              <w:t>服务团队成员</w:t>
            </w:r>
            <w:r>
              <w:rPr>
                <w:rFonts w:hint="eastAsia"/>
              </w:rPr>
              <w:t>包含具备能源</w:t>
            </w:r>
            <w:r>
              <w:rPr>
                <w:rFonts w:hint="eastAsia"/>
                <w:lang w:val="en-US" w:eastAsia="zh-CN"/>
              </w:rPr>
              <w:t>/</w:t>
            </w:r>
            <w:r>
              <w:rPr>
                <w:rFonts w:hint="eastAsia"/>
              </w:rPr>
              <w:t>基础设施、争议解决等领域的律师</w:t>
            </w:r>
            <w:r>
              <w:t>，全部满足得</w:t>
            </w:r>
            <w:r>
              <w:rPr>
                <w:rFonts w:hint="eastAsia"/>
                <w:lang w:val="en-US" w:eastAsia="zh-CN"/>
              </w:rPr>
              <w:t>5</w:t>
            </w:r>
            <w:r>
              <w:t>分，不满足的得0分；</w:t>
            </w:r>
          </w:p>
          <w:p>
            <w:pPr>
              <w:spacing w:line="400" w:lineRule="exact"/>
              <w:jc w:val="left"/>
              <w:rPr>
                <w:rFonts w:hint="eastAsia" w:eastAsiaTheme="minorEastAsia"/>
                <w:lang w:eastAsia="zh-CN"/>
              </w:rPr>
            </w:pPr>
            <w:r>
              <w:t>2.</w:t>
            </w:r>
            <w:r>
              <w:rPr>
                <w:rFonts w:hint="eastAsia"/>
                <w:lang w:val="en-US" w:eastAsia="zh-CN"/>
              </w:rPr>
              <w:t>报价人派出的服务团队成员包含</w:t>
            </w:r>
            <w:r>
              <w:t>执业年限不低于1</w:t>
            </w:r>
            <w:r>
              <w:rPr>
                <w:rFonts w:hint="eastAsia"/>
                <w:lang w:val="en-US" w:eastAsia="zh-CN"/>
              </w:rPr>
              <w:t>0</w:t>
            </w:r>
            <w:r>
              <w:t>年</w:t>
            </w:r>
            <w:r>
              <w:rPr>
                <w:rFonts w:hint="eastAsia"/>
                <w:lang w:val="en-US" w:eastAsia="zh-CN"/>
              </w:rPr>
              <w:t>的律师</w:t>
            </w:r>
            <w:r>
              <w:t>，满足条件的得</w:t>
            </w:r>
            <w:r>
              <w:rPr>
                <w:rFonts w:hint="eastAsia"/>
                <w:lang w:val="en-US" w:eastAsia="zh-CN"/>
              </w:rPr>
              <w:t>5</w:t>
            </w:r>
            <w:r>
              <w:t>分，不满足的得0分</w:t>
            </w:r>
            <w:r>
              <w:rPr>
                <w:rFonts w:hint="eastAsia"/>
                <w:lang w:eastAsia="zh-CN"/>
              </w:rPr>
              <w:t>。</w:t>
            </w:r>
          </w:p>
          <w:p>
            <w:pPr>
              <w:spacing w:line="400" w:lineRule="exact"/>
              <w:jc w:val="left"/>
            </w:pPr>
            <w:r>
              <w:t>注：</w:t>
            </w:r>
          </w:p>
          <w:p>
            <w:pPr>
              <w:spacing w:line="400" w:lineRule="exact"/>
              <w:jc w:val="left"/>
            </w:pPr>
            <w:r>
              <w:t>1.团队成员需写明执业年限和专业领域，全程参与项目工作、全方位掌握项目信息的人员。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t>2.成交后</w:t>
            </w:r>
            <w:r>
              <w:rPr>
                <w:rFonts w:hint="eastAsia"/>
                <w:lang w:val="en-US" w:eastAsia="zh-CN"/>
              </w:rPr>
              <w:t>报价人</w:t>
            </w:r>
            <w:r>
              <w:t>不得擅自更换服务团队成员。</w:t>
            </w:r>
          </w:p>
        </w:tc>
        <w:tc>
          <w:tcPr>
            <w:tcW w:w="660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95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t>服务方案增值服务</w:t>
            </w:r>
          </w:p>
        </w:tc>
        <w:tc>
          <w:tcPr>
            <w:tcW w:w="7074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t>结合本项目实际情况，从帮助我方充分把握风险或顺利</w:t>
            </w:r>
            <w:r>
              <w:rPr>
                <w:rFonts w:hint="eastAsia"/>
                <w:lang w:val="en-US" w:eastAsia="zh-CN"/>
              </w:rPr>
              <w:t>中标</w:t>
            </w:r>
            <w:r>
              <w:t>的角度出发，补充更具有针对性的增值服务，最高可得</w:t>
            </w:r>
            <w:r>
              <w:rPr>
                <w:rFonts w:hint="eastAsia"/>
                <w:lang w:val="en-US" w:eastAsia="zh-CN"/>
              </w:rPr>
              <w:t>10</w:t>
            </w:r>
            <w:r>
              <w:t>分。</w:t>
            </w:r>
          </w:p>
        </w:tc>
        <w:tc>
          <w:tcPr>
            <w:tcW w:w="660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</w:tr>
    </w:tbl>
    <w:p>
      <w:pP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</w:p>
    <w:p>
      <w:pP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</w:p>
    <w:p>
      <w:pP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855C20"/>
    <w:rsid w:val="01B80280"/>
    <w:rsid w:val="028378FB"/>
    <w:rsid w:val="0295216A"/>
    <w:rsid w:val="03C947C4"/>
    <w:rsid w:val="050820AA"/>
    <w:rsid w:val="06A57905"/>
    <w:rsid w:val="06CD1FCD"/>
    <w:rsid w:val="0D8D130E"/>
    <w:rsid w:val="0D8F39BC"/>
    <w:rsid w:val="0FD9610F"/>
    <w:rsid w:val="102E2350"/>
    <w:rsid w:val="10B272CC"/>
    <w:rsid w:val="115F4671"/>
    <w:rsid w:val="16F85961"/>
    <w:rsid w:val="19D17AE4"/>
    <w:rsid w:val="1A0B7AA9"/>
    <w:rsid w:val="1F860C48"/>
    <w:rsid w:val="20F6446B"/>
    <w:rsid w:val="24361507"/>
    <w:rsid w:val="259C5142"/>
    <w:rsid w:val="26FD5EFB"/>
    <w:rsid w:val="28600D7B"/>
    <w:rsid w:val="28AB3B12"/>
    <w:rsid w:val="29C8074C"/>
    <w:rsid w:val="2AAE0AD5"/>
    <w:rsid w:val="2AD54530"/>
    <w:rsid w:val="2B1E71B6"/>
    <w:rsid w:val="2D941213"/>
    <w:rsid w:val="2E910FB1"/>
    <w:rsid w:val="2F2430C6"/>
    <w:rsid w:val="322F24EF"/>
    <w:rsid w:val="322F5237"/>
    <w:rsid w:val="33F135D1"/>
    <w:rsid w:val="36294FC4"/>
    <w:rsid w:val="366E27A5"/>
    <w:rsid w:val="3701766E"/>
    <w:rsid w:val="37774698"/>
    <w:rsid w:val="383D7D94"/>
    <w:rsid w:val="38B574D6"/>
    <w:rsid w:val="3B5E4FF3"/>
    <w:rsid w:val="3C220125"/>
    <w:rsid w:val="3CFB7418"/>
    <w:rsid w:val="3D8F0425"/>
    <w:rsid w:val="3EB204D4"/>
    <w:rsid w:val="418A705F"/>
    <w:rsid w:val="42337648"/>
    <w:rsid w:val="42804345"/>
    <w:rsid w:val="438A67E7"/>
    <w:rsid w:val="481B2633"/>
    <w:rsid w:val="485D4F82"/>
    <w:rsid w:val="48962BA7"/>
    <w:rsid w:val="4DA65530"/>
    <w:rsid w:val="4F1D0DBE"/>
    <w:rsid w:val="4F47058D"/>
    <w:rsid w:val="4F51098A"/>
    <w:rsid w:val="52BD7E06"/>
    <w:rsid w:val="535F648A"/>
    <w:rsid w:val="54B14DEF"/>
    <w:rsid w:val="56855C20"/>
    <w:rsid w:val="58CF1DAC"/>
    <w:rsid w:val="5A1B5462"/>
    <w:rsid w:val="5B6F76CE"/>
    <w:rsid w:val="5F6F5C5E"/>
    <w:rsid w:val="60E55949"/>
    <w:rsid w:val="61536C02"/>
    <w:rsid w:val="62D3750E"/>
    <w:rsid w:val="656C232C"/>
    <w:rsid w:val="66955165"/>
    <w:rsid w:val="683723A5"/>
    <w:rsid w:val="6A213101"/>
    <w:rsid w:val="6B2B2647"/>
    <w:rsid w:val="6CE108D8"/>
    <w:rsid w:val="6D1676CC"/>
    <w:rsid w:val="6D9C1289"/>
    <w:rsid w:val="6F427F03"/>
    <w:rsid w:val="72642DD6"/>
    <w:rsid w:val="773A43A6"/>
    <w:rsid w:val="787534AD"/>
    <w:rsid w:val="787A0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2025-12-29T09:47:00Z</dcterms:created>
  <dc:creator>郑韶婧</dc:creator>
  <cp:lastModifiedBy>郑韶婧</cp:lastModifiedBy>
  <dcterms:modified xsi:type="dcterms:W3CDTF">2025-12-30T07:00:49Z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A804592E36644942B116CCACE0DC7C26</vt:lpwstr>
  </property>
</Properties>
</file>