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outlineLvl w:val="0"/>
        <w:rPr>
          <w:rFonts w:asciiTheme="minorEastAsia" w:hAnsiTheme="minorEastAsia" w:eastAsiaTheme="minorEastAsia" w:cstheme="minorEastAsia"/>
          <w:b/>
          <w:bCs/>
          <w:snapToGrid w:val="0"/>
          <w:color w:val="auto"/>
          <w:sz w:val="32"/>
          <w:szCs w:val="32"/>
          <w:highlight w:val="none"/>
          <w:u w:val="single"/>
        </w:rPr>
      </w:pPr>
      <w:bookmarkStart w:id="0" w:name="_Toc8445"/>
      <w:r>
        <w:rPr>
          <w:rFonts w:hint="eastAsia" w:asciiTheme="minorEastAsia" w:hAnsiTheme="minorEastAsia" w:eastAsiaTheme="minorEastAsia" w:cstheme="minorEastAsia"/>
          <w:b/>
          <w:bCs/>
          <w:snapToGrid w:val="0"/>
          <w:color w:val="auto"/>
          <w:sz w:val="32"/>
          <w:szCs w:val="32"/>
          <w:highlight w:val="none"/>
          <w:u w:val="single"/>
        </w:rPr>
        <w:t>标的2</w:t>
      </w:r>
    </w:p>
    <w:p>
      <w:pPr>
        <w:pStyle w:val="9"/>
        <w:spacing w:line="360" w:lineRule="auto"/>
        <w:jc w:val="center"/>
        <w:outlineLvl w:val="0"/>
        <w:rPr>
          <w:rFonts w:asciiTheme="minorEastAsia" w:hAnsiTheme="minorEastAsia" w:eastAsiaTheme="minorEastAsia" w:cstheme="minorEastAsia"/>
          <w:b/>
          <w:bCs/>
          <w:snapToGrid w:val="0"/>
          <w:color w:val="auto"/>
          <w:sz w:val="28"/>
          <w:szCs w:val="28"/>
          <w:highlight w:val="none"/>
          <w:u w:val="single"/>
        </w:rPr>
      </w:pPr>
      <w:r>
        <w:rPr>
          <w:rFonts w:hint="eastAsia" w:asciiTheme="minorEastAsia" w:hAnsiTheme="minorEastAsia" w:eastAsiaTheme="minorEastAsia" w:cstheme="minorEastAsia"/>
          <w:b/>
          <w:bCs/>
          <w:snapToGrid w:val="0"/>
          <w:color w:val="auto"/>
          <w:sz w:val="28"/>
          <w:szCs w:val="28"/>
          <w:highlight w:val="none"/>
          <w:u w:val="single"/>
          <w:lang w:val="en-US" w:eastAsia="zh-CN"/>
        </w:rPr>
        <w:t>项目</w:t>
      </w:r>
      <w:r>
        <w:rPr>
          <w:rFonts w:hint="eastAsia" w:asciiTheme="minorEastAsia" w:hAnsiTheme="minorEastAsia" w:eastAsiaTheme="minorEastAsia" w:cstheme="minorEastAsia"/>
          <w:b/>
          <w:bCs/>
          <w:snapToGrid w:val="0"/>
          <w:color w:val="auto"/>
          <w:sz w:val="28"/>
          <w:szCs w:val="28"/>
          <w:highlight w:val="none"/>
          <w:u w:val="single"/>
        </w:rPr>
        <w:t>名称：深圳供电局广东500千伏</w:t>
      </w:r>
      <w:r>
        <w:rPr>
          <w:rFonts w:hint="eastAsia" w:asciiTheme="minorEastAsia" w:hAnsiTheme="minorEastAsia" w:eastAsiaTheme="minorEastAsia" w:cstheme="minorEastAsia"/>
          <w:b/>
          <w:bCs/>
          <w:snapToGrid w:val="0"/>
          <w:color w:val="auto"/>
          <w:sz w:val="28"/>
          <w:szCs w:val="28"/>
          <w:highlight w:val="none"/>
          <w:u w:val="single"/>
          <w:lang w:val="en-US" w:eastAsia="zh-CN"/>
        </w:rPr>
        <w:t>惠州中洞抽水蓄能电站</w:t>
      </w:r>
      <w:r>
        <w:rPr>
          <w:rFonts w:hint="eastAsia" w:asciiTheme="minorEastAsia" w:hAnsiTheme="minorEastAsia" w:eastAsiaTheme="minorEastAsia" w:cstheme="minorEastAsia"/>
          <w:b/>
          <w:bCs/>
          <w:snapToGrid w:val="0"/>
          <w:color w:val="auto"/>
          <w:sz w:val="28"/>
          <w:szCs w:val="28"/>
          <w:highlight w:val="none"/>
          <w:u w:val="single"/>
        </w:rPr>
        <w:t>接入系统工程（深圳段）施工招标</w:t>
      </w:r>
    </w:p>
    <w:p>
      <w:pPr>
        <w:pStyle w:val="9"/>
        <w:spacing w:line="360" w:lineRule="auto"/>
        <w:jc w:val="center"/>
        <w:outlineLvl w:val="0"/>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招标前期资料</w:t>
      </w:r>
    </w:p>
    <w:tbl>
      <w:tblPr>
        <w:tblStyle w:val="16"/>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序号</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文件名称</w:t>
            </w:r>
          </w:p>
        </w:tc>
        <w:tc>
          <w:tcPr>
            <w:tcW w:w="3574"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1</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color w:val="auto"/>
                <w:sz w:val="21"/>
                <w:szCs w:val="21"/>
                <w:highlight w:val="none"/>
              </w:rPr>
              <w:t>可研批复文号</w:t>
            </w:r>
          </w:p>
        </w:tc>
        <w:tc>
          <w:tcPr>
            <w:tcW w:w="3574" w:type="dxa"/>
            <w:vAlign w:val="center"/>
          </w:tcPr>
          <w:p>
            <w:pPr>
              <w:pStyle w:val="9"/>
              <w:spacing w:line="360" w:lineRule="auto"/>
              <w:jc w:val="center"/>
              <w:rPr>
                <w:rFonts w:hAnsi="宋体" w:cs="宋体"/>
                <w:b/>
                <w:bCs/>
                <w:snapToGrid w:val="0"/>
                <w:color w:val="auto"/>
                <w:sz w:val="24"/>
                <w:szCs w:val="24"/>
                <w:highlight w:val="none"/>
                <w:u w:val="single"/>
              </w:rPr>
            </w:pPr>
            <w:r>
              <w:rPr>
                <w:rFonts w:hint="eastAsia" w:hAnsi="宋体" w:cs="宋体"/>
                <w:color w:val="auto"/>
                <w:sz w:val="21"/>
                <w:szCs w:val="21"/>
                <w:highlight w:val="none"/>
              </w:rPr>
              <w:t>南方电网规划〔202</w:t>
            </w:r>
            <w:r>
              <w:rPr>
                <w:rFonts w:hint="eastAsia" w:hAnsi="宋体" w:cs="宋体"/>
                <w:color w:val="auto"/>
                <w:sz w:val="21"/>
                <w:szCs w:val="21"/>
                <w:highlight w:val="none"/>
                <w:lang w:val="en-US" w:eastAsia="zh-CN"/>
              </w:rPr>
              <w:t>5</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rPr>
              <w:t>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2</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color w:val="auto"/>
                <w:sz w:val="21"/>
                <w:szCs w:val="21"/>
                <w:highlight w:val="none"/>
              </w:rPr>
              <w:t>项目核准文号</w:t>
            </w:r>
          </w:p>
        </w:tc>
        <w:tc>
          <w:tcPr>
            <w:tcW w:w="3574" w:type="dxa"/>
            <w:vAlign w:val="center"/>
          </w:tcPr>
          <w:p>
            <w:pPr>
              <w:pStyle w:val="9"/>
              <w:spacing w:line="360" w:lineRule="auto"/>
              <w:jc w:val="center"/>
              <w:rPr>
                <w:rFonts w:hAnsi="宋体" w:cs="宋体"/>
                <w:b/>
                <w:bCs/>
                <w:snapToGrid w:val="0"/>
                <w:color w:val="auto"/>
                <w:sz w:val="24"/>
                <w:szCs w:val="24"/>
                <w:highlight w:val="none"/>
                <w:u w:val="single"/>
              </w:rPr>
            </w:pPr>
            <w:r>
              <w:rPr>
                <w:rFonts w:hint="eastAsia" w:hAnsi="宋体" w:cs="宋体"/>
                <w:color w:val="auto"/>
                <w:sz w:val="21"/>
                <w:szCs w:val="21"/>
                <w:highlight w:val="none"/>
              </w:rPr>
              <w:t>粤发改核准〔202</w:t>
            </w:r>
            <w:r>
              <w:rPr>
                <w:rFonts w:hint="eastAsia" w:hAnsi="宋体" w:cs="宋体"/>
                <w:color w:val="auto"/>
                <w:sz w:val="21"/>
                <w:szCs w:val="21"/>
                <w:highlight w:val="none"/>
                <w:lang w:val="en-US" w:eastAsia="zh-CN"/>
              </w:rPr>
              <w:t>5</w:t>
            </w:r>
            <w:r>
              <w:rPr>
                <w:rFonts w:hint="eastAsia" w:hAnsi="宋体" w:cs="宋体"/>
                <w:color w:val="auto"/>
                <w:sz w:val="21"/>
                <w:szCs w:val="21"/>
                <w:highlight w:val="none"/>
              </w:rPr>
              <w:t>〕2</w:t>
            </w:r>
            <w:r>
              <w:rPr>
                <w:rFonts w:hint="eastAsia" w:hAnsi="宋体" w:cs="宋体"/>
                <w:color w:val="auto"/>
                <w:sz w:val="21"/>
                <w:szCs w:val="21"/>
                <w:highlight w:val="none"/>
                <w:lang w:val="en-US" w:eastAsia="zh-CN"/>
              </w:rPr>
              <w:t>0</w:t>
            </w:r>
            <w:r>
              <w:rPr>
                <w:rFonts w:hint="eastAsia" w:hAnsi="宋体" w:cs="宋体"/>
                <w:color w:val="auto"/>
                <w:sz w:val="21"/>
                <w:szCs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3</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color w:val="auto"/>
                <w:sz w:val="21"/>
                <w:szCs w:val="21"/>
                <w:highlight w:val="none"/>
              </w:rPr>
              <w:t>初设批复文号</w:t>
            </w:r>
          </w:p>
        </w:tc>
        <w:tc>
          <w:tcPr>
            <w:tcW w:w="3574"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color w:val="auto"/>
                <w:sz w:val="21"/>
                <w:szCs w:val="21"/>
                <w:highlight w:val="none"/>
              </w:rPr>
              <w:t>南方电网工程(2025〕13号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4</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资金落实情况</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资金已落实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5</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施工图预算批复文号</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6</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项目建设单位</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7</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项目建设地点</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8</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前期的设计或咨询服务单位名称</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中国</w:t>
            </w:r>
            <w:r>
              <w:rPr>
                <w:rFonts w:hint="eastAsia" w:hAnsi="宋体" w:cs="宋体"/>
                <w:color w:val="auto"/>
                <w:sz w:val="21"/>
                <w:szCs w:val="21"/>
                <w:highlight w:val="none"/>
                <w:lang w:val="en-US" w:eastAsia="zh-CN"/>
              </w:rPr>
              <w:t>电力工程顾问</w:t>
            </w:r>
            <w:r>
              <w:rPr>
                <w:rFonts w:hint="eastAsia" w:hAnsi="宋体" w:cs="宋体"/>
                <w:color w:val="auto"/>
                <w:sz w:val="21"/>
                <w:szCs w:val="21"/>
                <w:highlight w:val="none"/>
              </w:rPr>
              <w:t>集团</w:t>
            </w:r>
            <w:r>
              <w:rPr>
                <w:rFonts w:hint="eastAsia" w:hAnsi="宋体" w:cs="宋体"/>
                <w:color w:val="auto"/>
                <w:sz w:val="21"/>
                <w:szCs w:val="21"/>
                <w:highlight w:val="none"/>
                <w:lang w:val="en-US" w:eastAsia="zh-CN"/>
              </w:rPr>
              <w:t>中南电力</w:t>
            </w:r>
            <w:r>
              <w:rPr>
                <w:rFonts w:hint="eastAsia" w:hAnsi="宋体" w:cs="宋体"/>
                <w:color w:val="auto"/>
                <w:sz w:val="21"/>
                <w:szCs w:val="21"/>
                <w:highlight w:val="none"/>
              </w:rPr>
              <w:t>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9</w:t>
            </w:r>
          </w:p>
        </w:tc>
        <w:tc>
          <w:tcPr>
            <w:tcW w:w="2263" w:type="dxa"/>
          </w:tcPr>
          <w:p>
            <w:pPr>
              <w:pStyle w:val="9"/>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项目监理单位</w:t>
            </w:r>
          </w:p>
        </w:tc>
        <w:tc>
          <w:tcPr>
            <w:tcW w:w="3574" w:type="dxa"/>
            <w:vAlign w:val="center"/>
          </w:tcPr>
          <w:p>
            <w:pPr>
              <w:pStyle w:val="9"/>
              <w:spacing w:line="360" w:lineRule="auto"/>
              <w:jc w:val="center"/>
              <w:rPr>
                <w:rFonts w:hAnsi="宋体" w:cs="宋体"/>
                <w:color w:val="auto"/>
                <w:sz w:val="21"/>
                <w:szCs w:val="21"/>
                <w:highlight w:val="none"/>
              </w:rPr>
            </w:pPr>
            <w:r>
              <w:rPr>
                <w:rFonts w:hint="eastAsia" w:hAnsi="宋体" w:cs="宋体"/>
                <w:color w:val="auto"/>
                <w:sz w:val="21"/>
                <w:szCs w:val="21"/>
                <w:highlight w:val="none"/>
              </w:rPr>
              <w:t>——</w:t>
            </w:r>
          </w:p>
        </w:tc>
      </w:tr>
    </w:tbl>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（一）建设规模：</w:t>
      </w:r>
      <w:bookmarkEnd w:id="0"/>
      <w:bookmarkStart w:id="1" w:name="_Toc4755"/>
      <w:bookmarkStart w:id="2" w:name="_Toc13498"/>
      <w:bookmarkStart w:id="3" w:name="_Toc28718"/>
    </w:p>
    <w:p>
      <w:pPr>
        <w:pStyle w:val="9"/>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1"/>
        <w:rPr>
          <w:rFonts w:hint="eastAsia" w:asciiTheme="minorEastAsia" w:hAnsiTheme="minorEastAsia" w:eastAsiaTheme="minorEastAsia" w:cstheme="minorEastAsia"/>
          <w:snapToGrid w:val="0"/>
          <w:color w:val="auto"/>
          <w:sz w:val="21"/>
          <w:szCs w:val="21"/>
          <w:highlight w:val="none"/>
        </w:rPr>
      </w:pPr>
      <w:r>
        <w:rPr>
          <w:rFonts w:hint="eastAsia" w:asciiTheme="minorEastAsia" w:hAnsiTheme="minorEastAsia" w:eastAsiaTheme="minorEastAsia" w:cstheme="minorEastAsia"/>
          <w:snapToGrid w:val="0"/>
          <w:color w:val="auto"/>
          <w:sz w:val="21"/>
          <w:szCs w:val="21"/>
          <w:highlight w:val="none"/>
          <w:lang w:val="en-US" w:eastAsia="zh-CN"/>
        </w:rPr>
        <w:t>1.</w:t>
      </w:r>
      <w:r>
        <w:rPr>
          <w:rFonts w:hint="eastAsia" w:asciiTheme="minorEastAsia" w:hAnsiTheme="minorEastAsia" w:eastAsiaTheme="minorEastAsia" w:cstheme="minorEastAsia"/>
          <w:snapToGrid w:val="0"/>
          <w:color w:val="auto"/>
          <w:sz w:val="21"/>
          <w:szCs w:val="21"/>
          <w:highlight w:val="none"/>
        </w:rPr>
        <w:t>500千伏</w:t>
      </w:r>
      <w:r>
        <w:rPr>
          <w:rFonts w:hint="eastAsia" w:asciiTheme="minorEastAsia" w:hAnsiTheme="minorEastAsia" w:eastAsiaTheme="minorEastAsia" w:cstheme="minorEastAsia"/>
          <w:snapToGrid w:val="0"/>
          <w:color w:val="auto"/>
          <w:sz w:val="21"/>
          <w:szCs w:val="21"/>
          <w:highlight w:val="none"/>
          <w:lang w:val="en-US" w:eastAsia="zh-CN"/>
        </w:rPr>
        <w:t>征程站（深汕站）</w:t>
      </w:r>
      <w:r>
        <w:rPr>
          <w:rFonts w:hint="eastAsia" w:asciiTheme="minorEastAsia" w:hAnsiTheme="minorEastAsia" w:eastAsiaTheme="minorEastAsia" w:cstheme="minorEastAsia"/>
          <w:snapToGrid w:val="0"/>
          <w:color w:val="auto"/>
          <w:sz w:val="21"/>
          <w:szCs w:val="21"/>
          <w:highlight w:val="none"/>
        </w:rPr>
        <w:t>扩建工程</w:t>
      </w:r>
    </w:p>
    <w:p>
      <w:pPr>
        <w:pStyle w:val="9"/>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1"/>
        <w:rPr>
          <w:rFonts w:hint="eastAsia" w:asciiTheme="minorEastAsia" w:hAnsiTheme="minorEastAsia" w:eastAsiaTheme="minorEastAsia" w:cstheme="minorEastAsia"/>
          <w:snapToGrid w:val="0"/>
          <w:color w:val="auto"/>
          <w:sz w:val="21"/>
          <w:szCs w:val="21"/>
          <w:highlight w:val="none"/>
        </w:rPr>
      </w:pPr>
      <w:r>
        <w:rPr>
          <w:rFonts w:hint="eastAsia" w:asciiTheme="minorEastAsia" w:hAnsiTheme="minorEastAsia" w:eastAsiaTheme="minorEastAsia" w:cstheme="minorEastAsia"/>
          <w:snapToGrid w:val="0"/>
          <w:color w:val="auto"/>
          <w:sz w:val="21"/>
          <w:szCs w:val="21"/>
          <w:highlight w:val="none"/>
        </w:rPr>
        <w:t>本期扩建500k</w:t>
      </w:r>
      <w:r>
        <w:rPr>
          <w:rFonts w:hint="eastAsia" w:asciiTheme="minorEastAsia" w:hAnsiTheme="minorEastAsia" w:eastAsiaTheme="minorEastAsia" w:cstheme="minorEastAsia"/>
          <w:snapToGrid w:val="0"/>
          <w:color w:val="auto"/>
          <w:sz w:val="21"/>
          <w:szCs w:val="21"/>
          <w:highlight w:val="none"/>
          <w:lang w:val="en-US" w:eastAsia="zh-CN"/>
        </w:rPr>
        <w:t>V</w:t>
      </w:r>
      <w:r>
        <w:rPr>
          <w:rFonts w:hint="eastAsia" w:asciiTheme="minorEastAsia" w:hAnsiTheme="minorEastAsia" w:eastAsiaTheme="minorEastAsia" w:cstheme="minorEastAsia"/>
          <w:snapToGrid w:val="0"/>
          <w:color w:val="auto"/>
          <w:sz w:val="21"/>
          <w:szCs w:val="21"/>
          <w:highlight w:val="none"/>
        </w:rPr>
        <w:t>出线1回，</w:t>
      </w:r>
      <w:r>
        <w:rPr>
          <w:rFonts w:hint="eastAsia" w:asciiTheme="minorEastAsia" w:hAnsiTheme="minorEastAsia" w:eastAsiaTheme="minorEastAsia" w:cstheme="minorEastAsia"/>
          <w:snapToGrid w:val="0"/>
          <w:color w:val="auto"/>
          <w:sz w:val="21"/>
          <w:szCs w:val="21"/>
          <w:highlight w:val="none"/>
          <w:lang w:val="en-US" w:eastAsia="zh-CN"/>
        </w:rPr>
        <w:t>500kV采用一个半断路器接线，本期安装1台断路器，采用户内GIS，避雷器与线路电压互感器采用户外布置</w:t>
      </w:r>
      <w:r>
        <w:rPr>
          <w:rFonts w:hint="eastAsia" w:asciiTheme="minorEastAsia" w:hAnsiTheme="minorEastAsia" w:eastAsiaTheme="minorEastAsia" w:cstheme="minorEastAsia"/>
          <w:snapToGrid w:val="0"/>
          <w:color w:val="auto"/>
          <w:sz w:val="21"/>
          <w:szCs w:val="21"/>
          <w:highlight w:val="none"/>
        </w:rPr>
        <w:t>。</w:t>
      </w:r>
    </w:p>
    <w:p>
      <w:pPr>
        <w:pStyle w:val="9"/>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1"/>
        <w:rPr>
          <w:rFonts w:hint="eastAsia" w:asciiTheme="minorEastAsia" w:hAnsiTheme="minorEastAsia" w:eastAsiaTheme="minorEastAsia" w:cstheme="minorEastAsia"/>
          <w:snapToGrid w:val="0"/>
          <w:color w:val="auto"/>
          <w:sz w:val="21"/>
          <w:szCs w:val="21"/>
          <w:highlight w:val="none"/>
        </w:rPr>
      </w:pPr>
      <w:r>
        <w:rPr>
          <w:rFonts w:hint="eastAsia" w:asciiTheme="minorEastAsia" w:hAnsiTheme="minorEastAsia" w:eastAsiaTheme="minorEastAsia" w:cstheme="minorEastAsia"/>
          <w:snapToGrid w:val="0"/>
          <w:color w:val="auto"/>
          <w:sz w:val="21"/>
          <w:szCs w:val="21"/>
          <w:highlight w:val="none"/>
        </w:rPr>
        <w:t>本期扩建工程在预留场地进行，不需新征用地。</w:t>
      </w:r>
    </w:p>
    <w:p>
      <w:pPr>
        <w:pStyle w:val="24"/>
        <w:spacing w:line="240" w:lineRule="auto"/>
        <w:ind w:firstLine="480"/>
        <w:rPr>
          <w:color w:val="auto"/>
          <w:sz w:val="21"/>
          <w:szCs w:val="21"/>
          <w:highlight w:val="none"/>
        </w:rPr>
      </w:pPr>
      <w:r>
        <w:rPr>
          <w:rFonts w:hint="eastAsia"/>
          <w:color w:val="auto"/>
          <w:sz w:val="21"/>
          <w:szCs w:val="21"/>
          <w:highlight w:val="none"/>
          <w:lang w:val="en-US" w:eastAsia="zh-CN"/>
        </w:rPr>
        <w:t>2</w:t>
      </w:r>
      <w:r>
        <w:rPr>
          <w:color w:val="auto"/>
          <w:sz w:val="21"/>
          <w:szCs w:val="21"/>
          <w:highlight w:val="none"/>
        </w:rPr>
        <w:t xml:space="preserve">. </w:t>
      </w:r>
      <w:r>
        <w:rPr>
          <w:rFonts w:hint="eastAsia"/>
          <w:color w:val="auto"/>
          <w:sz w:val="21"/>
          <w:szCs w:val="21"/>
          <w:highlight w:val="none"/>
          <w:lang w:val="en-US" w:eastAsia="zh-CN"/>
        </w:rPr>
        <w:t>中洞抽水蓄能电站</w:t>
      </w:r>
      <w:r>
        <w:rPr>
          <w:rFonts w:hint="eastAsia"/>
          <w:color w:val="auto"/>
          <w:sz w:val="21"/>
          <w:szCs w:val="21"/>
          <w:highlight w:val="none"/>
        </w:rPr>
        <w:t>～</w:t>
      </w:r>
      <w:r>
        <w:rPr>
          <w:rFonts w:hint="eastAsia"/>
          <w:color w:val="auto"/>
          <w:sz w:val="21"/>
          <w:szCs w:val="21"/>
          <w:highlight w:val="none"/>
          <w:lang w:val="en-US" w:eastAsia="zh-CN"/>
        </w:rPr>
        <w:t>征程</w:t>
      </w:r>
      <w:r>
        <w:rPr>
          <w:color w:val="auto"/>
          <w:sz w:val="21"/>
          <w:szCs w:val="21"/>
          <w:highlight w:val="none"/>
        </w:rPr>
        <w:t>500kV</w:t>
      </w:r>
      <w:r>
        <w:rPr>
          <w:rFonts w:hint="eastAsia"/>
          <w:color w:val="auto"/>
          <w:sz w:val="21"/>
          <w:szCs w:val="21"/>
          <w:highlight w:val="none"/>
        </w:rPr>
        <w:t>线路工程</w:t>
      </w:r>
    </w:p>
    <w:p>
      <w:pPr>
        <w:pStyle w:val="24"/>
        <w:spacing w:line="240" w:lineRule="auto"/>
        <w:ind w:firstLine="480"/>
        <w:rPr>
          <w:color w:val="auto"/>
          <w:sz w:val="21"/>
          <w:szCs w:val="21"/>
          <w:highlight w:val="none"/>
        </w:rPr>
      </w:pPr>
      <w:r>
        <w:rPr>
          <w:rFonts w:hint="eastAsia"/>
          <w:color w:val="auto"/>
          <w:sz w:val="21"/>
          <w:szCs w:val="21"/>
          <w:highlight w:val="none"/>
        </w:rPr>
        <w:t>新建线路路径长度</w:t>
      </w:r>
      <w:r>
        <w:rPr>
          <w:rFonts w:hint="eastAsia"/>
          <w:color w:val="auto"/>
          <w:sz w:val="21"/>
          <w:szCs w:val="21"/>
          <w:highlight w:val="none"/>
          <w:lang w:val="en-US" w:eastAsia="zh-CN"/>
        </w:rPr>
        <w:t>69.8</w:t>
      </w:r>
      <w:r>
        <w:rPr>
          <w:color w:val="auto"/>
          <w:sz w:val="21"/>
          <w:szCs w:val="21"/>
          <w:highlight w:val="none"/>
        </w:rPr>
        <w:t>km</w:t>
      </w:r>
      <w:r>
        <w:rPr>
          <w:rFonts w:hint="eastAsia"/>
          <w:color w:val="auto"/>
          <w:sz w:val="21"/>
          <w:szCs w:val="21"/>
          <w:highlight w:val="none"/>
          <w:lang w:eastAsia="zh-CN"/>
        </w:rPr>
        <w:t>（</w:t>
      </w:r>
      <w:r>
        <w:rPr>
          <w:rFonts w:hint="eastAsia"/>
          <w:color w:val="auto"/>
          <w:sz w:val="21"/>
          <w:szCs w:val="21"/>
          <w:highlight w:val="none"/>
          <w:lang w:val="en-US" w:eastAsia="zh-CN"/>
        </w:rPr>
        <w:t>惠州段1.4km，汕尾段64.8km，深汕合作区段3.6km</w:t>
      </w:r>
      <w:r>
        <w:rPr>
          <w:rFonts w:hint="eastAsia"/>
          <w:color w:val="auto"/>
          <w:sz w:val="21"/>
          <w:szCs w:val="21"/>
          <w:highlight w:val="none"/>
          <w:lang w:eastAsia="zh-CN"/>
        </w:rPr>
        <w:t>）</w:t>
      </w:r>
      <w:r>
        <w:rPr>
          <w:rFonts w:hint="eastAsia"/>
          <w:color w:val="auto"/>
          <w:sz w:val="21"/>
          <w:szCs w:val="21"/>
          <w:highlight w:val="none"/>
        </w:rPr>
        <w:t>，中洞抽水蓄能电站进出线采用1基双回路终端塔单边挂线，中洞抽水蓄能电站终端塔至茅湖北开关站西侧段采用单回路设计，路径长度约18.0km；茅湖北开关站西侧至北岭220kV站段采用混压同塔四回路设计（上面2回为500kV线路，下面2回为220kV线路）,路径长度约33.1km；北岭220kV站至深汕500kV站北侧段采用双回路设计，路径长度约16.2km；</w:t>
      </w:r>
      <w:r>
        <w:rPr>
          <w:rFonts w:hint="eastAsia"/>
          <w:color w:val="auto"/>
          <w:sz w:val="21"/>
          <w:szCs w:val="21"/>
          <w:highlight w:val="none"/>
          <w:lang w:val="en-US" w:eastAsia="zh-CN"/>
        </w:rPr>
        <w:t>征程</w:t>
      </w:r>
      <w:r>
        <w:rPr>
          <w:rFonts w:hint="eastAsia"/>
          <w:color w:val="auto"/>
          <w:sz w:val="21"/>
          <w:szCs w:val="21"/>
          <w:highlight w:val="none"/>
        </w:rPr>
        <w:t>500kV站进站段采用单回路设计，路径长度约2.5km。。沿线海拔高度在</w:t>
      </w:r>
      <w:r>
        <w:rPr>
          <w:color w:val="auto"/>
          <w:sz w:val="21"/>
          <w:szCs w:val="21"/>
          <w:highlight w:val="none"/>
        </w:rPr>
        <w:t>0m</w:t>
      </w:r>
      <w:r>
        <w:rPr>
          <w:rFonts w:hint="eastAsia"/>
          <w:color w:val="auto"/>
          <w:sz w:val="21"/>
          <w:szCs w:val="21"/>
          <w:highlight w:val="none"/>
        </w:rPr>
        <w:t>～</w:t>
      </w:r>
      <w:r>
        <w:rPr>
          <w:color w:val="auto"/>
          <w:sz w:val="21"/>
          <w:szCs w:val="21"/>
          <w:highlight w:val="none"/>
        </w:rPr>
        <w:t>500m</w:t>
      </w:r>
      <w:r>
        <w:rPr>
          <w:rFonts w:hint="eastAsia"/>
          <w:color w:val="auto"/>
          <w:sz w:val="21"/>
          <w:szCs w:val="21"/>
          <w:highlight w:val="none"/>
        </w:rPr>
        <w:t>之间。</w:t>
      </w:r>
    </w:p>
    <w:p>
      <w:pPr>
        <w:pStyle w:val="24"/>
        <w:spacing w:line="240" w:lineRule="auto"/>
        <w:ind w:firstLine="480"/>
        <w:rPr>
          <w:color w:val="auto"/>
          <w:sz w:val="21"/>
          <w:szCs w:val="21"/>
          <w:highlight w:val="none"/>
        </w:rPr>
      </w:pPr>
      <w:r>
        <w:rPr>
          <w:rFonts w:hint="eastAsia"/>
          <w:color w:val="auto"/>
          <w:sz w:val="21"/>
          <w:szCs w:val="21"/>
          <w:highlight w:val="none"/>
        </w:rPr>
        <w:t>本工程设计基本风速取</w:t>
      </w:r>
      <w:r>
        <w:rPr>
          <w:rFonts w:hint="eastAsia"/>
          <w:color w:val="auto"/>
          <w:sz w:val="21"/>
          <w:szCs w:val="21"/>
          <w:highlight w:val="none"/>
          <w:lang w:val="en-US" w:eastAsia="zh-CN"/>
        </w:rPr>
        <w:t>33m/s、35m/s、</w:t>
      </w:r>
      <w:r>
        <w:rPr>
          <w:color w:val="auto"/>
          <w:sz w:val="21"/>
          <w:szCs w:val="21"/>
          <w:highlight w:val="none"/>
        </w:rPr>
        <w:t>37m/s</w:t>
      </w:r>
      <w:r>
        <w:rPr>
          <w:rFonts w:hint="eastAsia"/>
          <w:color w:val="auto"/>
          <w:sz w:val="21"/>
          <w:szCs w:val="21"/>
          <w:highlight w:val="none"/>
        </w:rPr>
        <w:t>、</w:t>
      </w:r>
      <w:r>
        <w:rPr>
          <w:color w:val="auto"/>
          <w:sz w:val="21"/>
          <w:szCs w:val="21"/>
          <w:highlight w:val="none"/>
        </w:rPr>
        <w:t>39m/s</w:t>
      </w:r>
      <w:r>
        <w:rPr>
          <w:rFonts w:hint="eastAsia"/>
          <w:color w:val="auto"/>
          <w:sz w:val="21"/>
          <w:szCs w:val="21"/>
          <w:highlight w:val="none"/>
        </w:rPr>
        <w:t>。全线按无覆冰设计。</w:t>
      </w:r>
    </w:p>
    <w:p>
      <w:pPr>
        <w:pStyle w:val="24"/>
        <w:spacing w:line="240" w:lineRule="auto"/>
        <w:ind w:firstLine="480"/>
        <w:rPr>
          <w:color w:val="auto"/>
          <w:sz w:val="21"/>
          <w:szCs w:val="21"/>
          <w:highlight w:val="none"/>
        </w:rPr>
      </w:pPr>
      <w:r>
        <w:rPr>
          <w:rFonts w:hint="eastAsia"/>
          <w:color w:val="auto"/>
          <w:sz w:val="21"/>
          <w:szCs w:val="21"/>
          <w:highlight w:val="none"/>
        </w:rPr>
        <w:t>本工程</w:t>
      </w:r>
      <w:r>
        <w:rPr>
          <w:rFonts w:hint="eastAsia"/>
          <w:color w:val="auto"/>
          <w:sz w:val="21"/>
          <w:szCs w:val="21"/>
          <w:highlight w:val="none"/>
          <w:lang w:val="en-US" w:eastAsia="zh-CN"/>
        </w:rPr>
        <w:t>中洞抽蓄蓄能电站-茅湖北站西侧段</w:t>
      </w:r>
      <w:r>
        <w:rPr>
          <w:rFonts w:hint="eastAsia"/>
          <w:color w:val="auto"/>
          <w:sz w:val="21"/>
          <w:szCs w:val="21"/>
          <w:highlight w:val="none"/>
        </w:rPr>
        <w:t>导线采用</w:t>
      </w:r>
      <w:r>
        <w:rPr>
          <w:color w:val="auto"/>
          <w:sz w:val="21"/>
          <w:szCs w:val="21"/>
          <w:highlight w:val="none"/>
        </w:rPr>
        <w:t>JL/LB20A-</w:t>
      </w:r>
      <w:r>
        <w:rPr>
          <w:rFonts w:hint="eastAsia"/>
          <w:color w:val="auto"/>
          <w:sz w:val="21"/>
          <w:szCs w:val="21"/>
          <w:highlight w:val="none"/>
          <w:lang w:val="en-US" w:eastAsia="zh-CN"/>
        </w:rPr>
        <w:t>40</w:t>
      </w:r>
      <w:r>
        <w:rPr>
          <w:color w:val="auto"/>
          <w:sz w:val="21"/>
          <w:szCs w:val="21"/>
          <w:highlight w:val="none"/>
        </w:rPr>
        <w:t>0/</w:t>
      </w:r>
      <w:r>
        <w:rPr>
          <w:rFonts w:hint="eastAsia"/>
          <w:color w:val="auto"/>
          <w:sz w:val="21"/>
          <w:szCs w:val="21"/>
          <w:highlight w:val="none"/>
          <w:lang w:val="en-US" w:eastAsia="zh-CN"/>
        </w:rPr>
        <w:t>35</w:t>
      </w:r>
      <w:r>
        <w:rPr>
          <w:rFonts w:hint="eastAsia"/>
          <w:color w:val="auto"/>
          <w:sz w:val="21"/>
          <w:szCs w:val="21"/>
          <w:highlight w:val="none"/>
        </w:rPr>
        <w:t>铝包钢芯铝绞线，每相</w:t>
      </w:r>
      <w:r>
        <w:rPr>
          <w:color w:val="auto"/>
          <w:sz w:val="21"/>
          <w:szCs w:val="21"/>
          <w:highlight w:val="none"/>
        </w:rPr>
        <w:t>4</w:t>
      </w:r>
      <w:r>
        <w:rPr>
          <w:rFonts w:hint="eastAsia"/>
          <w:color w:val="auto"/>
          <w:sz w:val="21"/>
          <w:szCs w:val="21"/>
          <w:highlight w:val="none"/>
        </w:rPr>
        <w:t>分裂</w:t>
      </w:r>
      <w:r>
        <w:rPr>
          <w:color w:val="auto"/>
          <w:sz w:val="21"/>
          <w:szCs w:val="21"/>
          <w:highlight w:val="none"/>
        </w:rPr>
        <w:t>,</w:t>
      </w:r>
      <w:r>
        <w:rPr>
          <w:rFonts w:hint="eastAsia"/>
          <w:color w:val="auto"/>
          <w:sz w:val="21"/>
          <w:szCs w:val="21"/>
          <w:highlight w:val="none"/>
        </w:rPr>
        <w:t>导线允许载流量不低于</w:t>
      </w:r>
      <w:r>
        <w:rPr>
          <w:rFonts w:hint="eastAsia"/>
          <w:color w:val="auto"/>
          <w:sz w:val="21"/>
          <w:szCs w:val="21"/>
          <w:highlight w:val="none"/>
          <w:lang w:val="en-US" w:eastAsia="zh-CN"/>
        </w:rPr>
        <w:t>28</w:t>
      </w:r>
      <w:r>
        <w:rPr>
          <w:color w:val="auto"/>
          <w:sz w:val="21"/>
          <w:szCs w:val="21"/>
          <w:highlight w:val="none"/>
        </w:rPr>
        <w:t>00A</w:t>
      </w:r>
      <w:r>
        <w:rPr>
          <w:rFonts w:hint="eastAsia"/>
          <w:color w:val="auto"/>
          <w:sz w:val="21"/>
          <w:szCs w:val="21"/>
          <w:highlight w:val="none"/>
        </w:rPr>
        <w:t>（环境温度</w:t>
      </w:r>
      <w:r>
        <w:rPr>
          <w:color w:val="auto"/>
          <w:sz w:val="21"/>
          <w:szCs w:val="21"/>
          <w:highlight w:val="none"/>
        </w:rPr>
        <w:t>40</w:t>
      </w:r>
      <w:r>
        <w:rPr>
          <w:rFonts w:hint="eastAsia"/>
          <w:color w:val="auto"/>
          <w:sz w:val="21"/>
          <w:szCs w:val="21"/>
          <w:highlight w:val="none"/>
        </w:rPr>
        <w:t>°</w:t>
      </w:r>
      <w:r>
        <w:rPr>
          <w:color w:val="auto"/>
          <w:sz w:val="21"/>
          <w:szCs w:val="21"/>
          <w:highlight w:val="none"/>
        </w:rPr>
        <w:t>C</w:t>
      </w:r>
      <w:r>
        <w:rPr>
          <w:rFonts w:hint="eastAsia"/>
          <w:color w:val="auto"/>
          <w:sz w:val="21"/>
          <w:szCs w:val="21"/>
          <w:highlight w:val="none"/>
        </w:rPr>
        <w:t>，导线允许温度</w:t>
      </w:r>
      <w:r>
        <w:rPr>
          <w:color w:val="auto"/>
          <w:sz w:val="21"/>
          <w:szCs w:val="21"/>
          <w:highlight w:val="none"/>
        </w:rPr>
        <w:t>80</w:t>
      </w:r>
      <w:r>
        <w:rPr>
          <w:rFonts w:hint="eastAsia"/>
          <w:color w:val="auto"/>
          <w:sz w:val="21"/>
          <w:szCs w:val="21"/>
          <w:highlight w:val="none"/>
        </w:rPr>
        <w:t>°</w:t>
      </w:r>
      <w:r>
        <w:rPr>
          <w:color w:val="auto"/>
          <w:sz w:val="21"/>
          <w:szCs w:val="21"/>
          <w:highlight w:val="none"/>
        </w:rPr>
        <w:t>C</w:t>
      </w:r>
      <w:r>
        <w:rPr>
          <w:rFonts w:hint="eastAsia"/>
          <w:color w:val="auto"/>
          <w:sz w:val="21"/>
          <w:szCs w:val="21"/>
          <w:highlight w:val="none"/>
        </w:rPr>
        <w:t>）</w:t>
      </w:r>
      <w:r>
        <w:rPr>
          <w:rFonts w:hint="eastAsia"/>
          <w:color w:val="auto"/>
          <w:sz w:val="21"/>
          <w:szCs w:val="21"/>
          <w:highlight w:val="none"/>
          <w:lang w:eastAsia="zh-CN"/>
        </w:rPr>
        <w:t>；</w:t>
      </w:r>
      <w:r>
        <w:rPr>
          <w:rFonts w:hint="eastAsia"/>
          <w:color w:val="auto"/>
          <w:sz w:val="21"/>
          <w:szCs w:val="21"/>
          <w:highlight w:val="none"/>
          <w:lang w:val="en-US" w:eastAsia="zh-CN"/>
        </w:rPr>
        <w:t>茅湖北站西侧-征程站段</w:t>
      </w:r>
      <w:r>
        <w:rPr>
          <w:rFonts w:hint="eastAsia"/>
          <w:color w:val="auto"/>
          <w:sz w:val="21"/>
          <w:szCs w:val="21"/>
          <w:highlight w:val="none"/>
        </w:rPr>
        <w:t>导线采用</w:t>
      </w:r>
      <w:r>
        <w:rPr>
          <w:color w:val="auto"/>
          <w:sz w:val="21"/>
          <w:szCs w:val="21"/>
          <w:highlight w:val="none"/>
        </w:rPr>
        <w:t>JL/LB20A-720/50</w:t>
      </w:r>
      <w:r>
        <w:rPr>
          <w:rFonts w:hint="eastAsia"/>
          <w:color w:val="auto"/>
          <w:sz w:val="21"/>
          <w:szCs w:val="21"/>
          <w:highlight w:val="none"/>
        </w:rPr>
        <w:t>铝包钢芯铝绞线，每相</w:t>
      </w:r>
      <w:r>
        <w:rPr>
          <w:color w:val="auto"/>
          <w:sz w:val="21"/>
          <w:szCs w:val="21"/>
          <w:highlight w:val="none"/>
        </w:rPr>
        <w:t>4</w:t>
      </w:r>
      <w:r>
        <w:rPr>
          <w:rFonts w:hint="eastAsia"/>
          <w:color w:val="auto"/>
          <w:sz w:val="21"/>
          <w:szCs w:val="21"/>
          <w:highlight w:val="none"/>
        </w:rPr>
        <w:t>分裂</w:t>
      </w:r>
      <w:r>
        <w:rPr>
          <w:color w:val="auto"/>
          <w:sz w:val="21"/>
          <w:szCs w:val="21"/>
          <w:highlight w:val="none"/>
        </w:rPr>
        <w:t>,</w:t>
      </w:r>
      <w:r>
        <w:rPr>
          <w:rFonts w:hint="eastAsia"/>
          <w:color w:val="auto"/>
          <w:sz w:val="21"/>
          <w:szCs w:val="21"/>
          <w:highlight w:val="none"/>
        </w:rPr>
        <w:t>导线允许载流量不低于</w:t>
      </w:r>
      <w:r>
        <w:rPr>
          <w:color w:val="auto"/>
          <w:sz w:val="21"/>
          <w:szCs w:val="21"/>
          <w:highlight w:val="none"/>
        </w:rPr>
        <w:t>4100A</w:t>
      </w:r>
      <w:r>
        <w:rPr>
          <w:rFonts w:hint="eastAsia"/>
          <w:color w:val="auto"/>
          <w:sz w:val="21"/>
          <w:szCs w:val="21"/>
          <w:highlight w:val="none"/>
        </w:rPr>
        <w:t>（环境温度</w:t>
      </w:r>
      <w:r>
        <w:rPr>
          <w:color w:val="auto"/>
          <w:sz w:val="21"/>
          <w:szCs w:val="21"/>
          <w:highlight w:val="none"/>
        </w:rPr>
        <w:t>40</w:t>
      </w:r>
      <w:r>
        <w:rPr>
          <w:rFonts w:hint="eastAsia"/>
          <w:color w:val="auto"/>
          <w:sz w:val="21"/>
          <w:szCs w:val="21"/>
          <w:highlight w:val="none"/>
        </w:rPr>
        <w:t>°</w:t>
      </w:r>
      <w:r>
        <w:rPr>
          <w:color w:val="auto"/>
          <w:sz w:val="21"/>
          <w:szCs w:val="21"/>
          <w:highlight w:val="none"/>
        </w:rPr>
        <w:t>C</w:t>
      </w:r>
      <w:r>
        <w:rPr>
          <w:rFonts w:hint="eastAsia"/>
          <w:color w:val="auto"/>
          <w:sz w:val="21"/>
          <w:szCs w:val="21"/>
          <w:highlight w:val="none"/>
        </w:rPr>
        <w:t>，导线允许温度</w:t>
      </w:r>
      <w:r>
        <w:rPr>
          <w:color w:val="auto"/>
          <w:sz w:val="21"/>
          <w:szCs w:val="21"/>
          <w:highlight w:val="none"/>
        </w:rPr>
        <w:t>80</w:t>
      </w:r>
      <w:r>
        <w:rPr>
          <w:rFonts w:hint="eastAsia"/>
          <w:color w:val="auto"/>
          <w:sz w:val="21"/>
          <w:szCs w:val="21"/>
          <w:highlight w:val="none"/>
        </w:rPr>
        <w:t>°</w:t>
      </w:r>
      <w:r>
        <w:rPr>
          <w:color w:val="auto"/>
          <w:sz w:val="21"/>
          <w:szCs w:val="21"/>
          <w:highlight w:val="none"/>
        </w:rPr>
        <w:t>C</w:t>
      </w:r>
      <w:r>
        <w:rPr>
          <w:rFonts w:hint="eastAsia"/>
          <w:color w:val="auto"/>
          <w:sz w:val="21"/>
          <w:szCs w:val="21"/>
          <w:highlight w:val="none"/>
        </w:rPr>
        <w:t>）。</w:t>
      </w:r>
    </w:p>
    <w:p>
      <w:pPr>
        <w:pStyle w:val="24"/>
        <w:spacing w:line="240" w:lineRule="auto"/>
        <w:ind w:firstLine="480"/>
        <w:rPr>
          <w:color w:val="auto"/>
          <w:sz w:val="21"/>
          <w:szCs w:val="21"/>
          <w:highlight w:val="none"/>
        </w:rPr>
      </w:pPr>
      <w:r>
        <w:rPr>
          <w:rFonts w:hint="eastAsia"/>
          <w:color w:val="auto"/>
          <w:sz w:val="21"/>
          <w:szCs w:val="21"/>
          <w:highlight w:val="none"/>
          <w:lang w:val="en-US" w:eastAsia="zh-CN"/>
        </w:rPr>
        <w:t>中洞抽水蓄能电站</w:t>
      </w:r>
      <w:r>
        <w:rPr>
          <w:rFonts w:hint="eastAsia"/>
          <w:color w:val="auto"/>
          <w:sz w:val="21"/>
          <w:szCs w:val="21"/>
          <w:highlight w:val="none"/>
        </w:rPr>
        <w:t>～</w:t>
      </w:r>
      <w:r>
        <w:rPr>
          <w:rFonts w:hint="eastAsia"/>
          <w:color w:val="auto"/>
          <w:sz w:val="21"/>
          <w:szCs w:val="21"/>
          <w:highlight w:val="none"/>
          <w:lang w:val="en-US" w:eastAsia="zh-CN"/>
        </w:rPr>
        <w:t>征程</w:t>
      </w:r>
      <w:r>
        <w:rPr>
          <w:color w:val="auto"/>
          <w:sz w:val="21"/>
          <w:szCs w:val="21"/>
          <w:highlight w:val="none"/>
        </w:rPr>
        <w:t>500kV</w:t>
      </w:r>
      <w:r>
        <w:rPr>
          <w:rFonts w:hint="eastAsia"/>
          <w:color w:val="auto"/>
          <w:sz w:val="21"/>
          <w:szCs w:val="21"/>
          <w:highlight w:val="none"/>
        </w:rPr>
        <w:t>线路工程新建</w:t>
      </w:r>
      <w:r>
        <w:rPr>
          <w:rFonts w:hint="eastAsia"/>
          <w:color w:val="auto"/>
          <w:sz w:val="21"/>
          <w:szCs w:val="21"/>
          <w:highlight w:val="none"/>
          <w:lang w:val="en-US" w:eastAsia="zh-CN"/>
        </w:rPr>
        <w:t>159</w:t>
      </w:r>
      <w:r>
        <w:rPr>
          <w:rFonts w:hint="eastAsia"/>
          <w:color w:val="auto"/>
          <w:sz w:val="21"/>
          <w:szCs w:val="21"/>
          <w:highlight w:val="none"/>
        </w:rPr>
        <w:t>基铁塔，其中</w:t>
      </w:r>
      <w:r>
        <w:rPr>
          <w:rFonts w:hint="eastAsia"/>
          <w:color w:val="auto"/>
          <w:sz w:val="21"/>
          <w:szCs w:val="21"/>
          <w:highlight w:val="none"/>
          <w:lang w:val="en-US" w:eastAsia="zh-CN"/>
        </w:rPr>
        <w:t>混压四回路耐张钢管塔31基，混压四回路悬垂钢管塔37基，</w:t>
      </w:r>
      <w:r>
        <w:rPr>
          <w:rFonts w:hint="eastAsia"/>
          <w:color w:val="auto"/>
          <w:sz w:val="21"/>
          <w:szCs w:val="21"/>
          <w:highlight w:val="none"/>
        </w:rPr>
        <w:t>双回路耐张钢管塔</w:t>
      </w:r>
      <w:r>
        <w:rPr>
          <w:rFonts w:hint="eastAsia"/>
          <w:color w:val="auto"/>
          <w:sz w:val="21"/>
          <w:szCs w:val="21"/>
          <w:highlight w:val="none"/>
          <w:lang w:val="en-US" w:eastAsia="zh-CN"/>
        </w:rPr>
        <w:t>18</w:t>
      </w:r>
      <w:r>
        <w:rPr>
          <w:rFonts w:hint="eastAsia"/>
          <w:color w:val="auto"/>
          <w:sz w:val="21"/>
          <w:szCs w:val="21"/>
          <w:highlight w:val="none"/>
        </w:rPr>
        <w:t>基，双回路悬垂钢管塔</w:t>
      </w:r>
      <w:r>
        <w:rPr>
          <w:rFonts w:hint="eastAsia"/>
          <w:color w:val="auto"/>
          <w:sz w:val="21"/>
          <w:szCs w:val="21"/>
          <w:highlight w:val="none"/>
          <w:lang w:val="en-US" w:eastAsia="zh-CN"/>
        </w:rPr>
        <w:t>18</w:t>
      </w:r>
      <w:r>
        <w:rPr>
          <w:rFonts w:hint="eastAsia"/>
          <w:color w:val="auto"/>
          <w:sz w:val="21"/>
          <w:szCs w:val="21"/>
          <w:highlight w:val="none"/>
        </w:rPr>
        <w:t>基，</w:t>
      </w:r>
      <w:r>
        <w:rPr>
          <w:rFonts w:hint="eastAsia"/>
          <w:color w:val="auto"/>
          <w:sz w:val="21"/>
          <w:szCs w:val="21"/>
          <w:highlight w:val="none"/>
          <w:lang w:val="en-US" w:eastAsia="zh-CN"/>
        </w:rPr>
        <w:t>双</w:t>
      </w:r>
      <w:r>
        <w:rPr>
          <w:rFonts w:hint="eastAsia"/>
          <w:color w:val="auto"/>
          <w:sz w:val="21"/>
          <w:szCs w:val="21"/>
          <w:highlight w:val="none"/>
        </w:rPr>
        <w:t>回路耐张</w:t>
      </w:r>
      <w:r>
        <w:rPr>
          <w:rFonts w:hint="eastAsia"/>
          <w:color w:val="auto"/>
          <w:sz w:val="21"/>
          <w:szCs w:val="21"/>
          <w:highlight w:val="none"/>
          <w:lang w:val="en-US" w:eastAsia="zh-CN"/>
        </w:rPr>
        <w:t>角钢</w:t>
      </w:r>
      <w:r>
        <w:rPr>
          <w:rFonts w:hint="eastAsia"/>
          <w:color w:val="auto"/>
          <w:sz w:val="21"/>
          <w:szCs w:val="21"/>
          <w:highlight w:val="none"/>
        </w:rPr>
        <w:t>塔</w:t>
      </w:r>
      <w:r>
        <w:rPr>
          <w:rFonts w:hint="eastAsia"/>
          <w:color w:val="auto"/>
          <w:sz w:val="21"/>
          <w:szCs w:val="21"/>
          <w:highlight w:val="none"/>
          <w:lang w:val="en-US" w:eastAsia="zh-CN"/>
        </w:rPr>
        <w:t>1</w:t>
      </w:r>
      <w:r>
        <w:rPr>
          <w:rFonts w:hint="eastAsia"/>
          <w:color w:val="auto"/>
          <w:sz w:val="21"/>
          <w:szCs w:val="21"/>
          <w:highlight w:val="none"/>
        </w:rPr>
        <w:t>基</w:t>
      </w:r>
      <w:r>
        <w:rPr>
          <w:rFonts w:hint="eastAsia"/>
          <w:color w:val="auto"/>
          <w:sz w:val="21"/>
          <w:szCs w:val="21"/>
          <w:highlight w:val="none"/>
          <w:lang w:eastAsia="zh-CN"/>
        </w:rPr>
        <w:t>，</w:t>
      </w:r>
      <w:r>
        <w:rPr>
          <w:rFonts w:hint="eastAsia"/>
          <w:color w:val="auto"/>
          <w:sz w:val="21"/>
          <w:szCs w:val="21"/>
          <w:highlight w:val="none"/>
        </w:rPr>
        <w:t>单回路耐张</w:t>
      </w:r>
      <w:r>
        <w:rPr>
          <w:rFonts w:hint="eastAsia"/>
          <w:color w:val="auto"/>
          <w:sz w:val="21"/>
          <w:szCs w:val="21"/>
          <w:highlight w:val="none"/>
          <w:lang w:val="en-US" w:eastAsia="zh-CN"/>
        </w:rPr>
        <w:t>角钢</w:t>
      </w:r>
      <w:r>
        <w:rPr>
          <w:rFonts w:hint="eastAsia"/>
          <w:color w:val="auto"/>
          <w:sz w:val="21"/>
          <w:szCs w:val="21"/>
          <w:highlight w:val="none"/>
        </w:rPr>
        <w:t>塔</w:t>
      </w:r>
      <w:r>
        <w:rPr>
          <w:rFonts w:hint="eastAsia"/>
          <w:color w:val="auto"/>
          <w:sz w:val="21"/>
          <w:szCs w:val="21"/>
          <w:highlight w:val="none"/>
          <w:lang w:val="en-US" w:eastAsia="zh-CN"/>
        </w:rPr>
        <w:t>31</w:t>
      </w:r>
      <w:r>
        <w:rPr>
          <w:rFonts w:hint="eastAsia"/>
          <w:color w:val="auto"/>
          <w:sz w:val="21"/>
          <w:szCs w:val="21"/>
          <w:highlight w:val="none"/>
        </w:rPr>
        <w:t>基，单回路</w:t>
      </w:r>
      <w:r>
        <w:rPr>
          <w:rFonts w:hint="eastAsia"/>
          <w:color w:val="auto"/>
          <w:sz w:val="21"/>
          <w:szCs w:val="21"/>
          <w:highlight w:val="none"/>
          <w:lang w:val="en-US" w:eastAsia="zh-CN"/>
        </w:rPr>
        <w:t>直线角钢</w:t>
      </w:r>
      <w:r>
        <w:rPr>
          <w:rFonts w:hint="eastAsia"/>
          <w:color w:val="auto"/>
          <w:sz w:val="21"/>
          <w:szCs w:val="21"/>
          <w:highlight w:val="none"/>
        </w:rPr>
        <w:t>塔</w:t>
      </w:r>
      <w:r>
        <w:rPr>
          <w:color w:val="auto"/>
          <w:sz w:val="21"/>
          <w:szCs w:val="21"/>
          <w:highlight w:val="none"/>
        </w:rPr>
        <w:t>2</w:t>
      </w:r>
      <w:r>
        <w:rPr>
          <w:rFonts w:hint="eastAsia"/>
          <w:color w:val="auto"/>
          <w:sz w:val="21"/>
          <w:szCs w:val="21"/>
          <w:highlight w:val="none"/>
          <w:lang w:val="en-US" w:eastAsia="zh-CN"/>
        </w:rPr>
        <w:t>3</w:t>
      </w:r>
      <w:r>
        <w:rPr>
          <w:rFonts w:hint="eastAsia"/>
          <w:color w:val="auto"/>
          <w:sz w:val="21"/>
          <w:szCs w:val="21"/>
          <w:highlight w:val="none"/>
        </w:rPr>
        <w:t>基</w:t>
      </w:r>
      <w:r>
        <w:rPr>
          <w:rFonts w:hint="eastAsia"/>
          <w:color w:val="auto"/>
          <w:sz w:val="21"/>
          <w:szCs w:val="21"/>
          <w:highlight w:val="none"/>
          <w:lang w:eastAsia="zh-CN"/>
        </w:rPr>
        <w:t>，</w:t>
      </w:r>
      <w:r>
        <w:rPr>
          <w:rFonts w:hint="eastAsia"/>
          <w:color w:val="auto"/>
          <w:sz w:val="21"/>
          <w:szCs w:val="21"/>
          <w:highlight w:val="none"/>
          <w:lang w:val="en-US" w:eastAsia="zh-CN"/>
        </w:rPr>
        <w:t>500kV/220kV混压四回路塔采用上两回500kv导线垂直排列，下两回220kV导线三角排列的多层横担结构，</w:t>
      </w:r>
      <w:r>
        <w:rPr>
          <w:rFonts w:hint="eastAsia"/>
          <w:color w:val="auto"/>
          <w:sz w:val="21"/>
          <w:szCs w:val="21"/>
          <w:highlight w:val="none"/>
        </w:rPr>
        <w:t>双回路悬垂塔、耐张塔均采用伞型塔。单回路耐张塔采用干字型塔</w:t>
      </w:r>
      <w:r>
        <w:rPr>
          <w:rFonts w:hint="eastAsia"/>
          <w:color w:val="auto"/>
          <w:sz w:val="21"/>
          <w:szCs w:val="21"/>
          <w:highlight w:val="none"/>
          <w:lang w:eastAsia="zh-CN"/>
        </w:rPr>
        <w:t>，</w:t>
      </w:r>
      <w:r>
        <w:rPr>
          <w:rFonts w:hint="eastAsia"/>
          <w:color w:val="auto"/>
          <w:sz w:val="21"/>
          <w:szCs w:val="21"/>
          <w:highlight w:val="none"/>
          <w:lang w:val="en-US" w:eastAsia="zh-CN"/>
        </w:rPr>
        <w:t>单回路钻越耐张塔采用酒杯型塔，单回路直线塔采用酒杯塔</w:t>
      </w:r>
      <w:r>
        <w:rPr>
          <w:rFonts w:hint="eastAsia"/>
          <w:color w:val="auto"/>
          <w:sz w:val="21"/>
          <w:szCs w:val="21"/>
          <w:highlight w:val="none"/>
        </w:rPr>
        <w:t>。</w:t>
      </w:r>
    </w:p>
    <w:p>
      <w:pPr>
        <w:pStyle w:val="24"/>
        <w:spacing w:line="240" w:lineRule="auto"/>
        <w:ind w:firstLine="480"/>
        <w:rPr>
          <w:color w:val="auto"/>
          <w:sz w:val="21"/>
          <w:szCs w:val="21"/>
          <w:highlight w:val="none"/>
        </w:rPr>
      </w:pPr>
      <w:r>
        <w:rPr>
          <w:rFonts w:hint="eastAsia"/>
          <w:color w:val="auto"/>
          <w:sz w:val="21"/>
          <w:szCs w:val="21"/>
          <w:highlight w:val="none"/>
        </w:rPr>
        <w:t>根据不同地质条件，分别采用挖孔</w:t>
      </w:r>
      <w:r>
        <w:rPr>
          <w:rFonts w:hint="eastAsia"/>
          <w:color w:val="auto"/>
          <w:sz w:val="21"/>
          <w:szCs w:val="21"/>
          <w:highlight w:val="none"/>
          <w:lang w:val="en-US" w:eastAsia="zh-CN"/>
        </w:rPr>
        <w:t>桩</w:t>
      </w:r>
      <w:r>
        <w:rPr>
          <w:rFonts w:hint="eastAsia"/>
          <w:color w:val="auto"/>
          <w:sz w:val="21"/>
          <w:szCs w:val="21"/>
          <w:highlight w:val="none"/>
        </w:rPr>
        <w:t>基础、嵌岩桩基础。</w:t>
      </w:r>
    </w:p>
    <w:p>
      <w:pPr>
        <w:numPr>
          <w:ilvl w:val="255"/>
          <w:numId w:val="0"/>
        </w:numPr>
        <w:autoSpaceDE w:val="0"/>
        <w:autoSpaceDN w:val="0"/>
        <w:adjustRightInd w:val="0"/>
        <w:ind w:firstLine="420" w:firstLineChars="200"/>
        <w:outlineLvl w:val="0"/>
        <w:rPr>
          <w:rFonts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3</w:t>
      </w:r>
      <w:r>
        <w:rPr>
          <w:rFonts w:hint="eastAsia" w:asciiTheme="minorEastAsia" w:hAnsiTheme="minorEastAsia" w:eastAsiaTheme="minorEastAsia" w:cstheme="minorEastAsia"/>
          <w:bCs/>
          <w:color w:val="auto"/>
          <w:sz w:val="21"/>
          <w:szCs w:val="21"/>
          <w:highlight w:val="none"/>
        </w:rPr>
        <w:t>.光纤通信工程</w:t>
      </w:r>
    </w:p>
    <w:p>
      <w:pPr>
        <w:pStyle w:val="24"/>
        <w:spacing w:line="240" w:lineRule="auto"/>
        <w:ind w:firstLine="480"/>
        <w:rPr>
          <w:color w:val="auto"/>
          <w:sz w:val="21"/>
          <w:szCs w:val="21"/>
          <w:highlight w:val="none"/>
        </w:rPr>
      </w:pPr>
      <w:r>
        <w:rPr>
          <w:rFonts w:hint="eastAsia"/>
          <w:color w:val="auto"/>
          <w:sz w:val="21"/>
          <w:szCs w:val="21"/>
          <w:highlight w:val="none"/>
        </w:rPr>
        <w:t>在</w:t>
      </w:r>
      <w:r>
        <w:rPr>
          <w:rFonts w:hint="eastAsia"/>
          <w:color w:val="auto"/>
          <w:sz w:val="21"/>
          <w:szCs w:val="21"/>
          <w:highlight w:val="none"/>
          <w:lang w:val="en-US" w:eastAsia="zh-CN"/>
        </w:rPr>
        <w:t>中洞抽水蓄能电站</w:t>
      </w:r>
      <w:r>
        <w:rPr>
          <w:rFonts w:hint="eastAsia"/>
          <w:color w:val="auto"/>
          <w:sz w:val="21"/>
          <w:szCs w:val="21"/>
          <w:highlight w:val="none"/>
        </w:rPr>
        <w:t>～</w:t>
      </w:r>
      <w:r>
        <w:rPr>
          <w:rFonts w:hint="eastAsia"/>
          <w:color w:val="auto"/>
          <w:sz w:val="21"/>
          <w:szCs w:val="21"/>
          <w:highlight w:val="none"/>
          <w:lang w:val="en-US" w:eastAsia="zh-CN"/>
        </w:rPr>
        <w:t>征程站500kV</w:t>
      </w:r>
      <w:r>
        <w:rPr>
          <w:rFonts w:hint="eastAsia"/>
          <w:color w:val="auto"/>
          <w:sz w:val="21"/>
          <w:szCs w:val="21"/>
          <w:highlight w:val="none"/>
        </w:rPr>
        <w:t>线路上架设</w:t>
      </w:r>
      <w:r>
        <w:rPr>
          <w:color w:val="auto"/>
          <w:sz w:val="21"/>
          <w:szCs w:val="21"/>
          <w:highlight w:val="none"/>
        </w:rPr>
        <w:t>2</w:t>
      </w:r>
      <w:r>
        <w:rPr>
          <w:rFonts w:hint="eastAsia"/>
          <w:color w:val="auto"/>
          <w:sz w:val="21"/>
          <w:szCs w:val="21"/>
          <w:highlight w:val="none"/>
        </w:rPr>
        <w:t>根</w:t>
      </w:r>
      <w:r>
        <w:rPr>
          <w:color w:val="auto"/>
          <w:sz w:val="21"/>
          <w:szCs w:val="21"/>
          <w:highlight w:val="none"/>
        </w:rPr>
        <w:t>OPGW</w:t>
      </w:r>
      <w:r>
        <w:rPr>
          <w:rFonts w:hint="eastAsia"/>
          <w:color w:val="auto"/>
          <w:sz w:val="21"/>
          <w:szCs w:val="21"/>
          <w:highlight w:val="none"/>
        </w:rPr>
        <w:t>光缆，</w:t>
      </w:r>
      <w:r>
        <w:rPr>
          <w:rFonts w:hint="eastAsia"/>
          <w:color w:val="auto"/>
          <w:sz w:val="21"/>
          <w:szCs w:val="21"/>
          <w:highlight w:val="none"/>
          <w:lang w:val="en-US" w:eastAsia="zh-CN"/>
        </w:rPr>
        <w:t>其中混压四回路段采用2根96芯的OPGW-150光缆，</w:t>
      </w:r>
      <w:r>
        <w:rPr>
          <w:rFonts w:hint="eastAsia"/>
          <w:color w:val="auto"/>
          <w:sz w:val="21"/>
          <w:szCs w:val="21"/>
          <w:highlight w:val="none"/>
        </w:rPr>
        <w:t>线路长度为</w:t>
      </w:r>
      <w:r>
        <w:rPr>
          <w:rFonts w:hint="eastAsia"/>
          <w:color w:val="auto"/>
          <w:sz w:val="21"/>
          <w:szCs w:val="21"/>
          <w:highlight w:val="none"/>
          <w:lang w:val="en-US" w:eastAsia="zh-CN"/>
        </w:rPr>
        <w:t>33.1</w:t>
      </w:r>
      <w:r>
        <w:rPr>
          <w:color w:val="auto"/>
          <w:sz w:val="21"/>
          <w:szCs w:val="21"/>
          <w:highlight w:val="none"/>
        </w:rPr>
        <w:t>km</w:t>
      </w:r>
      <w:r>
        <w:rPr>
          <w:rFonts w:hint="eastAsia"/>
          <w:color w:val="auto"/>
          <w:sz w:val="21"/>
          <w:szCs w:val="21"/>
          <w:highlight w:val="none"/>
        </w:rPr>
        <w:t>，</w:t>
      </w:r>
      <w:r>
        <w:rPr>
          <w:rFonts w:hint="eastAsia"/>
          <w:color w:val="auto"/>
          <w:sz w:val="21"/>
          <w:szCs w:val="21"/>
          <w:highlight w:val="none"/>
          <w:lang w:val="en-US" w:eastAsia="zh-CN"/>
        </w:rPr>
        <w:t>其余段采用2根48芯的OPGW-150光缆</w:t>
      </w:r>
      <w:r>
        <w:rPr>
          <w:rFonts w:hint="eastAsia"/>
          <w:color w:val="auto"/>
          <w:sz w:val="21"/>
          <w:szCs w:val="21"/>
          <w:highlight w:val="none"/>
        </w:rPr>
        <w:t>，</w:t>
      </w:r>
      <w:r>
        <w:rPr>
          <w:rFonts w:hint="eastAsia"/>
          <w:color w:val="auto"/>
          <w:sz w:val="21"/>
          <w:szCs w:val="21"/>
          <w:highlight w:val="none"/>
          <w:lang w:val="en-US" w:eastAsia="zh-CN"/>
        </w:rPr>
        <w:t>线路长度为36.7</w:t>
      </w:r>
      <w:r>
        <w:rPr>
          <w:color w:val="auto"/>
          <w:sz w:val="21"/>
          <w:szCs w:val="21"/>
          <w:highlight w:val="none"/>
        </w:rPr>
        <w:t>km</w:t>
      </w:r>
      <w:r>
        <w:rPr>
          <w:rFonts w:hint="eastAsia"/>
          <w:color w:val="auto"/>
          <w:sz w:val="21"/>
          <w:szCs w:val="21"/>
          <w:highlight w:val="none"/>
        </w:rPr>
        <w:t>。</w:t>
      </w:r>
    </w:p>
    <w:p>
      <w:pPr>
        <w:pStyle w:val="3"/>
        <w:keepNext w:val="0"/>
        <w:keepLines w:val="0"/>
        <w:pageBreakBefore w:val="0"/>
        <w:widowControl w:val="0"/>
        <w:kinsoku/>
        <w:wordWrap/>
        <w:overflowPunct/>
        <w:topLinePunct w:val="0"/>
        <w:bidi w:val="0"/>
        <w:adjustRightInd w:val="0"/>
        <w:snapToGrid w:val="0"/>
        <w:spacing w:line="240" w:lineRule="auto"/>
        <w:ind w:firstLine="422" w:firstLineChars="200"/>
        <w:textAlignment w:val="auto"/>
        <w:rPr>
          <w:rFonts w:asciiTheme="minorEastAsia" w:hAnsiTheme="minorEastAsia" w:eastAsiaTheme="minorEastAsia" w:cstheme="minorEastAsia"/>
          <w:bCs/>
          <w:color w:val="auto"/>
          <w:sz w:val="21"/>
          <w:szCs w:val="21"/>
          <w:highlight w:val="none"/>
        </w:rPr>
      </w:pPr>
      <w:r>
        <w:rPr>
          <w:rFonts w:ascii="宋体" w:hAnsi="宋体" w:cs="宋体"/>
          <w:color w:val="auto"/>
          <w:sz w:val="21"/>
          <w:szCs w:val="21"/>
          <w:highlight w:val="none"/>
        </w:rPr>
        <w:t>具体建设规模以审定施工图纸为准。</w:t>
      </w:r>
    </w:p>
    <w:bookmarkEnd w:id="1"/>
    <w:bookmarkEnd w:id="2"/>
    <w:bookmarkEnd w:id="3"/>
    <w:p>
      <w:pPr>
        <w:pStyle w:val="9"/>
        <w:keepNext w:val="0"/>
        <w:keepLines w:val="0"/>
        <w:pageBreakBefore w:val="0"/>
        <w:widowControl w:val="0"/>
        <w:kinsoku/>
        <w:wordWrap/>
        <w:overflowPunct/>
        <w:topLinePunct w:val="0"/>
        <w:bidi w:val="0"/>
        <w:adjustRightInd w:val="0"/>
        <w:snapToGrid w:val="0"/>
        <w:spacing w:line="240" w:lineRule="auto"/>
        <w:ind w:firstLine="420" w:firstLineChars="200"/>
        <w:textAlignment w:val="auto"/>
        <w:rPr>
          <w:color w:val="auto"/>
          <w:sz w:val="21"/>
          <w:szCs w:val="21"/>
          <w:highlight w:val="none"/>
        </w:rPr>
      </w:pPr>
      <w:r>
        <w:rPr>
          <w:rFonts w:hint="eastAsia" w:asciiTheme="minorEastAsia" w:hAnsiTheme="minorEastAsia" w:eastAsiaTheme="minorEastAsia" w:cstheme="minorEastAsia"/>
          <w:bCs/>
          <w:color w:val="auto"/>
          <w:sz w:val="21"/>
          <w:szCs w:val="21"/>
          <w:highlight w:val="none"/>
        </w:rPr>
        <w:t>计划工期</w:t>
      </w:r>
      <w:r>
        <w:rPr>
          <w:rFonts w:hint="eastAsia" w:asciiTheme="minorEastAsia" w:hAnsiTheme="minorEastAsia" w:eastAsiaTheme="minorEastAsia" w:cstheme="minorEastAsia"/>
          <w:bCs/>
          <w:color w:val="auto"/>
          <w:sz w:val="21"/>
          <w:szCs w:val="21"/>
          <w:highlight w:val="none"/>
          <w:lang w:val="en-US" w:eastAsia="zh-CN"/>
        </w:rPr>
        <w:t>313</w:t>
      </w:r>
      <w:r>
        <w:rPr>
          <w:rFonts w:hint="eastAsia" w:asciiTheme="minorEastAsia" w:hAnsiTheme="minorEastAsia" w:eastAsiaTheme="minorEastAsia" w:cstheme="minorEastAsia"/>
          <w:bCs/>
          <w:color w:val="auto"/>
          <w:sz w:val="21"/>
          <w:szCs w:val="21"/>
          <w:highlight w:val="none"/>
        </w:rPr>
        <w:t>日历天；计划开工日期：202</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rPr>
        <w:t>月</w:t>
      </w:r>
      <w:r>
        <w:rPr>
          <w:rFonts w:hint="eastAsia" w:asciiTheme="minorEastAsia" w:hAnsiTheme="minorEastAsia" w:eastAsiaTheme="minorEastAsia" w:cstheme="minorEastAsia"/>
          <w:bCs/>
          <w:color w:val="auto"/>
          <w:sz w:val="21"/>
          <w:szCs w:val="21"/>
          <w:highlight w:val="none"/>
          <w:lang w:val="en-US" w:eastAsia="zh-CN"/>
        </w:rPr>
        <w:t>20</w:t>
      </w:r>
      <w:r>
        <w:rPr>
          <w:rFonts w:hint="eastAsia" w:asciiTheme="minorEastAsia" w:hAnsiTheme="minorEastAsia" w:eastAsiaTheme="minorEastAsia" w:cstheme="minorEastAsia"/>
          <w:bCs/>
          <w:color w:val="auto"/>
          <w:sz w:val="21"/>
          <w:szCs w:val="21"/>
          <w:highlight w:val="none"/>
        </w:rPr>
        <w:t>日；计划竣工日期：202</w:t>
      </w:r>
      <w:r>
        <w:rPr>
          <w:rFonts w:asciiTheme="minorEastAsia" w:hAnsiTheme="minorEastAsia" w:eastAsiaTheme="minorEastAsia" w:cstheme="minorEastAsia"/>
          <w:bCs/>
          <w:color w:val="auto"/>
          <w:sz w:val="21"/>
          <w:szCs w:val="21"/>
          <w:highlight w:val="none"/>
        </w:rPr>
        <w:t>6</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12</w:t>
      </w:r>
      <w:r>
        <w:rPr>
          <w:rFonts w:hint="eastAsia" w:asciiTheme="minorEastAsia" w:hAnsiTheme="minorEastAsia" w:eastAsiaTheme="minorEastAsia" w:cstheme="minorEastAsia"/>
          <w:bCs/>
          <w:color w:val="auto"/>
          <w:sz w:val="21"/>
          <w:szCs w:val="21"/>
          <w:highlight w:val="none"/>
        </w:rPr>
        <w:t>月3</w:t>
      </w:r>
      <w:r>
        <w:rPr>
          <w:rFonts w:hint="eastAsia" w:asciiTheme="minorEastAsia" w:hAnsiTheme="minorEastAsia" w:eastAsiaTheme="minorEastAsia" w:cstheme="minorEastAsia"/>
          <w:bCs/>
          <w:color w:val="auto"/>
          <w:sz w:val="21"/>
          <w:szCs w:val="21"/>
          <w:highlight w:val="none"/>
          <w:lang w:val="en-US" w:eastAsia="zh-CN"/>
        </w:rPr>
        <w:t>0</w:t>
      </w:r>
      <w:r>
        <w:rPr>
          <w:rFonts w:hint="eastAsia" w:asciiTheme="minorEastAsia" w:hAnsiTheme="minorEastAsia" w:eastAsiaTheme="minorEastAsia" w:cstheme="minorEastAsia"/>
          <w:bCs/>
          <w:color w:val="auto"/>
          <w:sz w:val="21"/>
          <w:szCs w:val="21"/>
          <w:highlight w:val="none"/>
        </w:rPr>
        <w:t>日，具体以开工报告、竣工报告为准，项目开工前必须取得施工图(含预算)评审意见(或预评审意见)。</w:t>
      </w:r>
    </w:p>
    <w:p>
      <w:pPr>
        <w:pStyle w:val="12"/>
        <w:keepNext w:val="0"/>
        <w:keepLines w:val="0"/>
        <w:pageBreakBefore w:val="0"/>
        <w:widowControl/>
        <w:numPr>
          <w:ilvl w:val="0"/>
          <w:numId w:val="1"/>
        </w:numPr>
        <w:kinsoku/>
        <w:wordWrap/>
        <w:overflowPunct/>
        <w:topLinePunct w:val="0"/>
        <w:autoSpaceDE/>
        <w:autoSpaceDN/>
        <w:bidi w:val="0"/>
        <w:adjustRightInd/>
        <w:snapToGrid/>
        <w:spacing w:beforeAutospacing="0" w:afterAutospacing="0"/>
        <w:ind w:firstLine="422"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采购范围：</w:t>
      </w:r>
    </w:p>
    <w:p>
      <w:pPr>
        <w:pStyle w:val="2"/>
        <w:keepNext w:val="0"/>
        <w:keepLines w:val="0"/>
        <w:pageBreakBefore w:val="0"/>
        <w:widowControl w:val="0"/>
        <w:numPr>
          <w:ilvl w:val="0"/>
          <w:numId w:val="0"/>
        </w:numPr>
        <w:kinsoku/>
        <w:wordWrap/>
        <w:overflowPunct/>
        <w:topLinePunct w:val="0"/>
        <w:bidi w:val="0"/>
        <w:snapToGrid/>
        <w:spacing w:line="240" w:lineRule="auto"/>
        <w:ind w:firstLine="422" w:firstLineChars="200"/>
        <w:textAlignment w:val="auto"/>
        <w:rPr>
          <w:rFonts w:hint="eastAsia" w:ascii="宋体" w:hAnsi="宋体" w:eastAsia="宋体" w:cs="宋体"/>
          <w:b/>
          <w:bCs w:val="0"/>
          <w:i w:val="0"/>
          <w:iCs/>
          <w:color w:val="auto"/>
          <w:sz w:val="21"/>
          <w:szCs w:val="21"/>
          <w:highlight w:val="none"/>
          <w:lang w:val="en-US" w:eastAsia="zh-CN"/>
        </w:rPr>
      </w:pPr>
      <w:r>
        <w:rPr>
          <w:rFonts w:hint="eastAsia" w:ascii="宋体" w:hAnsi="宋体" w:eastAsia="宋体" w:cs="宋体"/>
          <w:b/>
          <w:bCs w:val="0"/>
          <w:i w:val="0"/>
          <w:iCs/>
          <w:color w:val="auto"/>
          <w:sz w:val="21"/>
          <w:szCs w:val="21"/>
          <w:highlight w:val="none"/>
          <w:lang w:val="en-US" w:eastAsia="zh-CN"/>
        </w:rPr>
        <w:t>1、</w:t>
      </w:r>
      <w:r>
        <w:rPr>
          <w:rFonts w:hint="eastAsia" w:asciiTheme="minorEastAsia" w:hAnsiTheme="minorEastAsia" w:eastAsiaTheme="minorEastAsia" w:cstheme="minorEastAsia"/>
          <w:i w:val="0"/>
          <w:iCs/>
          <w:color w:val="auto"/>
          <w:sz w:val="21"/>
          <w:szCs w:val="21"/>
          <w:highlight w:val="none"/>
        </w:rPr>
        <w:t>间隔扩建变电部分</w:t>
      </w:r>
      <w:r>
        <w:rPr>
          <w:rFonts w:hint="eastAsia" w:ascii="宋体" w:hAnsi="宋体" w:eastAsia="宋体" w:cs="宋体"/>
          <w:b/>
          <w:bCs w:val="0"/>
          <w:i w:val="0"/>
          <w:iCs/>
          <w:color w:val="auto"/>
          <w:sz w:val="21"/>
          <w:szCs w:val="21"/>
          <w:highlight w:val="none"/>
          <w:lang w:val="en-US" w:eastAsia="zh-CN"/>
        </w:rPr>
        <w:t>：</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审定版施工图纸范围内的变电安装、调试工程、站内改扩建建筑部分，包括但不限于样板点建设、业主项目部板房搭建、母线包绝缘、规程规范内的特殊试验、远动系统线路两侧投产前所需完成一二次设备相关调试（若有）：涉及的运行站内公共保护设备的调试，名称更新等工作，两侧站内交流耐压等试验及相关厂家服务，配合电子化移交提资（含本侧及对侧）、参数上报、启动方案编写及配合办理施工许可手续、施工围挡、所有设备基础的预埋件、所有设备的二次接地等。但其中安装工程不包括：通信及管道光缆敷设（已年度框架招标）、防盗报警及视频监控安装（已年度框架招标），电子化移交服务（已年度框架招标）、基建项目检测监测服务（已年度框架招标）、配套市政水工程（已年度框架招标）、电网基建工程GIS（HGIS）设备交流耐压击穿定位测试服务（已年度框架招标）、X射线无损检测（已年度框架招标）。</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以下招标范围内的内容若有发生按实结算：</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1）余土外运及收纳费用，在投标（或正式合同价编制）时按照审定施工图计算工程量及标明的运距计算以暂估价元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（2）厂家服务费不计入报价，结算时按实际发生的金额结算（凭合同发票）。</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（3）电力监控系统等级保护测评及安全防护评估（若有）、保护及综自系统例如后台、五防、远动、保信等配套服务涉及费用根据公司批复的审核意见据实支付（若有），不计入报价。</w:t>
      </w:r>
    </w:p>
    <w:p>
      <w:pPr>
        <w:ind w:firstLine="420" w:firstLineChars="200"/>
        <w:rPr>
          <w:rFonts w:ascii="宋体" w:hAnsi="宋体" w:cs="宋体"/>
          <w:strike w:val="0"/>
          <w:color w:val="auto"/>
          <w:szCs w:val="21"/>
          <w:highlight w:val="none"/>
        </w:rPr>
      </w:pPr>
      <w:r>
        <w:rPr>
          <w:rFonts w:hint="eastAsia" w:ascii="宋体" w:hAnsi="宋体" w:cs="宋体"/>
          <w:strike w:val="0"/>
          <w:color w:val="auto"/>
          <w:szCs w:val="21"/>
          <w:highlight w:val="none"/>
        </w:rPr>
        <w:t>（4）施工围挡升级若有，结算时按经签证的实际工程量和《关于电力定额计价的电网项目执行深圳市围挡升级要求的相关费用计列事宜研讨会议纪要》（规划中心纪要〔2021〕31号）要求结算。</w:t>
      </w:r>
    </w:p>
    <w:p>
      <w:pPr>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架空线路：</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审定版施工图纸范围内的架空送电线路安装、调试工程，与施工相关的所有其他费用项目。</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①基础工程、杆塔工程、接地工程、架线工程、附件安装工程、辅助工程。</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②施工场地租用（施工项目部、材料站）、电力线路改迁及拆除（如有）、跨越及河流封航（如有）、鱼塘围堰（如有）、施工道路修筑、架空线路标志牌安装、OPGW光缆架设、线路参数测试、拆除后塔材和材料运到指定回收点（按拆除后不能利用考虑）、通信线路改迁及拆除（如有）、各类市政道路、管道改迁及拆除（如有），样板点建设、业主项目部板房搭建、白蚁防治、配合电子化移交提资。确保水保、环评验收通过，若验收不通过，施工单位必须做好整改措施直至通过为止。</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所有征地、拆迁及青苗赔偿等工作均由中标施工单位协助完成（以上费用不列入本次报价，根据后续出具的委托函开展工作）。工程建设过程中，中标单位对外的交涉与纠纷，以及所造成的损失，除招标文件中有明确规定者外，均由中标单位自行解决。如确需建设单位进行协调时，协调解决问题所发生的一切费用仍由中标单位承担。</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③以下招标范围内的内容若有发生按实结算：</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1）余土外运及收纳费用，在投标（或正式合同价编制）时按照审定施工图计算工程量及标明的运距计算以暂估价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（2）施工围挡升级若有，结算时按经签证的实际工程量和《关于电力定额计价的电网项目执行深圳市围挡升级要求的相关费用计列事宜研讨会议纪要》（规划中心纪要〔2021〕31号）要求结算。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ascii="宋体" w:hAnsi="宋体" w:cs="宋体"/>
          <w:strike/>
          <w:color w:val="auto"/>
          <w:szCs w:val="21"/>
          <w:highlight w:val="none"/>
        </w:rPr>
      </w:pPr>
      <w:r>
        <w:rPr>
          <w:rFonts w:hint="eastAsia" w:ascii="宋体" w:hAnsi="宋体" w:cs="宋体"/>
          <w:color w:val="auto"/>
          <w:szCs w:val="21"/>
          <w:highlight w:val="none"/>
        </w:rPr>
        <w:t>（3）施工阶段应相关政府或相应权属单位要求开展的安全评估、分析报告及防护措施（须有相关政府及相应权属单位红头文件作为依据），如涉森林、涉河道、涉高速、市政道路、涉水务、水库、水源保护区、燃气、石油、石化管道、地铁、铁路等评估和措施、通信安全评估评价、给排水安全评估评价、道路安全评估评价、交流杂散电流干扰分析和防护措施、占用城市绿地及迁移树木涉及的专家评估论证及听证工作，需委托具备相应资质的第三方机构进行评估（若有），委托前须取得业主同意后实施，并按项目实际发生费用（经发包人确认）据实结算。</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（4）与当地城规、市政、园林、交警、城监、公路、河道、高速、水库等部门联系办理施工许可手续，均由中标单位办理，如发生费用由建设单位负责（如行政许可、市政收费等有收费文件规定的费用）。</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④服务有相应年度框架招标结果的按框架招标结果执行。招标范围不包括：光缆的测量及接续（已年度框招），检测监测服务（已年度框招）、电子化移交服务（已年度框招）、基建工程涉燃气管线交互影响安全评价报告（已年度框招）、基建工程涉及轨道交通安全影响评价（已年度框招）、基建工程水土保持监测技术服务框架招标（已年度框招）、基建工程防洪影响评价报告编制（已年度框招）。</w:t>
      </w:r>
    </w:p>
    <w:p>
      <w:pPr>
        <w:pStyle w:val="7"/>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（三）承包方式：</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承包方式：包工、部分包料。</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架空线路：建设单位提供材料如下：杆塔，地脚螺栓，铁塔加固器装置，高空防坠落装置，钢绞线，铝绞线，导地线，绝缘子、绝缘横担，金具，光缆，光缆金具，线路避雷器，故障指示器，故障精确定位装置，监测装置，视频监控系统，石墨基接地体，标志牌（线路标志牌、警示牌、标示桩、安装支架）。非标准件如金具等未在同期公司物资采购目录内（未有物资供应单位）及其余材料由施工单位提供。</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建设单位提供的设备、材料以合同附件（甲供设备材料明细表）为准。</w:t>
      </w:r>
    </w:p>
    <w:p>
      <w:pPr>
        <w:rPr>
          <w:color w:val="auto"/>
          <w:highlight w:val="none"/>
        </w:rPr>
      </w:pPr>
    </w:p>
    <w:p>
      <w:pPr>
        <w:pStyle w:val="9"/>
        <w:spacing w:line="480" w:lineRule="atLeast"/>
        <w:rPr>
          <w:rFonts w:asciiTheme="minorEastAsia" w:hAnsiTheme="minorEastAsia" w:eastAsiaTheme="minorEastAsia" w:cstheme="minorEastAsia"/>
          <w:color w:val="auto"/>
          <w:highlight w:val="none"/>
        </w:rPr>
      </w:pPr>
      <w:bookmarkStart w:id="4" w:name="_GoBack"/>
      <w:bookmarkEnd w:id="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9BF8E"/>
    <w:multiLevelType w:val="singleLevel"/>
    <w:tmpl w:val="B0E9BF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YmIyYWVkZTA3NmViYzlmNmJmZThkOTUxY2EwOGQifQ=="/>
  </w:docVars>
  <w:rsids>
    <w:rsidRoot w:val="24F737D8"/>
    <w:rsid w:val="00045E72"/>
    <w:rsid w:val="000D1489"/>
    <w:rsid w:val="00111F0C"/>
    <w:rsid w:val="00153859"/>
    <w:rsid w:val="00180F21"/>
    <w:rsid w:val="00193797"/>
    <w:rsid w:val="001A5E31"/>
    <w:rsid w:val="002027C7"/>
    <w:rsid w:val="002C29DC"/>
    <w:rsid w:val="00351BA4"/>
    <w:rsid w:val="003B6754"/>
    <w:rsid w:val="004C403D"/>
    <w:rsid w:val="004C6A1B"/>
    <w:rsid w:val="00501342"/>
    <w:rsid w:val="00511217"/>
    <w:rsid w:val="00592991"/>
    <w:rsid w:val="005D05D0"/>
    <w:rsid w:val="005F7C8B"/>
    <w:rsid w:val="006144A7"/>
    <w:rsid w:val="00642AE0"/>
    <w:rsid w:val="00643D44"/>
    <w:rsid w:val="006649DB"/>
    <w:rsid w:val="00675492"/>
    <w:rsid w:val="00697E02"/>
    <w:rsid w:val="007410AE"/>
    <w:rsid w:val="00785D97"/>
    <w:rsid w:val="0079425D"/>
    <w:rsid w:val="007B16EC"/>
    <w:rsid w:val="0085711F"/>
    <w:rsid w:val="00904C01"/>
    <w:rsid w:val="009239A9"/>
    <w:rsid w:val="00973999"/>
    <w:rsid w:val="009C682C"/>
    <w:rsid w:val="009D4D82"/>
    <w:rsid w:val="00A1142F"/>
    <w:rsid w:val="00A34D71"/>
    <w:rsid w:val="00A51650"/>
    <w:rsid w:val="00A6224F"/>
    <w:rsid w:val="00AD0054"/>
    <w:rsid w:val="00AD509E"/>
    <w:rsid w:val="00AF5884"/>
    <w:rsid w:val="00BD3602"/>
    <w:rsid w:val="00C073B0"/>
    <w:rsid w:val="00D84F68"/>
    <w:rsid w:val="00E60C43"/>
    <w:rsid w:val="00EB2A58"/>
    <w:rsid w:val="00EB5172"/>
    <w:rsid w:val="00EF41F4"/>
    <w:rsid w:val="00EF57DF"/>
    <w:rsid w:val="00FD4B4E"/>
    <w:rsid w:val="01000F1F"/>
    <w:rsid w:val="012C2627"/>
    <w:rsid w:val="01D03EF0"/>
    <w:rsid w:val="01DB519B"/>
    <w:rsid w:val="01E84FF7"/>
    <w:rsid w:val="021257FA"/>
    <w:rsid w:val="0270337E"/>
    <w:rsid w:val="03045209"/>
    <w:rsid w:val="031664A1"/>
    <w:rsid w:val="032C4CCB"/>
    <w:rsid w:val="0334394B"/>
    <w:rsid w:val="03696E51"/>
    <w:rsid w:val="03D0015B"/>
    <w:rsid w:val="043275F4"/>
    <w:rsid w:val="047F1E7F"/>
    <w:rsid w:val="04AD51B8"/>
    <w:rsid w:val="04B94B55"/>
    <w:rsid w:val="050E07AE"/>
    <w:rsid w:val="05104CF2"/>
    <w:rsid w:val="054E69FF"/>
    <w:rsid w:val="056C75CF"/>
    <w:rsid w:val="05B87515"/>
    <w:rsid w:val="05CD0BE8"/>
    <w:rsid w:val="060D6EE4"/>
    <w:rsid w:val="06195F4A"/>
    <w:rsid w:val="06796A2D"/>
    <w:rsid w:val="068D71D9"/>
    <w:rsid w:val="06AB3BDA"/>
    <w:rsid w:val="06AE5BB8"/>
    <w:rsid w:val="06B60614"/>
    <w:rsid w:val="06D10E1A"/>
    <w:rsid w:val="07AF1DA3"/>
    <w:rsid w:val="07BE007D"/>
    <w:rsid w:val="08CE69EC"/>
    <w:rsid w:val="08E42305"/>
    <w:rsid w:val="08F52A1A"/>
    <w:rsid w:val="0925770E"/>
    <w:rsid w:val="094360BA"/>
    <w:rsid w:val="0A781F45"/>
    <w:rsid w:val="0A882069"/>
    <w:rsid w:val="0AA20477"/>
    <w:rsid w:val="0B7D54E6"/>
    <w:rsid w:val="0B8776F8"/>
    <w:rsid w:val="0BC07002"/>
    <w:rsid w:val="0BE1258C"/>
    <w:rsid w:val="0BE42713"/>
    <w:rsid w:val="0BF05825"/>
    <w:rsid w:val="0C137A51"/>
    <w:rsid w:val="0C332B42"/>
    <w:rsid w:val="0C4867BA"/>
    <w:rsid w:val="0C6F07EA"/>
    <w:rsid w:val="0CBE1A3C"/>
    <w:rsid w:val="0CC16F84"/>
    <w:rsid w:val="0CFF59E2"/>
    <w:rsid w:val="0D5C5D7C"/>
    <w:rsid w:val="0D824825"/>
    <w:rsid w:val="0DBE2E98"/>
    <w:rsid w:val="0E0119E1"/>
    <w:rsid w:val="0E2B3199"/>
    <w:rsid w:val="0E8134AB"/>
    <w:rsid w:val="0EA1730C"/>
    <w:rsid w:val="0EC42320"/>
    <w:rsid w:val="0EE81243"/>
    <w:rsid w:val="0EE83733"/>
    <w:rsid w:val="0F531ED6"/>
    <w:rsid w:val="0FB41753"/>
    <w:rsid w:val="0FDE1D38"/>
    <w:rsid w:val="101C7E7E"/>
    <w:rsid w:val="105C6685"/>
    <w:rsid w:val="10D57EB4"/>
    <w:rsid w:val="116419AD"/>
    <w:rsid w:val="11DC5CCF"/>
    <w:rsid w:val="11DF6CFE"/>
    <w:rsid w:val="11FC1228"/>
    <w:rsid w:val="12175897"/>
    <w:rsid w:val="1221206F"/>
    <w:rsid w:val="12617BA5"/>
    <w:rsid w:val="12963024"/>
    <w:rsid w:val="12F928B1"/>
    <w:rsid w:val="12FC7CAB"/>
    <w:rsid w:val="13651D15"/>
    <w:rsid w:val="136E163F"/>
    <w:rsid w:val="13742A79"/>
    <w:rsid w:val="13BD743A"/>
    <w:rsid w:val="13C71878"/>
    <w:rsid w:val="1439793E"/>
    <w:rsid w:val="14440D4B"/>
    <w:rsid w:val="146E024B"/>
    <w:rsid w:val="147F2942"/>
    <w:rsid w:val="148241EF"/>
    <w:rsid w:val="14830E3B"/>
    <w:rsid w:val="14E954F5"/>
    <w:rsid w:val="15056A61"/>
    <w:rsid w:val="15866746"/>
    <w:rsid w:val="159F6110"/>
    <w:rsid w:val="15DB706C"/>
    <w:rsid w:val="15EC11F5"/>
    <w:rsid w:val="15F42192"/>
    <w:rsid w:val="163409FD"/>
    <w:rsid w:val="164E4AE3"/>
    <w:rsid w:val="1651030E"/>
    <w:rsid w:val="16924EC1"/>
    <w:rsid w:val="17311749"/>
    <w:rsid w:val="17710405"/>
    <w:rsid w:val="17AC47D8"/>
    <w:rsid w:val="17AC6BE2"/>
    <w:rsid w:val="17DE79B5"/>
    <w:rsid w:val="180645A9"/>
    <w:rsid w:val="180F7009"/>
    <w:rsid w:val="186767F4"/>
    <w:rsid w:val="189E71A6"/>
    <w:rsid w:val="18CA0D53"/>
    <w:rsid w:val="18E57496"/>
    <w:rsid w:val="193066EB"/>
    <w:rsid w:val="194A687A"/>
    <w:rsid w:val="19550C4E"/>
    <w:rsid w:val="19874D06"/>
    <w:rsid w:val="1A0B43F0"/>
    <w:rsid w:val="1A1D12E8"/>
    <w:rsid w:val="1A2F2F81"/>
    <w:rsid w:val="1A524C3A"/>
    <w:rsid w:val="1A56667A"/>
    <w:rsid w:val="1A643C5B"/>
    <w:rsid w:val="1A7E10CE"/>
    <w:rsid w:val="1AA35B43"/>
    <w:rsid w:val="1AC44B48"/>
    <w:rsid w:val="1AFB2398"/>
    <w:rsid w:val="1B02285F"/>
    <w:rsid w:val="1B1435D1"/>
    <w:rsid w:val="1B1A6514"/>
    <w:rsid w:val="1B2E44AE"/>
    <w:rsid w:val="1B3C333B"/>
    <w:rsid w:val="1B522D62"/>
    <w:rsid w:val="1B663F82"/>
    <w:rsid w:val="1BA9108A"/>
    <w:rsid w:val="1C4972F3"/>
    <w:rsid w:val="1CBB1210"/>
    <w:rsid w:val="1CFA07C1"/>
    <w:rsid w:val="1D3764AF"/>
    <w:rsid w:val="1D5074FA"/>
    <w:rsid w:val="1D515196"/>
    <w:rsid w:val="1D546D33"/>
    <w:rsid w:val="1D9028BC"/>
    <w:rsid w:val="1DB35787"/>
    <w:rsid w:val="1DD67A76"/>
    <w:rsid w:val="1E1B128E"/>
    <w:rsid w:val="1E297809"/>
    <w:rsid w:val="1E42634B"/>
    <w:rsid w:val="1E4A7D3D"/>
    <w:rsid w:val="1EA379B5"/>
    <w:rsid w:val="1EA9759F"/>
    <w:rsid w:val="1F1243E1"/>
    <w:rsid w:val="1F14195F"/>
    <w:rsid w:val="1FFF637B"/>
    <w:rsid w:val="20694E72"/>
    <w:rsid w:val="206E68C1"/>
    <w:rsid w:val="20916CFE"/>
    <w:rsid w:val="20AF64A6"/>
    <w:rsid w:val="20D57188"/>
    <w:rsid w:val="213A6DE5"/>
    <w:rsid w:val="216F4D5B"/>
    <w:rsid w:val="219D6261"/>
    <w:rsid w:val="21FB08ED"/>
    <w:rsid w:val="21FB1D17"/>
    <w:rsid w:val="220833E1"/>
    <w:rsid w:val="22172817"/>
    <w:rsid w:val="22CE7EE7"/>
    <w:rsid w:val="22D01CE9"/>
    <w:rsid w:val="232B50A5"/>
    <w:rsid w:val="23456FA5"/>
    <w:rsid w:val="236572A4"/>
    <w:rsid w:val="24426571"/>
    <w:rsid w:val="2445130D"/>
    <w:rsid w:val="24573FB0"/>
    <w:rsid w:val="24E46BF4"/>
    <w:rsid w:val="24F737D8"/>
    <w:rsid w:val="252836FB"/>
    <w:rsid w:val="254002AB"/>
    <w:rsid w:val="25B74C68"/>
    <w:rsid w:val="263126A3"/>
    <w:rsid w:val="26A06F6E"/>
    <w:rsid w:val="26B46A16"/>
    <w:rsid w:val="26B54132"/>
    <w:rsid w:val="26E36D60"/>
    <w:rsid w:val="2740501C"/>
    <w:rsid w:val="27417060"/>
    <w:rsid w:val="274170EE"/>
    <w:rsid w:val="27846573"/>
    <w:rsid w:val="2785030E"/>
    <w:rsid w:val="278F57AD"/>
    <w:rsid w:val="27AA3BBB"/>
    <w:rsid w:val="27DD1C12"/>
    <w:rsid w:val="27E47C4B"/>
    <w:rsid w:val="28760BF3"/>
    <w:rsid w:val="287732F1"/>
    <w:rsid w:val="289D725F"/>
    <w:rsid w:val="28B950D1"/>
    <w:rsid w:val="28C1082B"/>
    <w:rsid w:val="28F46A2A"/>
    <w:rsid w:val="29011EB2"/>
    <w:rsid w:val="29432FBF"/>
    <w:rsid w:val="296555D1"/>
    <w:rsid w:val="29AB0CF4"/>
    <w:rsid w:val="29AE0266"/>
    <w:rsid w:val="29CC3A93"/>
    <w:rsid w:val="2A35590D"/>
    <w:rsid w:val="2A9A35F6"/>
    <w:rsid w:val="2AB2780B"/>
    <w:rsid w:val="2B3E5CF3"/>
    <w:rsid w:val="2B645C1C"/>
    <w:rsid w:val="2B67084B"/>
    <w:rsid w:val="2BED7EC0"/>
    <w:rsid w:val="2BF63B13"/>
    <w:rsid w:val="2C76027C"/>
    <w:rsid w:val="2C7E4092"/>
    <w:rsid w:val="2CE9283B"/>
    <w:rsid w:val="2CF0667B"/>
    <w:rsid w:val="2D471F06"/>
    <w:rsid w:val="2D5427C8"/>
    <w:rsid w:val="2D8E3667"/>
    <w:rsid w:val="2E517576"/>
    <w:rsid w:val="2E903B0A"/>
    <w:rsid w:val="2E9A5E18"/>
    <w:rsid w:val="2F2E6FE6"/>
    <w:rsid w:val="2F3A598B"/>
    <w:rsid w:val="2F6910C6"/>
    <w:rsid w:val="2FF65FF8"/>
    <w:rsid w:val="300D195C"/>
    <w:rsid w:val="3044134F"/>
    <w:rsid w:val="305644CB"/>
    <w:rsid w:val="30BF37B5"/>
    <w:rsid w:val="30E33B4E"/>
    <w:rsid w:val="315E307E"/>
    <w:rsid w:val="317A406A"/>
    <w:rsid w:val="3225462F"/>
    <w:rsid w:val="326C15CD"/>
    <w:rsid w:val="328440F2"/>
    <w:rsid w:val="32B9619A"/>
    <w:rsid w:val="32C37159"/>
    <w:rsid w:val="32F7333A"/>
    <w:rsid w:val="33813B89"/>
    <w:rsid w:val="33EB0FE6"/>
    <w:rsid w:val="340547BA"/>
    <w:rsid w:val="340A5746"/>
    <w:rsid w:val="34242F97"/>
    <w:rsid w:val="343772E3"/>
    <w:rsid w:val="34D20F1D"/>
    <w:rsid w:val="34D66156"/>
    <w:rsid w:val="34E01123"/>
    <w:rsid w:val="35126944"/>
    <w:rsid w:val="3516079D"/>
    <w:rsid w:val="355700EF"/>
    <w:rsid w:val="35E3505E"/>
    <w:rsid w:val="36045DEC"/>
    <w:rsid w:val="361736AD"/>
    <w:rsid w:val="361A4AD3"/>
    <w:rsid w:val="36291567"/>
    <w:rsid w:val="36905D28"/>
    <w:rsid w:val="36B97921"/>
    <w:rsid w:val="36D200CF"/>
    <w:rsid w:val="36E625D8"/>
    <w:rsid w:val="36EB3692"/>
    <w:rsid w:val="37290AF1"/>
    <w:rsid w:val="37364124"/>
    <w:rsid w:val="374073AD"/>
    <w:rsid w:val="3776777C"/>
    <w:rsid w:val="37A4214F"/>
    <w:rsid w:val="37A87B4B"/>
    <w:rsid w:val="37DF0271"/>
    <w:rsid w:val="38036406"/>
    <w:rsid w:val="38090083"/>
    <w:rsid w:val="38152E68"/>
    <w:rsid w:val="38382DC3"/>
    <w:rsid w:val="38794785"/>
    <w:rsid w:val="388D1CDD"/>
    <w:rsid w:val="389F2C3C"/>
    <w:rsid w:val="38D62EB4"/>
    <w:rsid w:val="38F143FA"/>
    <w:rsid w:val="390B1F57"/>
    <w:rsid w:val="39721332"/>
    <w:rsid w:val="39B2192F"/>
    <w:rsid w:val="39EF7CAF"/>
    <w:rsid w:val="3A6F4CFB"/>
    <w:rsid w:val="3ABE1A8A"/>
    <w:rsid w:val="3AEF2ABA"/>
    <w:rsid w:val="3AF62716"/>
    <w:rsid w:val="3B07350D"/>
    <w:rsid w:val="3B220006"/>
    <w:rsid w:val="3B23087F"/>
    <w:rsid w:val="3B2A0F67"/>
    <w:rsid w:val="3B5E66F2"/>
    <w:rsid w:val="3BCA27B8"/>
    <w:rsid w:val="3BED78E2"/>
    <w:rsid w:val="3C4A35F1"/>
    <w:rsid w:val="3C4C4F08"/>
    <w:rsid w:val="3C540BD2"/>
    <w:rsid w:val="3C5433D0"/>
    <w:rsid w:val="3CCD1144"/>
    <w:rsid w:val="3CD662DF"/>
    <w:rsid w:val="3CF35CE4"/>
    <w:rsid w:val="3D4815FD"/>
    <w:rsid w:val="3D576812"/>
    <w:rsid w:val="3D6637FD"/>
    <w:rsid w:val="3D743ED4"/>
    <w:rsid w:val="3D8E220A"/>
    <w:rsid w:val="3D8E3295"/>
    <w:rsid w:val="3E95498C"/>
    <w:rsid w:val="3EB60287"/>
    <w:rsid w:val="3ED3114D"/>
    <w:rsid w:val="3EDA70CB"/>
    <w:rsid w:val="3F255583"/>
    <w:rsid w:val="3F277CDA"/>
    <w:rsid w:val="3F5440F4"/>
    <w:rsid w:val="3F9B7EF1"/>
    <w:rsid w:val="3FAC4783"/>
    <w:rsid w:val="3FAD2B29"/>
    <w:rsid w:val="3FC840B3"/>
    <w:rsid w:val="400F6A26"/>
    <w:rsid w:val="40865225"/>
    <w:rsid w:val="41A76CDF"/>
    <w:rsid w:val="41D24DB5"/>
    <w:rsid w:val="42F01FD7"/>
    <w:rsid w:val="434D5B46"/>
    <w:rsid w:val="43E00D1A"/>
    <w:rsid w:val="43FC254B"/>
    <w:rsid w:val="44427EB7"/>
    <w:rsid w:val="447F555B"/>
    <w:rsid w:val="448316D6"/>
    <w:rsid w:val="449D080A"/>
    <w:rsid w:val="44D414C9"/>
    <w:rsid w:val="44DE3202"/>
    <w:rsid w:val="45AA13D6"/>
    <w:rsid w:val="46003460"/>
    <w:rsid w:val="46472D5E"/>
    <w:rsid w:val="469B4709"/>
    <w:rsid w:val="46A85B41"/>
    <w:rsid w:val="46AB5AE5"/>
    <w:rsid w:val="46B7604A"/>
    <w:rsid w:val="47A839D0"/>
    <w:rsid w:val="484215BA"/>
    <w:rsid w:val="48BA2291"/>
    <w:rsid w:val="492B7748"/>
    <w:rsid w:val="49332FB5"/>
    <w:rsid w:val="49F153DD"/>
    <w:rsid w:val="4A0C6515"/>
    <w:rsid w:val="4A291101"/>
    <w:rsid w:val="4A33669D"/>
    <w:rsid w:val="4AD50ED2"/>
    <w:rsid w:val="4AD737DB"/>
    <w:rsid w:val="4B013AA6"/>
    <w:rsid w:val="4B051E65"/>
    <w:rsid w:val="4B3A1BDA"/>
    <w:rsid w:val="4B3C43EF"/>
    <w:rsid w:val="4B517670"/>
    <w:rsid w:val="4C2D2079"/>
    <w:rsid w:val="4C9C677F"/>
    <w:rsid w:val="4D392B7F"/>
    <w:rsid w:val="4D5A45BC"/>
    <w:rsid w:val="4D8F15D8"/>
    <w:rsid w:val="4DA0266A"/>
    <w:rsid w:val="4DB971B3"/>
    <w:rsid w:val="4DC759F3"/>
    <w:rsid w:val="4DED7214"/>
    <w:rsid w:val="4E040B17"/>
    <w:rsid w:val="4E374A5A"/>
    <w:rsid w:val="4E6D27A0"/>
    <w:rsid w:val="4E9066F0"/>
    <w:rsid w:val="4E9575B8"/>
    <w:rsid w:val="4E9F43E4"/>
    <w:rsid w:val="4EA560D6"/>
    <w:rsid w:val="4EBA2AE4"/>
    <w:rsid w:val="4ED345E0"/>
    <w:rsid w:val="4F924FB7"/>
    <w:rsid w:val="4FEA2B4E"/>
    <w:rsid w:val="503662A7"/>
    <w:rsid w:val="5151771B"/>
    <w:rsid w:val="51DD22DD"/>
    <w:rsid w:val="51EC1975"/>
    <w:rsid w:val="51EC5327"/>
    <w:rsid w:val="52B458D1"/>
    <w:rsid w:val="52D90F0C"/>
    <w:rsid w:val="52F86189"/>
    <w:rsid w:val="53201AD9"/>
    <w:rsid w:val="53306FFA"/>
    <w:rsid w:val="53764570"/>
    <w:rsid w:val="53B57089"/>
    <w:rsid w:val="53BA7E93"/>
    <w:rsid w:val="53E143AE"/>
    <w:rsid w:val="54471105"/>
    <w:rsid w:val="545E02B1"/>
    <w:rsid w:val="546011AE"/>
    <w:rsid w:val="54A775EF"/>
    <w:rsid w:val="54B54467"/>
    <w:rsid w:val="55435CE9"/>
    <w:rsid w:val="555B0A3F"/>
    <w:rsid w:val="55734D49"/>
    <w:rsid w:val="55987808"/>
    <w:rsid w:val="55C3156A"/>
    <w:rsid w:val="55C74027"/>
    <w:rsid w:val="55EC7C86"/>
    <w:rsid w:val="56657FF2"/>
    <w:rsid w:val="56A214AE"/>
    <w:rsid w:val="56F84D9F"/>
    <w:rsid w:val="573210B0"/>
    <w:rsid w:val="573B21BA"/>
    <w:rsid w:val="57DD5EE1"/>
    <w:rsid w:val="587E693B"/>
    <w:rsid w:val="58FD7D40"/>
    <w:rsid w:val="59155CE1"/>
    <w:rsid w:val="5923074E"/>
    <w:rsid w:val="594F433C"/>
    <w:rsid w:val="599D077D"/>
    <w:rsid w:val="59AA10F9"/>
    <w:rsid w:val="59D45B85"/>
    <w:rsid w:val="5A5C59AE"/>
    <w:rsid w:val="5A5E13CF"/>
    <w:rsid w:val="5A6F296E"/>
    <w:rsid w:val="5B1530FC"/>
    <w:rsid w:val="5B245FB5"/>
    <w:rsid w:val="5B7D1EEC"/>
    <w:rsid w:val="5B8604E4"/>
    <w:rsid w:val="5BA8677C"/>
    <w:rsid w:val="5BB05D77"/>
    <w:rsid w:val="5CBE490A"/>
    <w:rsid w:val="5CE81E44"/>
    <w:rsid w:val="5D066D29"/>
    <w:rsid w:val="5D3D0B65"/>
    <w:rsid w:val="5D554985"/>
    <w:rsid w:val="5D571BF1"/>
    <w:rsid w:val="5D6F32DB"/>
    <w:rsid w:val="5D753385"/>
    <w:rsid w:val="5E601A40"/>
    <w:rsid w:val="5F053010"/>
    <w:rsid w:val="5F6664B4"/>
    <w:rsid w:val="5F8A549C"/>
    <w:rsid w:val="5F8E0C51"/>
    <w:rsid w:val="5FA83BA6"/>
    <w:rsid w:val="5FC47F2C"/>
    <w:rsid w:val="5FE724D4"/>
    <w:rsid w:val="60067A8B"/>
    <w:rsid w:val="600E1625"/>
    <w:rsid w:val="60605BAC"/>
    <w:rsid w:val="608606DE"/>
    <w:rsid w:val="60ED73F7"/>
    <w:rsid w:val="61533EBB"/>
    <w:rsid w:val="616A4F19"/>
    <w:rsid w:val="61B61E18"/>
    <w:rsid w:val="62487BAD"/>
    <w:rsid w:val="6267143B"/>
    <w:rsid w:val="626847C8"/>
    <w:rsid w:val="62A26C17"/>
    <w:rsid w:val="63014E7B"/>
    <w:rsid w:val="636B1FDC"/>
    <w:rsid w:val="637E1A55"/>
    <w:rsid w:val="638843AD"/>
    <w:rsid w:val="63C73148"/>
    <w:rsid w:val="63D67A7D"/>
    <w:rsid w:val="64452C05"/>
    <w:rsid w:val="64875264"/>
    <w:rsid w:val="652A1F5D"/>
    <w:rsid w:val="65366619"/>
    <w:rsid w:val="668F1B3D"/>
    <w:rsid w:val="66AE6D3A"/>
    <w:rsid w:val="66C35559"/>
    <w:rsid w:val="66D91A76"/>
    <w:rsid w:val="66E32855"/>
    <w:rsid w:val="674C66DB"/>
    <w:rsid w:val="67531912"/>
    <w:rsid w:val="6759214B"/>
    <w:rsid w:val="67735961"/>
    <w:rsid w:val="67BF611B"/>
    <w:rsid w:val="682D31E4"/>
    <w:rsid w:val="6868145A"/>
    <w:rsid w:val="687234C5"/>
    <w:rsid w:val="689A55A6"/>
    <w:rsid w:val="68B337CC"/>
    <w:rsid w:val="68BC13E5"/>
    <w:rsid w:val="69075AE0"/>
    <w:rsid w:val="69143380"/>
    <w:rsid w:val="6A0C71DE"/>
    <w:rsid w:val="6A287B5E"/>
    <w:rsid w:val="6A405B73"/>
    <w:rsid w:val="6A6B37FA"/>
    <w:rsid w:val="6B295D61"/>
    <w:rsid w:val="6B303A1A"/>
    <w:rsid w:val="6B3D78C6"/>
    <w:rsid w:val="6B9A0CE8"/>
    <w:rsid w:val="6BBC5FCE"/>
    <w:rsid w:val="6C0D6B0B"/>
    <w:rsid w:val="6C5C5B41"/>
    <w:rsid w:val="6C635C78"/>
    <w:rsid w:val="6C8E73F6"/>
    <w:rsid w:val="6CCF1940"/>
    <w:rsid w:val="6D4116E5"/>
    <w:rsid w:val="6D473557"/>
    <w:rsid w:val="6D897695"/>
    <w:rsid w:val="6DAA2FDF"/>
    <w:rsid w:val="6E0132AC"/>
    <w:rsid w:val="6E121228"/>
    <w:rsid w:val="6E6C4611"/>
    <w:rsid w:val="6ECE2A12"/>
    <w:rsid w:val="6F2B6BEF"/>
    <w:rsid w:val="6F8F2B34"/>
    <w:rsid w:val="6FDD4DE6"/>
    <w:rsid w:val="701F0781"/>
    <w:rsid w:val="70873960"/>
    <w:rsid w:val="70B81233"/>
    <w:rsid w:val="70C30991"/>
    <w:rsid w:val="70D1495F"/>
    <w:rsid w:val="71106FE8"/>
    <w:rsid w:val="71174358"/>
    <w:rsid w:val="712B1D24"/>
    <w:rsid w:val="7163535E"/>
    <w:rsid w:val="716D3C1D"/>
    <w:rsid w:val="71783F98"/>
    <w:rsid w:val="722D2A5F"/>
    <w:rsid w:val="72331016"/>
    <w:rsid w:val="72410EC4"/>
    <w:rsid w:val="730C32F8"/>
    <w:rsid w:val="734B7C16"/>
    <w:rsid w:val="73545F51"/>
    <w:rsid w:val="73641402"/>
    <w:rsid w:val="737B48BB"/>
    <w:rsid w:val="73AD42CB"/>
    <w:rsid w:val="7415064C"/>
    <w:rsid w:val="74260818"/>
    <w:rsid w:val="743C057A"/>
    <w:rsid w:val="74431F5E"/>
    <w:rsid w:val="74E73186"/>
    <w:rsid w:val="75201B39"/>
    <w:rsid w:val="75531E96"/>
    <w:rsid w:val="75A02087"/>
    <w:rsid w:val="75EF292A"/>
    <w:rsid w:val="763936F3"/>
    <w:rsid w:val="763B2CF0"/>
    <w:rsid w:val="764E470D"/>
    <w:rsid w:val="76521A35"/>
    <w:rsid w:val="76850D49"/>
    <w:rsid w:val="76B35443"/>
    <w:rsid w:val="76CD51C8"/>
    <w:rsid w:val="770F1F64"/>
    <w:rsid w:val="773B0089"/>
    <w:rsid w:val="77433483"/>
    <w:rsid w:val="776F6C86"/>
    <w:rsid w:val="77974740"/>
    <w:rsid w:val="78391D4B"/>
    <w:rsid w:val="78417157"/>
    <w:rsid w:val="7842124A"/>
    <w:rsid w:val="784E1CF0"/>
    <w:rsid w:val="78782D79"/>
    <w:rsid w:val="78A54556"/>
    <w:rsid w:val="78D54434"/>
    <w:rsid w:val="792549A7"/>
    <w:rsid w:val="79435213"/>
    <w:rsid w:val="79816041"/>
    <w:rsid w:val="79E81839"/>
    <w:rsid w:val="7A6A3937"/>
    <w:rsid w:val="7B0320A0"/>
    <w:rsid w:val="7B8613C3"/>
    <w:rsid w:val="7C492050"/>
    <w:rsid w:val="7C505703"/>
    <w:rsid w:val="7C766170"/>
    <w:rsid w:val="7CA976D1"/>
    <w:rsid w:val="7D1374F3"/>
    <w:rsid w:val="7D26550D"/>
    <w:rsid w:val="7D2D6A7C"/>
    <w:rsid w:val="7D751B04"/>
    <w:rsid w:val="7E2B4E0E"/>
    <w:rsid w:val="7E3420E0"/>
    <w:rsid w:val="7E3B61A1"/>
    <w:rsid w:val="7E9B1F1B"/>
    <w:rsid w:val="7EB2746C"/>
    <w:rsid w:val="7F1E0D91"/>
    <w:rsid w:val="7F35093E"/>
    <w:rsid w:val="7F642F28"/>
    <w:rsid w:val="7FAD5747"/>
    <w:rsid w:val="7FAF1A05"/>
    <w:rsid w:val="7FD0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qFormat/>
    <w:uiPriority w:val="0"/>
    <w:pPr>
      <w:keepNext/>
      <w:keepLines/>
      <w:spacing w:before="140" w:after="140" w:line="413" w:lineRule="auto"/>
      <w:outlineLvl w:val="2"/>
    </w:pPr>
    <w:rPr>
      <w:rFonts w:ascii="Times New Roman" w:hAnsi="Times New Roman"/>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qFormat/>
    <w:uiPriority w:val="0"/>
    <w:pPr>
      <w:jc w:val="left"/>
    </w:pPr>
  </w:style>
  <w:style w:type="paragraph" w:styleId="7">
    <w:name w:val="Body Text"/>
    <w:basedOn w:val="1"/>
    <w:next w:val="1"/>
    <w:semiHidden/>
    <w:qFormat/>
    <w:uiPriority w:val="99"/>
    <w:pPr>
      <w:widowControl/>
      <w:jc w:val="left"/>
    </w:pPr>
    <w:rPr>
      <w:kern w:val="0"/>
      <w:sz w:val="28"/>
      <w:szCs w:val="20"/>
    </w:rPr>
  </w:style>
  <w:style w:type="paragraph" w:styleId="8">
    <w:name w:val="Body Text Indent"/>
    <w:basedOn w:val="1"/>
    <w:qFormat/>
    <w:uiPriority w:val="0"/>
    <w:pPr>
      <w:spacing w:after="120"/>
      <w:ind w:left="420" w:leftChars="200"/>
    </w:pPr>
  </w:style>
  <w:style w:type="paragraph" w:styleId="9">
    <w:name w:val="Plain Text"/>
    <w:basedOn w:val="1"/>
    <w:link w:val="22"/>
    <w:qFormat/>
    <w:uiPriority w:val="0"/>
    <w:rPr>
      <w:rFonts w:ascii="宋体" w:hAnsi="Courier New"/>
      <w:kern w:val="0"/>
      <w:sz w:val="20"/>
      <w:szCs w:val="20"/>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kern w:val="0"/>
      <w:sz w:val="24"/>
    </w:rPr>
  </w:style>
  <w:style w:type="paragraph" w:styleId="13">
    <w:name w:val="Title"/>
    <w:basedOn w:val="1"/>
    <w:next w:val="1"/>
    <w:qFormat/>
    <w:uiPriority w:val="0"/>
    <w:pPr>
      <w:spacing w:before="240" w:after="60"/>
      <w:jc w:val="center"/>
      <w:outlineLvl w:val="0"/>
    </w:pPr>
    <w:rPr>
      <w:rFonts w:ascii="Arial" w:hAnsi="Arial" w:cs="Arial"/>
      <w:b/>
      <w:bCs/>
      <w:sz w:val="32"/>
      <w:szCs w:val="32"/>
    </w:rPr>
  </w:style>
  <w:style w:type="paragraph" w:styleId="14">
    <w:name w:val="Body Text First Indent"/>
    <w:basedOn w:val="7"/>
    <w:next w:val="1"/>
    <w:unhideWhenUsed/>
    <w:qFormat/>
    <w:uiPriority w:val="99"/>
    <w:pPr>
      <w:ind w:firstLine="420" w:firstLineChars="100"/>
    </w:pPr>
    <w:rPr>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_Style 5"/>
    <w:basedOn w:val="1"/>
    <w:qFormat/>
    <w:uiPriority w:val="0"/>
    <w:pPr>
      <w:ind w:firstLine="420" w:firstLineChars="200"/>
    </w:pPr>
  </w:style>
  <w:style w:type="character" w:customStyle="1" w:styleId="20">
    <w:name w:val="页眉 字符"/>
    <w:basedOn w:val="17"/>
    <w:link w:val="11"/>
    <w:qFormat/>
    <w:uiPriority w:val="0"/>
    <w:rPr>
      <w:rFonts w:ascii="Calibri" w:hAnsi="Calibri"/>
      <w:kern w:val="2"/>
      <w:sz w:val="18"/>
      <w:szCs w:val="18"/>
    </w:rPr>
  </w:style>
  <w:style w:type="character" w:customStyle="1" w:styleId="21">
    <w:name w:val="页脚 字符"/>
    <w:basedOn w:val="17"/>
    <w:link w:val="10"/>
    <w:qFormat/>
    <w:uiPriority w:val="0"/>
    <w:rPr>
      <w:rFonts w:ascii="Calibri" w:hAnsi="Calibri"/>
      <w:kern w:val="2"/>
      <w:sz w:val="18"/>
      <w:szCs w:val="18"/>
    </w:rPr>
  </w:style>
  <w:style w:type="character" w:customStyle="1" w:styleId="22">
    <w:name w:val="纯文本 字符"/>
    <w:link w:val="9"/>
    <w:qFormat/>
    <w:uiPriority w:val="0"/>
    <w:rPr>
      <w:rFonts w:ascii="宋体" w:hAnsi="Courier New"/>
    </w:rPr>
  </w:style>
  <w:style w:type="character" w:customStyle="1" w:styleId="23">
    <w:name w:val="font11"/>
    <w:basedOn w:val="17"/>
    <w:qFormat/>
    <w:uiPriority w:val="0"/>
    <w:rPr>
      <w:rFonts w:hint="eastAsia" w:ascii="宋体" w:hAnsi="宋体" w:eastAsia="宋体" w:cs="宋体"/>
      <w:color w:val="000000"/>
      <w:sz w:val="21"/>
      <w:szCs w:val="21"/>
      <w:u w:val="none"/>
    </w:rPr>
  </w:style>
  <w:style w:type="paragraph" w:customStyle="1" w:styleId="24">
    <w:name w:val="0正文"/>
    <w:basedOn w:val="1"/>
    <w:link w:val="25"/>
    <w:qFormat/>
    <w:uiPriority w:val="0"/>
    <w:pPr>
      <w:adjustRightInd w:val="0"/>
      <w:snapToGrid w:val="0"/>
      <w:spacing w:line="360" w:lineRule="auto"/>
      <w:ind w:firstLine="200" w:firstLineChars="200"/>
    </w:pPr>
    <w:rPr>
      <w:rFonts w:ascii="Times New Roman" w:hAnsi="Times New Roman"/>
      <w:bCs/>
      <w:snapToGrid w:val="0"/>
      <w:kern w:val="0"/>
      <w:sz w:val="24"/>
      <w:szCs w:val="24"/>
    </w:rPr>
  </w:style>
  <w:style w:type="character" w:customStyle="1" w:styleId="25">
    <w:name w:val="0正文 字符"/>
    <w:link w:val="24"/>
    <w:qFormat/>
    <w:uiPriority w:val="0"/>
    <w:rPr>
      <w:bCs/>
      <w:snapToGrid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GEDI</Company>
  <Pages>4</Pages>
  <Words>6412</Words>
  <Characters>6789</Characters>
  <Lines>74</Lines>
  <Paragraphs>21</Paragraphs>
  <TotalTime>0</TotalTime>
  <ScaleCrop>false</ScaleCrop>
  <LinksUpToDate>false</LinksUpToDate>
  <CharactersWithSpaces>6826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2021-09-06T02:54:00Z</dcterms:created>
  <dc:creator>maja</dc:creator>
  <cp:lastModifiedBy>杨莉</cp:lastModifiedBy>
  <dcterms:modified xsi:type="dcterms:W3CDTF">2025-12-30T06:42:27Z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B0AB50FC08FD430D81935AE58A76DA2B</vt:lpwstr>
  </property>
  <property fmtid="{D5CDD505-2E9C-101B-9397-08002B2CF9AE}" pid="4" name="KSOTemplateDocerSaveRecord">
    <vt:lpwstr>eyJoZGlkIjoiNjc3OGU1OGM3ZDQ4NTFhNjc5MDk4MDRjNWE3ODY5NzkiLCJ1c2VySWQiOiI4MDI1MDE5OTIifQ==</vt:lpwstr>
  </property>
</Properties>
</file>