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bCs/>
          <w:snapToGrid w:val="0"/>
          <w:color w:val="auto"/>
          <w:kern w:val="0"/>
          <w:sz w:val="32"/>
          <w:szCs w:val="32"/>
          <w:highlight w:val="none"/>
          <w:u w:val="none"/>
          <w:lang w:val="en-US" w:eastAsia="zh-CN"/>
        </w:rPr>
      </w:pPr>
      <w:bookmarkStart w:id="0" w:name="_Toc8445"/>
      <w:r>
        <w:rPr>
          <w:rFonts w:hint="eastAsia" w:hAnsi="宋体" w:eastAsia="宋体" w:cs="宋体"/>
          <w:b/>
          <w:bCs/>
          <w:snapToGrid w:val="0"/>
          <w:color w:val="auto"/>
          <w:kern w:val="0"/>
          <w:sz w:val="32"/>
          <w:szCs w:val="32"/>
          <w:highlight w:val="none"/>
          <w:u w:val="none"/>
          <w:lang w:val="en-US" w:eastAsia="zh-CN"/>
        </w:rPr>
        <w:t>标的6</w:t>
      </w:r>
    </w:p>
    <w:p>
      <w:pPr>
        <w:pStyle w:val="9"/>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eastAsia="宋体" w:cs="宋体"/>
          <w:b/>
          <w:color w:val="auto"/>
          <w:sz w:val="28"/>
          <w:szCs w:val="28"/>
          <w:highlight w:val="none"/>
          <w:lang w:val="en-US" w:eastAsia="zh-CN"/>
        </w:rPr>
      </w:pPr>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asciiTheme="minorEastAsia" w:hAnsiTheme="minorEastAsia" w:cstheme="minorEastAsia"/>
          <w:b/>
          <w:bCs/>
          <w:snapToGrid w:val="0"/>
          <w:color w:val="auto"/>
          <w:sz w:val="28"/>
          <w:szCs w:val="28"/>
          <w:u w:val="single"/>
          <w:lang w:eastAsia="zh-CN"/>
        </w:rPr>
        <w:t>500千伏海珠输变电工程（线路部分）施工</w:t>
      </w:r>
    </w:p>
    <w:tbl>
      <w:tblPr>
        <w:tblStyle w:val="13"/>
        <w:tblW w:w="7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南方电网规划〔2025〕13号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w:t>
            </w:r>
            <w:r>
              <w:rPr>
                <w:rFonts w:hint="eastAsia" w:hAnsi="宋体" w:eastAsia="宋体" w:cs="宋体"/>
                <w:b/>
                <w:bCs/>
                <w:snapToGrid w:val="0"/>
                <w:color w:val="auto"/>
                <w:kern w:val="0"/>
                <w:sz w:val="21"/>
                <w:szCs w:val="21"/>
                <w:highlight w:val="none"/>
                <w:u w:val="none"/>
                <w:vertAlign w:val="baseline"/>
                <w:lang w:val="en-US" w:eastAsia="zh-CN"/>
              </w:rPr>
              <w:t>核准、</w:t>
            </w:r>
            <w:r>
              <w:rPr>
                <w:rFonts w:hint="eastAsia" w:ascii="宋体" w:hAnsi="宋体" w:eastAsia="宋体" w:cs="宋体"/>
                <w:b/>
                <w:bCs/>
                <w:snapToGrid w:val="0"/>
                <w:color w:val="auto"/>
                <w:kern w:val="0"/>
                <w:sz w:val="21"/>
                <w:szCs w:val="21"/>
                <w:highlight w:val="none"/>
                <w:u w:val="none"/>
                <w:vertAlign w:val="baseline"/>
                <w:lang w:val="en-US" w:eastAsia="zh-CN"/>
              </w:rPr>
              <w:t>备案文号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穗发改核准〔2025〕3号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南方电网输配电〔2025〕46号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广电规〔2025〕85号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eastAsia="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snapToGrid w:val="0"/>
                <w:sz w:val="24"/>
                <w:szCs w:val="24"/>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中国能源建设集团广东省电力设计研究院有限公司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870" w:type="dxa"/>
            <w:vAlign w:val="center"/>
          </w:tcPr>
          <w:p>
            <w:pPr>
              <w:pStyle w:val="9"/>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eastAsia="宋体" w:cs="宋体"/>
                <w:b w:val="0"/>
                <w:bCs w:val="0"/>
                <w:snapToGrid w:val="0"/>
                <w:color w:val="auto"/>
                <w:kern w:val="0"/>
                <w:sz w:val="21"/>
                <w:szCs w:val="21"/>
                <w:highlight w:val="none"/>
                <w:u w:val="none"/>
                <w:vertAlign w:val="baseline"/>
                <w:lang w:val="en-US" w:eastAsia="zh-CN"/>
              </w:rPr>
              <w:t>-</w:t>
            </w:r>
          </w:p>
        </w:tc>
      </w:tr>
    </w:tbl>
    <w:p>
      <w:pPr>
        <w:pStyle w:val="9"/>
        <w:keepNext w:val="0"/>
        <w:keepLines w:val="0"/>
        <w:pageBreakBefore w:val="0"/>
        <w:shd w:val="clear" w:color="auto" w:fill="auto"/>
        <w:kinsoku/>
        <w:wordWrap/>
        <w:overflowPunct/>
        <w:topLinePunct w:val="0"/>
        <w:bidi w:val="0"/>
        <w:adjustRightInd w:val="0"/>
        <w:snapToGrid w:val="0"/>
        <w:spacing w:line="360" w:lineRule="auto"/>
        <w:ind w:firstLine="422" w:firstLineChars="200"/>
        <w:jc w:val="center"/>
        <w:textAlignment w:val="auto"/>
        <w:outlineLvl w:val="0"/>
        <w:rPr>
          <w:rFonts w:hint="default" w:hAnsi="宋体" w:cs="宋体"/>
          <w:b/>
          <w:color w:val="auto"/>
          <w:sz w:val="21"/>
          <w:szCs w:val="21"/>
          <w:highlight w:val="none"/>
          <w:lang w:val="en-US" w:eastAsia="zh-CN"/>
        </w:rPr>
      </w:pPr>
    </w:p>
    <w:bookmarkEnd w:id="0"/>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9"/>
        <w:keepNext w:val="0"/>
        <w:keepLines w:val="0"/>
        <w:pageBreakBefore w:val="0"/>
        <w:widowControl w:val="0"/>
        <w:kinsoku/>
        <w:wordWrap/>
        <w:overflowPunct/>
        <w:topLinePunct w:val="0"/>
        <w:autoSpaceDE/>
        <w:autoSpaceDN/>
        <w:bidi w:val="0"/>
        <w:adjustRightInd w:val="0"/>
        <w:snapToGrid w:val="0"/>
        <w:spacing w:line="480" w:lineRule="exact"/>
        <w:ind w:firstLine="422" w:firstLineChars="200"/>
        <w:textAlignment w:val="auto"/>
        <w:rPr>
          <w:rFonts w:hint="eastAsia" w:asciiTheme="minorEastAsia" w:hAnsiTheme="minorEastAsia" w:cstheme="minorEastAsia"/>
          <w:bCs/>
          <w:sz w:val="21"/>
          <w:szCs w:val="21"/>
          <w:highlight w:val="none"/>
          <w:lang w:val="en-US" w:eastAsia="zh-CN"/>
        </w:rPr>
      </w:pPr>
      <w:r>
        <w:rPr>
          <w:rFonts w:hint="eastAsia" w:asciiTheme="minorEastAsia" w:hAnsiTheme="minorEastAsia" w:eastAsiaTheme="minorEastAsia" w:cstheme="minorEastAsia"/>
          <w:b/>
          <w:sz w:val="21"/>
          <w:szCs w:val="21"/>
          <w:highlight w:val="none"/>
        </w:rPr>
        <w:t>※电缆线路部分</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cstheme="minorEastAsia"/>
          <w:bCs/>
          <w:sz w:val="21"/>
          <w:szCs w:val="21"/>
          <w:highlight w:val="none"/>
          <w:lang w:val="en-US" w:eastAsia="zh-CN"/>
        </w:rPr>
      </w:pPr>
      <w:r>
        <w:rPr>
          <w:rFonts w:hint="eastAsia" w:asciiTheme="minorEastAsia" w:hAnsiTheme="minorEastAsia" w:cstheme="minorEastAsia"/>
          <w:bCs/>
          <w:sz w:val="21"/>
          <w:szCs w:val="21"/>
          <w:highlight w:val="none"/>
          <w:lang w:val="en-US" w:eastAsia="zh-CN"/>
        </w:rPr>
        <w:t>1、500kV海珠线路工程（海珠至楚庭双回电缆线路）：新建电缆线路长度2×22.14千米，全线采用隧道敷设方式。电缆运行最高环境温度40℃，土壤热阻系数取1.2k·m/W，通风温度35℃。电缆采用铜芯交联聚乙烯皱纹铝套聚氯乙烯护套纵向阻水电力电缆，电缆导体截面2500平方毫米。本标段含隧道工程配套11号线环城综合管廊电缆支架改造、芳村大道南电力隧道电缆支架改造部分。</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cstheme="minorEastAsia"/>
          <w:bCs/>
          <w:sz w:val="21"/>
          <w:szCs w:val="21"/>
          <w:highlight w:val="none"/>
          <w:lang w:val="en-US" w:eastAsia="zh-CN"/>
        </w:rPr>
      </w:pPr>
      <w:r>
        <w:rPr>
          <w:rFonts w:hint="eastAsia" w:asciiTheme="minorEastAsia" w:hAnsiTheme="minorEastAsia" w:cstheme="minorEastAsia"/>
          <w:bCs/>
          <w:sz w:val="21"/>
          <w:szCs w:val="21"/>
          <w:highlight w:val="none"/>
          <w:lang w:val="en-US" w:eastAsia="zh-CN"/>
        </w:rPr>
        <w:t>2、500kV海珠输变电工程配套隧道工程（11号线环城综合管廊电缆支架改造部分）：改造支架约209吨。</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heme="minorEastAsia" w:hAnsiTheme="minorEastAsia" w:eastAsiaTheme="minorEastAsia" w:cstheme="minorEastAsia"/>
          <w:bCs/>
          <w:sz w:val="21"/>
          <w:szCs w:val="21"/>
          <w:highlight w:val="none"/>
          <w:lang w:val="en-US" w:eastAsia="zh-CN"/>
        </w:rPr>
      </w:pPr>
      <w:r>
        <w:rPr>
          <w:rFonts w:hint="eastAsia" w:asciiTheme="minorEastAsia" w:hAnsiTheme="minorEastAsia" w:cstheme="minorEastAsia"/>
          <w:bCs/>
          <w:sz w:val="21"/>
          <w:szCs w:val="21"/>
          <w:highlight w:val="none"/>
          <w:lang w:val="en-US" w:eastAsia="zh-CN"/>
        </w:rPr>
        <w:t>3、500kV海珠输变电工程配套隧道工程（芳村大道南电力隧道电缆支架改造）：改造支架约10吨。</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default" w:asciiTheme="minorEastAsia" w:hAnsiTheme="minorEastAsia" w:cstheme="minorEastAsia"/>
          <w:bCs/>
          <w:sz w:val="21"/>
          <w:szCs w:val="21"/>
          <w:highlight w:val="none"/>
          <w:lang w:val="en-US" w:eastAsia="zh-CN"/>
        </w:rPr>
      </w:pPr>
      <w:r>
        <w:rPr>
          <w:rFonts w:hint="eastAsia" w:asciiTheme="minorEastAsia" w:hAnsiTheme="minorEastAsia" w:eastAsiaTheme="minorEastAsia" w:cstheme="minorEastAsia"/>
          <w:b/>
          <w:sz w:val="21"/>
          <w:szCs w:val="21"/>
          <w:highlight w:val="none"/>
        </w:rPr>
        <w:t>※</w:t>
      </w:r>
      <w:r>
        <w:rPr>
          <w:rFonts w:hint="eastAsia" w:asciiTheme="minorEastAsia" w:hAnsiTheme="minorEastAsia" w:cstheme="minorEastAsia"/>
          <w:b/>
          <w:sz w:val="21"/>
          <w:szCs w:val="21"/>
          <w:highlight w:val="none"/>
          <w:lang w:val="en-US" w:eastAsia="zh-CN"/>
        </w:rPr>
        <w:t>通信</w:t>
      </w:r>
      <w:r>
        <w:rPr>
          <w:rFonts w:hint="eastAsia" w:asciiTheme="minorEastAsia" w:hAnsiTheme="minorEastAsia" w:eastAsiaTheme="minorEastAsia" w:cstheme="minorEastAsia"/>
          <w:b/>
          <w:sz w:val="21"/>
          <w:szCs w:val="21"/>
          <w:highlight w:val="none"/>
        </w:rPr>
        <w:t>部分</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heme="minorEastAsia" w:hAnsiTheme="minorEastAsia" w:cstheme="minorEastAsia"/>
          <w:bCs/>
          <w:sz w:val="21"/>
          <w:szCs w:val="21"/>
          <w:highlight w:val="none"/>
          <w:lang w:val="en-US" w:eastAsia="zh-CN"/>
        </w:rPr>
      </w:pPr>
      <w:r>
        <w:rPr>
          <w:rFonts w:hint="default" w:asciiTheme="minorEastAsia" w:hAnsiTheme="minorEastAsia" w:cstheme="minorEastAsia"/>
          <w:bCs/>
          <w:sz w:val="21"/>
          <w:szCs w:val="21"/>
          <w:highlight w:val="none"/>
          <w:lang w:val="en-US" w:eastAsia="zh-CN"/>
        </w:rPr>
        <w:t>500kV海珠线路工程（海珠至楚庭双回管道光缆）：</w:t>
      </w:r>
      <w:r>
        <w:rPr>
          <w:rFonts w:hint="eastAsia" w:asciiTheme="minorEastAsia" w:hAnsiTheme="minorEastAsia" w:cstheme="minorEastAsia"/>
          <w:bCs/>
          <w:sz w:val="21"/>
          <w:szCs w:val="21"/>
          <w:highlight w:val="none"/>
          <w:lang w:val="en-US" w:eastAsia="zh-CN"/>
        </w:rPr>
        <w:t>新建72芯管道光缆，线路长度2×22.14千米</w:t>
      </w:r>
      <w:r>
        <w:rPr>
          <w:rFonts w:hint="default" w:asciiTheme="minorEastAsia" w:hAnsiTheme="minorEastAsia" w:cstheme="minorEastAsia"/>
          <w:bCs/>
          <w:sz w:val="21"/>
          <w:szCs w:val="21"/>
          <w:highlight w:val="none"/>
          <w:lang w:val="en-US" w:eastAsia="zh-CN"/>
        </w:rPr>
        <w:t>。</w:t>
      </w:r>
    </w:p>
    <w:p>
      <w:pPr>
        <w:pStyle w:val="9"/>
        <w:keepNext w:val="0"/>
        <w:keepLines w:val="0"/>
        <w:pageBreakBefore w:val="0"/>
        <w:widowControl w:val="0"/>
        <w:kinsoku/>
        <w:wordWrap/>
        <w:overflowPunct/>
        <w:topLinePunct w:val="0"/>
        <w:autoSpaceDE/>
        <w:autoSpaceDN/>
        <w:bidi w:val="0"/>
        <w:adjustRightInd w:val="0"/>
        <w:snapToGrid w:val="0"/>
        <w:spacing w:line="480" w:lineRule="exact"/>
        <w:ind w:firstLine="422" w:firstLineChars="200"/>
        <w:textAlignment w:val="auto"/>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注：具体建设规模以施工图纸为准。</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22" w:firstLineChars="200"/>
        <w:jc w:val="both"/>
        <w:textAlignment w:val="auto"/>
        <w:outlineLvl w:val="9"/>
        <w:rPr>
          <w:rFonts w:hint="eastAsia" w:asciiTheme="minorEastAsia" w:hAnsiTheme="minorEastAsia" w:eastAsiaTheme="minorEastAsia" w:cstheme="minorEastAsia"/>
          <w:b w:val="0"/>
          <w:bCs w:val="0"/>
          <w:color w:val="auto"/>
          <w:sz w:val="21"/>
          <w:szCs w:val="21"/>
          <w:highlight w:val="none"/>
          <w:u w:val="single"/>
          <w:lang w:val="en-US" w:eastAsia="zh-CN"/>
        </w:rPr>
      </w:pPr>
      <w:r>
        <w:rPr>
          <w:rFonts w:hint="eastAsia" w:asciiTheme="minorEastAsia" w:hAnsiTheme="minorEastAsia" w:eastAsiaTheme="minorEastAsia" w:cstheme="minorEastAsia"/>
          <w:b/>
          <w:bCs/>
          <w:color w:val="auto"/>
          <w:sz w:val="21"/>
          <w:szCs w:val="21"/>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的为本次范围；□未打√的，不在本次范围内，特殊情况在“其他”中说明。</w:t>
      </w:r>
    </w:p>
    <w:p>
      <w:pPr>
        <w:pStyle w:val="9"/>
        <w:keepNext w:val="0"/>
        <w:keepLines w:val="0"/>
        <w:pageBreakBefore w:val="0"/>
        <w:kinsoku/>
        <w:wordWrap/>
        <w:overflowPunct/>
        <w:topLinePunct w:val="0"/>
        <w:bidi w:val="0"/>
        <w:snapToGrid/>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※电缆线路部分：</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施工图纸范围内的电缆</w:t>
      </w:r>
      <w:r>
        <w:rPr>
          <w:rFonts w:hint="eastAsia" w:ascii="宋体" w:hAnsi="宋体" w:eastAsia="宋体" w:cs="宋体"/>
          <w:b/>
          <w:bCs/>
          <w:color w:val="auto"/>
          <w:sz w:val="21"/>
          <w:szCs w:val="21"/>
          <w:highlight w:val="none"/>
        </w:rPr>
        <w:t>建筑：</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（一）土石方：</w:t>
      </w:r>
      <w:r>
        <w:rPr>
          <w:rFonts w:hint="eastAsia" w:ascii="宋体" w:hAnsi="宋体" w:eastAsia="宋体" w:cs="宋体"/>
          <w:color w:val="auto"/>
          <w:sz w:val="21"/>
          <w:szCs w:val="21"/>
          <w:highlight w:val="none"/>
        </w:rPr>
        <w:t>材料运输，土石方挖填，开挖路面，修复路面，隧道挖填；</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（二）构筑物：</w:t>
      </w:r>
      <w:r>
        <w:rPr>
          <w:rFonts w:hint="eastAsia" w:ascii="宋体" w:hAnsi="宋体" w:eastAsia="宋体" w:cs="宋体"/>
          <w:color w:val="auto"/>
          <w:sz w:val="21"/>
          <w:szCs w:val="21"/>
          <w:highlight w:val="none"/>
        </w:rPr>
        <w:t>材料运输，直埋电缆垫层及盖板，电缆沟、浅槽，工作井，电缆埋管，隧道，隧道工作井，栈桥，基础；</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（三）辅助工程：</w:t>
      </w:r>
      <w:r>
        <w:rPr>
          <w:rFonts w:hint="eastAsia" w:ascii="宋体" w:hAnsi="宋体" w:eastAsia="宋体" w:cs="宋体"/>
          <w:color w:val="auto"/>
          <w:sz w:val="21"/>
          <w:szCs w:val="21"/>
          <w:highlight w:val="none"/>
        </w:rPr>
        <w:t>材料运输，通风，照明，排水，消防，围护，地基处理；</w:t>
      </w:r>
    </w:p>
    <w:p>
      <w:pPr>
        <w:pStyle w:val="9"/>
        <w:keepNext w:val="0"/>
        <w:keepLines w:val="0"/>
        <w:pageBreakBefore w:val="0"/>
        <w:kinsoku/>
        <w:wordWrap/>
        <w:overflowPunct/>
        <w:topLinePunct w:val="0"/>
        <w:bidi w:val="0"/>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（四）其他费用工程：</w:t>
      </w:r>
      <w:r>
        <w:rPr>
          <w:rFonts w:hint="eastAsia"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rPr>
        <w:t>白蚁防治，</w:t>
      </w:r>
      <w:r>
        <w:rPr>
          <w:rFonts w:hint="eastAsia"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rPr>
        <w:t>拆除工程，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电缆走廊绿化赔偿，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沿线建（构）筑物的拆除，</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rPr>
        <w:t>与城市规划、市政、园林、交警、城监、公路等部门联系办理施工许可手续，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施工临时占用地补偿费；</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（五）其他：</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b w:val="0"/>
          <w:bCs/>
          <w:color w:val="auto"/>
          <w:sz w:val="21"/>
          <w:szCs w:val="21"/>
          <w:highlight w:val="none"/>
          <w:u w:val="single"/>
          <w:lang w:val="en-US" w:eastAsia="zh-CN"/>
        </w:rPr>
        <w:t>交通疏解、市政道路修复（如有）按实际工程量并计取中标下浮率进行结算</w:t>
      </w:r>
      <w:r>
        <w:rPr>
          <w:rFonts w:hint="eastAsia" w:ascii="宋体" w:hAnsi="宋体" w:eastAsia="宋体" w:cs="宋体"/>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施工图纸范围内的电缆</w:t>
      </w:r>
      <w:r>
        <w:rPr>
          <w:rFonts w:hint="eastAsia" w:ascii="宋体" w:hAnsi="宋体" w:eastAsia="宋体" w:cs="宋体"/>
          <w:b/>
          <w:bCs/>
          <w:color w:val="auto"/>
          <w:sz w:val="21"/>
          <w:szCs w:val="21"/>
          <w:highlight w:val="none"/>
        </w:rPr>
        <w:t>安装：</w:t>
      </w:r>
    </w:p>
    <w:p>
      <w:pPr>
        <w:keepNext w:val="0"/>
        <w:keepLines w:val="0"/>
        <w:pageBreakBefore w:val="0"/>
        <w:kinsoku/>
        <w:wordWrap/>
        <w:overflowPunct/>
        <w:topLinePunct w:val="0"/>
        <w:bidi w:val="0"/>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（一）电缆桥、支架制作安装</w:t>
      </w:r>
      <w:r>
        <w:rPr>
          <w:rFonts w:hint="eastAsia" w:ascii="宋体" w:hAnsi="宋体" w:eastAsia="宋体" w:cs="宋体"/>
          <w:color w:val="auto"/>
          <w:kern w:val="0"/>
          <w:sz w:val="21"/>
          <w:szCs w:val="21"/>
          <w:highlight w:val="none"/>
        </w:rPr>
        <w:t>：材料运输，电缆桥架，电缆支架；</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（二）电缆敷设：</w:t>
      </w:r>
      <w:r>
        <w:rPr>
          <w:rFonts w:hint="eastAsia" w:ascii="宋体" w:hAnsi="宋体" w:eastAsia="宋体" w:cs="宋体"/>
          <w:color w:val="auto"/>
          <w:kern w:val="0"/>
          <w:sz w:val="21"/>
          <w:szCs w:val="21"/>
          <w:highlight w:val="none"/>
        </w:rPr>
        <w:t>材料运输，直埋敷设，电缆沟、浅槽敷设，埋管内敷设，电缆隧道敷设，桥架敷设，栈桥敷设；</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（三）电缆附件：</w:t>
      </w:r>
      <w:r>
        <w:rPr>
          <w:rFonts w:hint="eastAsia" w:ascii="宋体" w:hAnsi="宋体" w:eastAsia="宋体" w:cs="宋体"/>
          <w:color w:val="auto"/>
          <w:kern w:val="0"/>
          <w:sz w:val="21"/>
          <w:szCs w:val="21"/>
          <w:highlight w:val="none"/>
        </w:rPr>
        <w:t>材料运输，终端头制作安装，中间接头制作安装，接地安装，设备安装，电缆保护管</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电缆接头及终端头洁净棚安装</w:t>
      </w:r>
      <w:r>
        <w:rPr>
          <w:rFonts w:hint="eastAsia" w:ascii="宋体" w:hAnsi="宋体" w:eastAsia="宋体" w:cs="宋体"/>
          <w:color w:val="auto"/>
          <w:kern w:val="0"/>
          <w:sz w:val="21"/>
          <w:szCs w:val="21"/>
          <w:highlight w:val="non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（四）电缆防火：</w:t>
      </w:r>
      <w:r>
        <w:rPr>
          <w:rFonts w:hint="eastAsia" w:ascii="宋体" w:hAnsi="宋体" w:eastAsia="宋体" w:cs="宋体"/>
          <w:color w:val="auto"/>
          <w:kern w:val="0"/>
          <w:sz w:val="21"/>
          <w:szCs w:val="21"/>
          <w:highlight w:val="none"/>
        </w:rPr>
        <w:t>材料运输，构筑物防火，电缆本体防火；</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（五）调试与试验：</w:t>
      </w:r>
      <w:r>
        <w:rPr>
          <w:rFonts w:hint="eastAsia" w:ascii="宋体" w:hAnsi="宋体" w:eastAsia="宋体" w:cs="宋体"/>
          <w:color w:val="auto"/>
          <w:kern w:val="0"/>
          <w:sz w:val="21"/>
          <w:szCs w:val="21"/>
          <w:highlight w:val="none"/>
        </w:rPr>
        <w:t>电缆试验</w:t>
      </w:r>
      <w:r>
        <w:rPr>
          <w:rFonts w:hint="eastAsia" w:ascii="宋体" w:hAnsi="宋体" w:eastAsia="宋体" w:cs="宋体"/>
          <w:color w:val="auto"/>
          <w:sz w:val="21"/>
          <w:szCs w:val="21"/>
          <w:highlight w:val="none"/>
        </w:rPr>
        <w:t>（其中：</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rPr>
        <w:t>电缆局部放电试验，</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rPr>
        <w:t>电缆参数测定）</w:t>
      </w:r>
      <w:r>
        <w:rPr>
          <w:rFonts w:hint="eastAsia" w:ascii="宋体" w:hAnsi="宋体" w:eastAsia="宋体" w:cs="宋体"/>
          <w:color w:val="auto"/>
          <w:kern w:val="0"/>
          <w:sz w:val="21"/>
          <w:szCs w:val="21"/>
          <w:highlight w:val="none"/>
        </w:rPr>
        <w:t>，设备试验</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包括电缆耐压试验</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（六）电缆监测（控）系统：</w:t>
      </w:r>
      <w:r>
        <w:rPr>
          <w:rFonts w:hint="eastAsia" w:ascii="宋体" w:hAnsi="宋体" w:eastAsia="宋体" w:cs="宋体"/>
          <w:color w:val="auto"/>
          <w:kern w:val="0"/>
          <w:sz w:val="21"/>
          <w:szCs w:val="21"/>
          <w:highlight w:val="none"/>
        </w:rPr>
        <w:t>材料运输，在线监测，安保监控；</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（七）其他费用工程：</w:t>
      </w:r>
      <w:r>
        <w:rPr>
          <w:rFonts w:hint="eastAsia"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rPr>
        <w:t>标志牌安装，</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rPr>
        <w:t>拆除工程，</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rPr>
        <w:t>线路牌挂牌；</w:t>
      </w:r>
    </w:p>
    <w:p>
      <w:pPr>
        <w:pStyle w:val="9"/>
        <w:keepNext w:val="0"/>
        <w:keepLines w:val="0"/>
        <w:pageBreakBefore w:val="0"/>
        <w:kinsoku/>
        <w:wordWrap/>
        <w:overflowPunct/>
        <w:topLinePunct w:val="0"/>
        <w:bidi w:val="0"/>
        <w:snapToGrid/>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（八）其他：</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u w:val="single"/>
          <w:lang w:val="en-US" w:eastAsia="zh-CN"/>
        </w:rPr>
        <w:t>RTK测量、租赁试验套管（GIS）（如有）由中标承包方负责完成，费用不计入正式合同价，按项目实际发生的费用（经发包人确认）结算</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p>
    <w:p>
      <w:pPr>
        <w:pStyle w:val="9"/>
        <w:keepNext w:val="0"/>
        <w:keepLines w:val="0"/>
        <w:pageBreakBefore w:val="0"/>
        <w:kinsoku/>
        <w:wordWrap/>
        <w:overflowPunct/>
        <w:topLinePunct w:val="0"/>
        <w:bidi w:val="0"/>
        <w:snapToGrid/>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※通信部分：</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
          <w:color w:val="auto"/>
          <w:sz w:val="21"/>
          <w:szCs w:val="21"/>
          <w:highlight w:val="none"/>
        </w:rPr>
        <w:t>电缆线路部分：</w:t>
      </w:r>
      <w:r>
        <w:rPr>
          <w:rFonts w:hint="eastAsia" w:ascii="宋体" w:hAnsi="宋体" w:eastAsia="宋体" w:cs="宋体"/>
          <w:bCs/>
          <w:color w:val="auto"/>
          <w:sz w:val="21"/>
          <w:szCs w:val="21"/>
          <w:highlight w:val="none"/>
        </w:rPr>
        <w:t>施工图纸范围内的光缆单盘测试、中继测试、接续、光缆及联络光缆敷设、通信子管敷设、通道开通及业务接入、割接等；光缆及金具卸车清点、验收及保管，与施工相关的所有其他费用项目</w:t>
      </w:r>
      <w:r>
        <w:rPr>
          <w:rFonts w:hint="eastAsia" w:ascii="宋体" w:hAnsi="宋体" w:eastAsia="宋体" w:cs="宋体"/>
          <w:bCs/>
          <w:color w:val="auto"/>
          <w:sz w:val="21"/>
          <w:szCs w:val="21"/>
          <w:highlight w:val="none"/>
          <w:lang w:eastAsia="zh-CN"/>
        </w:rPr>
        <w:t>。</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4"/>
          <w:szCs w:val="24"/>
          <w:highlight w:val="none"/>
          <w:lang w:val="en-US" w:eastAsia="zh-CN"/>
        </w:rPr>
        <w:t>承包方式</w:t>
      </w:r>
    </w:p>
    <w:p>
      <w:pPr>
        <w:pStyle w:val="9"/>
        <w:keepNext w:val="0"/>
        <w:keepLines w:val="0"/>
        <w:pageBreakBefore w:val="0"/>
        <w:widowControl w:val="0"/>
        <w:kinsoku/>
        <w:wordWrap/>
        <w:overflowPunct/>
        <w:topLinePunct w:val="0"/>
        <w:bidi w:val="0"/>
        <w:spacing w:line="480" w:lineRule="exact"/>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的为甲供，□未打√的及不在下列的为乙供。建设单位根据最新的南方电网公司和广州供电局有限公司物资集中采购目录文件提供相应物资，目录外的设备、材料采购由中标人负责，本项目</w:t>
      </w:r>
      <w:r>
        <w:rPr>
          <w:rFonts w:hint="eastAsia" w:asciiTheme="minorEastAsia" w:hAnsiTheme="minorEastAsia" w:cstheme="minorEastAsia"/>
          <w:b/>
          <w:bCs/>
          <w:color w:val="auto"/>
          <w:sz w:val="21"/>
          <w:szCs w:val="21"/>
          <w:highlight w:val="none"/>
          <w:lang w:val="en-US" w:eastAsia="zh-CN"/>
        </w:rPr>
        <w:t>正式合同价</w:t>
      </w:r>
      <w:r>
        <w:rPr>
          <w:rFonts w:hint="eastAsia" w:asciiTheme="minorEastAsia" w:hAnsiTheme="minorEastAsia" w:eastAsiaTheme="minorEastAsia" w:cstheme="minorEastAsia"/>
          <w:b/>
          <w:bCs/>
          <w:color w:val="auto"/>
          <w:sz w:val="21"/>
          <w:szCs w:val="21"/>
          <w:highlight w:val="none"/>
          <w:lang w:val="en-US" w:eastAsia="zh-CN"/>
        </w:rPr>
        <w:t>实际甲供物资以《甲供设备材料明细表》为准。若在项目建设过程中网省公司或局物资集中采购目录文件有更新，则按新的文件执行，同时由建设单位以书面或签证形式，重新明确调整后的甲乙供范围，作为结算依据。</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bCs/>
          <w:color w:val="auto"/>
          <w:sz w:val="21"/>
          <w:szCs w:val="21"/>
          <w:highlight w:val="none"/>
        </w:rPr>
        <w:t>※电缆线路部分：</w:t>
      </w:r>
      <w:r>
        <w:rPr>
          <w:rFonts w:hint="eastAsia" w:ascii="宋体" w:hAnsi="宋体" w:eastAsia="宋体" w:cs="宋体"/>
          <w:b/>
          <w:color w:val="auto"/>
          <w:sz w:val="21"/>
          <w:szCs w:val="21"/>
          <w:highlight w:val="none"/>
        </w:rPr>
        <w:t>建设单位提供部分设备及材料：</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（一）甲供物资：</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电力电缆，电缆终端头，电缆直通接头，电缆绝缘接头，</w:t>
      </w:r>
      <w:r>
        <w:rPr>
          <w:rFonts w:hint="eastAsia" w:ascii="宋体" w:hAnsi="宋体" w:eastAsia="宋体" w:cs="宋体"/>
          <w:b w:val="0"/>
          <w:bCs/>
          <w:color w:val="auto"/>
          <w:sz w:val="21"/>
          <w:szCs w:val="21"/>
          <w:highlight w:val="none"/>
          <w:lang w:eastAsia="zh-CN"/>
        </w:rPr>
        <w:t>电</w:t>
      </w:r>
      <w:r>
        <w:rPr>
          <w:rFonts w:hint="eastAsia" w:ascii="宋体" w:hAnsi="宋体" w:eastAsia="宋体" w:cs="宋体"/>
          <w:b w:val="0"/>
          <w:bCs/>
          <w:color w:val="auto"/>
          <w:sz w:val="21"/>
          <w:szCs w:val="21"/>
          <w:highlight w:val="none"/>
        </w:rPr>
        <w:t>缆T接头，带保护器接地箱，直接接地箱，同轴电缆，接地线，回流线，接地箱，避雷器</w:t>
      </w:r>
      <w:r>
        <w:rPr>
          <w:rFonts w:hint="eastAsia" w:ascii="宋体" w:hAnsi="宋体" w:eastAsia="宋体" w:cs="宋体"/>
          <w:b w:val="0"/>
          <w:bCs/>
          <w:color w:val="auto"/>
          <w:sz w:val="21"/>
          <w:szCs w:val="21"/>
          <w:highlight w:val="none"/>
          <w:lang w:eastAsia="zh-CN"/>
        </w:rPr>
        <w:t>，故障精确定位装置</w:t>
      </w:r>
      <w:r>
        <w:rPr>
          <w:rFonts w:hint="eastAsia" w:ascii="宋体" w:hAnsi="宋体" w:eastAsia="宋体" w:cs="宋体"/>
          <w:b w:val="0"/>
          <w:bCs/>
          <w:color w:val="auto"/>
          <w:sz w:val="21"/>
          <w:szCs w:val="21"/>
          <w:highlight w:val="none"/>
        </w:rPr>
        <w:t>，光缆及光缆附件</w:t>
      </w:r>
      <w:r>
        <w:rPr>
          <w:rFonts w:hint="eastAsia" w:ascii="宋体" w:hAnsi="宋体" w:eastAsia="宋体" w:cs="宋体"/>
          <w:b w:val="0"/>
          <w:bCs/>
          <w:color w:val="auto"/>
          <w:sz w:val="21"/>
          <w:szCs w:val="21"/>
          <w:highlight w:val="none"/>
          <w:lang w:eastAsia="zh-CN"/>
        </w:rPr>
        <w:t>。</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u w:val="none"/>
          <w:lang w:val="en-US"/>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装配式</w:t>
      </w:r>
      <w:r>
        <w:rPr>
          <w:rFonts w:hint="eastAsia" w:ascii="宋体" w:hAnsi="宋体" w:eastAsia="宋体" w:cs="宋体"/>
          <w:color w:val="auto"/>
          <w:sz w:val="21"/>
          <w:szCs w:val="21"/>
          <w:highlight w:val="none"/>
          <w:lang w:val="en-US" w:eastAsia="zh-CN"/>
        </w:rPr>
        <w:t>电缆沟，</w:t>
      </w:r>
      <w:r>
        <w:rPr>
          <w:rFonts w:hint="eastAsia" w:ascii="宋体" w:hAnsi="宋体" w:eastAsia="宋体" w:cs="宋体"/>
          <w:b w:val="0"/>
          <w:bCs/>
          <w:color w:val="auto"/>
          <w:sz w:val="21"/>
          <w:szCs w:val="21"/>
          <w:highlight w:val="none"/>
          <w:u w:val="none"/>
        </w:rPr>
        <w:t>□玻璃钢管。</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bCs/>
          <w:color w:val="auto"/>
          <w:sz w:val="21"/>
          <w:szCs w:val="21"/>
          <w:highlight w:val="none"/>
          <w:u w:val="single"/>
        </w:rPr>
        <w:t>。</w:t>
      </w:r>
    </w:p>
    <w:p>
      <w:pPr>
        <w:pStyle w:val="9"/>
        <w:keepNext w:val="0"/>
        <w:keepLines w:val="0"/>
        <w:pageBreakBefore w:val="0"/>
        <w:widowControl w:val="0"/>
        <w:kinsoku/>
        <w:wordWrap/>
        <w:overflowPunct/>
        <w:topLinePunct w:val="0"/>
        <w:bidi w:val="0"/>
        <w:spacing w:line="480" w:lineRule="exact"/>
        <w:textAlignment w:val="auto"/>
        <w:rPr>
          <w:rFonts w:hint="eastAsia" w:eastAsia="宋体"/>
          <w:color w:val="auto"/>
          <w:sz w:val="21"/>
          <w:szCs w:val="21"/>
          <w:highlight w:val="none"/>
          <w:lang w:val="en-US" w:eastAsia="zh-CN"/>
        </w:rPr>
      </w:pPr>
      <w:r>
        <w:rPr>
          <w:rFonts w:hint="eastAsia" w:ascii="宋体" w:hAnsi="宋体" w:cs="宋体"/>
          <w:b/>
          <w:bCs/>
          <w:snapToGrid w:val="0"/>
          <w:color w:val="auto"/>
          <w:kern w:val="0"/>
          <w:sz w:val="21"/>
          <w:szCs w:val="21"/>
          <w:highlight w:val="none"/>
          <w:u w:val="none"/>
          <w:lang w:val="en-US" w:eastAsia="zh-CN"/>
        </w:rPr>
        <w:t>注：建设单位提供的设备、材料以正式合同价提供的《甲供设备材料明细表》为准</w:t>
      </w:r>
      <w:r>
        <w:rPr>
          <w:rFonts w:hint="eastAsia" w:eastAsia="宋体"/>
          <w:color w:val="auto"/>
          <w:sz w:val="21"/>
          <w:szCs w:val="21"/>
          <w:highlight w:val="none"/>
          <w:lang w:val="en-US" w:eastAsia="zh-CN"/>
        </w:rPr>
        <w:t>。</w:t>
      </w:r>
    </w:p>
    <w:p>
      <w:pP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bookmarkStart w:id="2" w:name="_GoBack"/>
      <w:bookmarkEnd w:id="2"/>
    </w:p>
    <w:p>
      <w:pPr>
        <w:rPr>
          <w:rFonts w:hint="eastAsia"/>
          <w:color w:val="auto"/>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2813B"/>
    <w:multiLevelType w:val="multilevel"/>
    <w:tmpl w:val="EDA2813B"/>
    <w:lvl w:ilvl="0" w:tentative="0">
      <w:start w:val="1"/>
      <w:numFmt w:val="decimal"/>
      <w:lvlText w:val="%1"/>
      <w:lvlJc w:val="left"/>
      <w:pPr>
        <w:ind w:left="432" w:hanging="432"/>
      </w:pPr>
      <w:rPr>
        <w:rFonts w:hint="eastAsia" w:ascii="Times New Roman" w:hAnsi="Times New Roman" w:cs="Times New Roman"/>
        <w:b w:val="0"/>
        <w:i w:val="0"/>
        <w:iCs w:val="0"/>
        <w:caps w:val="0"/>
        <w:smallCaps w:val="0"/>
        <w:strike w:val="0"/>
        <w:dstrike w:val="0"/>
        <w:vanish w:val="0"/>
        <w:spacing w:val="0"/>
        <w:position w:val="0"/>
        <w:u w:val="none"/>
        <w:vertAlign w:val="baseline"/>
      </w:rPr>
    </w:lvl>
    <w:lvl w:ilvl="1" w:tentative="0">
      <w:start w:val="1"/>
      <w:numFmt w:val="decimal"/>
      <w:lvlText w:val="%1.%2 "/>
      <w:lvlJc w:val="left"/>
      <w:pPr>
        <w:ind w:left="576" w:hanging="576"/>
      </w:pPr>
      <w:rPr>
        <w:rFonts w:hint="eastAsia" w:ascii="Times New Roman" w:hAnsi="Times New Roman" w:cs="Times New Roman"/>
        <w:b/>
        <w:i w:val="0"/>
        <w:iCs w:val="0"/>
        <w:caps w:val="0"/>
        <w:smallCaps w:val="0"/>
        <w:strike w:val="0"/>
        <w:dstrike w:val="0"/>
        <w:vanish w:val="0"/>
        <w:spacing w:val="0"/>
        <w:kern w:val="0"/>
        <w:position w:val="0"/>
        <w:u w:val="none"/>
        <w:vertAlign w:val="baseline"/>
      </w:rPr>
    </w:lvl>
    <w:lvl w:ilvl="2" w:tentative="0">
      <w:start w:val="1"/>
      <w:numFmt w:val="decimal"/>
      <w:lvlText w:val="%1.%2.%3 "/>
      <w:lvlJc w:val="left"/>
      <w:pPr>
        <w:ind w:left="1440" w:hanging="1440"/>
      </w:pPr>
      <w:rPr>
        <w:rFonts w:hint="default" w:ascii="Times New Roman" w:hAnsi="Times New Roman" w:cs="Times New Roman"/>
        <w:sz w:val="24"/>
        <w:szCs w:val="24"/>
      </w:rPr>
    </w:lvl>
    <w:lvl w:ilvl="3" w:tentative="0">
      <w:start w:val="1"/>
      <w:numFmt w:val="decimal"/>
      <w:pStyle w:val="6"/>
      <w:lvlText w:val="%1.%2.%3.%4 "/>
      <w:lvlJc w:val="left"/>
      <w:pPr>
        <w:ind w:left="1715" w:hanging="864"/>
      </w:pPr>
      <w:rPr>
        <w:rFonts w:hint="default" w:ascii="Times New Roman" w:hAnsi="Times New Roman" w:cs="Times New Roman"/>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273F47E8"/>
    <w:multiLevelType w:val="singleLevel"/>
    <w:tmpl w:val="273F47E8"/>
    <w:lvl w:ilvl="0" w:tentative="0">
      <w:start w:val="1"/>
      <w:numFmt w:val="chineseCounting"/>
      <w:suff w:val="nothing"/>
      <w:lvlText w:val="%1、"/>
      <w:lvlJc w:val="left"/>
      <w:pPr>
        <w:ind w:left="0" w:firstLine="420"/>
      </w:pPr>
      <w:rPr>
        <w:rFonts w:hint="eastAsia"/>
        <w:b/>
        <w:bCs/>
        <w:color w:val="auto"/>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MDY5ZGVlYjdhMTRlZGI2M2RhZDEwNzJjMmZkZTIifQ=="/>
  </w:docVars>
  <w:rsids>
    <w:rsidRoot w:val="740D71D5"/>
    <w:rsid w:val="0109277B"/>
    <w:rsid w:val="036208AE"/>
    <w:rsid w:val="054A2620"/>
    <w:rsid w:val="062C0A5B"/>
    <w:rsid w:val="071B3875"/>
    <w:rsid w:val="077057CE"/>
    <w:rsid w:val="08001F60"/>
    <w:rsid w:val="09676CF8"/>
    <w:rsid w:val="09790D9C"/>
    <w:rsid w:val="09D43B87"/>
    <w:rsid w:val="0D153780"/>
    <w:rsid w:val="0DAB15E2"/>
    <w:rsid w:val="0DB75190"/>
    <w:rsid w:val="0FB13319"/>
    <w:rsid w:val="102D5A6A"/>
    <w:rsid w:val="105F1336"/>
    <w:rsid w:val="10826080"/>
    <w:rsid w:val="110034DB"/>
    <w:rsid w:val="113A0F19"/>
    <w:rsid w:val="120A46B1"/>
    <w:rsid w:val="12331667"/>
    <w:rsid w:val="13166EC3"/>
    <w:rsid w:val="13186C6C"/>
    <w:rsid w:val="137F0EAC"/>
    <w:rsid w:val="13AB57C5"/>
    <w:rsid w:val="14EF7AC7"/>
    <w:rsid w:val="1576177E"/>
    <w:rsid w:val="15CE07BC"/>
    <w:rsid w:val="15D62BE2"/>
    <w:rsid w:val="163C61B2"/>
    <w:rsid w:val="167D7355"/>
    <w:rsid w:val="16C005E1"/>
    <w:rsid w:val="16E60230"/>
    <w:rsid w:val="1D7D0B48"/>
    <w:rsid w:val="1D8F4B51"/>
    <w:rsid w:val="1E1B62F5"/>
    <w:rsid w:val="20B97466"/>
    <w:rsid w:val="21592EC3"/>
    <w:rsid w:val="21B60804"/>
    <w:rsid w:val="22234D1E"/>
    <w:rsid w:val="226C006B"/>
    <w:rsid w:val="22906A51"/>
    <w:rsid w:val="23333912"/>
    <w:rsid w:val="24A03751"/>
    <w:rsid w:val="24DD0910"/>
    <w:rsid w:val="24F81F57"/>
    <w:rsid w:val="255F233B"/>
    <w:rsid w:val="25B05051"/>
    <w:rsid w:val="27337CE7"/>
    <w:rsid w:val="27BA17EA"/>
    <w:rsid w:val="28757DED"/>
    <w:rsid w:val="29576DD3"/>
    <w:rsid w:val="2A4A4F6B"/>
    <w:rsid w:val="2AF6240B"/>
    <w:rsid w:val="2B3C44D5"/>
    <w:rsid w:val="2B877385"/>
    <w:rsid w:val="2BC145A9"/>
    <w:rsid w:val="2BC87E6A"/>
    <w:rsid w:val="2D2B2AA3"/>
    <w:rsid w:val="2E326D00"/>
    <w:rsid w:val="2E3C6EAB"/>
    <w:rsid w:val="2E932876"/>
    <w:rsid w:val="30D320BD"/>
    <w:rsid w:val="31432160"/>
    <w:rsid w:val="318F66BE"/>
    <w:rsid w:val="3248142F"/>
    <w:rsid w:val="344A3184"/>
    <w:rsid w:val="34644A0D"/>
    <w:rsid w:val="35613C72"/>
    <w:rsid w:val="35A85D44"/>
    <w:rsid w:val="374D781A"/>
    <w:rsid w:val="389D3EE3"/>
    <w:rsid w:val="38A21B1B"/>
    <w:rsid w:val="38C03BB6"/>
    <w:rsid w:val="39684EB4"/>
    <w:rsid w:val="39F710DF"/>
    <w:rsid w:val="3A5E5795"/>
    <w:rsid w:val="3A865B12"/>
    <w:rsid w:val="3B730350"/>
    <w:rsid w:val="3BD038FF"/>
    <w:rsid w:val="3BE40D20"/>
    <w:rsid w:val="3C5C0DD3"/>
    <w:rsid w:val="3C6E4EB1"/>
    <w:rsid w:val="3D706AF4"/>
    <w:rsid w:val="3DA07FC8"/>
    <w:rsid w:val="3DE911DF"/>
    <w:rsid w:val="3F0F6EA6"/>
    <w:rsid w:val="407713A8"/>
    <w:rsid w:val="419D318D"/>
    <w:rsid w:val="42C179DE"/>
    <w:rsid w:val="436B795D"/>
    <w:rsid w:val="43A773DD"/>
    <w:rsid w:val="44BB11B1"/>
    <w:rsid w:val="468C7F0B"/>
    <w:rsid w:val="46CD773D"/>
    <w:rsid w:val="472945F5"/>
    <w:rsid w:val="4739604D"/>
    <w:rsid w:val="47875238"/>
    <w:rsid w:val="478D7E58"/>
    <w:rsid w:val="486B4D70"/>
    <w:rsid w:val="49B05850"/>
    <w:rsid w:val="4C4C5224"/>
    <w:rsid w:val="4C600C9E"/>
    <w:rsid w:val="4CE27CFA"/>
    <w:rsid w:val="4D063CD2"/>
    <w:rsid w:val="4D61270F"/>
    <w:rsid w:val="4DB746E4"/>
    <w:rsid w:val="4E9F73BA"/>
    <w:rsid w:val="4F0427EA"/>
    <w:rsid w:val="4F300272"/>
    <w:rsid w:val="515320B5"/>
    <w:rsid w:val="52057852"/>
    <w:rsid w:val="52E14633"/>
    <w:rsid w:val="53250778"/>
    <w:rsid w:val="53517035"/>
    <w:rsid w:val="53A92998"/>
    <w:rsid w:val="55D45164"/>
    <w:rsid w:val="58216330"/>
    <w:rsid w:val="58E13C08"/>
    <w:rsid w:val="59275A99"/>
    <w:rsid w:val="59DF5FFE"/>
    <w:rsid w:val="5A33357F"/>
    <w:rsid w:val="5B9938B6"/>
    <w:rsid w:val="5D9F4915"/>
    <w:rsid w:val="5E483371"/>
    <w:rsid w:val="5E970568"/>
    <w:rsid w:val="5EC90F8E"/>
    <w:rsid w:val="5EF17D2A"/>
    <w:rsid w:val="5F59471B"/>
    <w:rsid w:val="60A2317A"/>
    <w:rsid w:val="60C31A1F"/>
    <w:rsid w:val="61687E97"/>
    <w:rsid w:val="616D55C9"/>
    <w:rsid w:val="62BB7999"/>
    <w:rsid w:val="644E4B1D"/>
    <w:rsid w:val="646F08D5"/>
    <w:rsid w:val="647B3DBC"/>
    <w:rsid w:val="650E0E71"/>
    <w:rsid w:val="65494613"/>
    <w:rsid w:val="65904792"/>
    <w:rsid w:val="65ED0D46"/>
    <w:rsid w:val="67137BFF"/>
    <w:rsid w:val="673A67EA"/>
    <w:rsid w:val="674D7D2D"/>
    <w:rsid w:val="6845160B"/>
    <w:rsid w:val="68560D10"/>
    <w:rsid w:val="6A0B1E23"/>
    <w:rsid w:val="6A516D7C"/>
    <w:rsid w:val="6AEA5840"/>
    <w:rsid w:val="6B0C2A72"/>
    <w:rsid w:val="6C9D4F37"/>
    <w:rsid w:val="6D1A47AE"/>
    <w:rsid w:val="6D8309B3"/>
    <w:rsid w:val="700D6D99"/>
    <w:rsid w:val="71885FB6"/>
    <w:rsid w:val="725F58BA"/>
    <w:rsid w:val="7262149F"/>
    <w:rsid w:val="727F0905"/>
    <w:rsid w:val="73674120"/>
    <w:rsid w:val="740B5A50"/>
    <w:rsid w:val="740D71D5"/>
    <w:rsid w:val="751D7874"/>
    <w:rsid w:val="75337C73"/>
    <w:rsid w:val="764D2EB1"/>
    <w:rsid w:val="768E4E05"/>
    <w:rsid w:val="77CD748B"/>
    <w:rsid w:val="785F1F2C"/>
    <w:rsid w:val="7A782F9B"/>
    <w:rsid w:val="7ADB1BD4"/>
    <w:rsid w:val="7B1F6DB5"/>
    <w:rsid w:val="7B436AD8"/>
    <w:rsid w:val="7B7F6110"/>
    <w:rsid w:val="7C4B1F1E"/>
    <w:rsid w:val="7D5B3637"/>
    <w:rsid w:val="7D683A3A"/>
    <w:rsid w:val="7D9A4F38"/>
    <w:rsid w:val="7E337317"/>
    <w:rsid w:val="7F7A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4"/>
    <w:basedOn w:val="1"/>
    <w:next w:val="1"/>
    <w:qFormat/>
    <w:uiPriority w:val="0"/>
    <w:pPr>
      <w:widowControl w:val="0"/>
      <w:numPr>
        <w:ilvl w:val="3"/>
        <w:numId w:val="1"/>
      </w:numPr>
      <w:adjustRightInd w:val="0"/>
      <w:snapToGrid w:val="0"/>
      <w:outlineLvl w:val="3"/>
    </w:pPr>
    <w:rPr>
      <w:rFonts w:ascii="宋体" w:hAnsi="宋体"/>
      <w:bCs/>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line="360" w:lineRule="auto"/>
      <w:ind w:firstLine="598"/>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qFormat/>
    <w:uiPriority w:val="0"/>
    <w:pPr>
      <w:widowControl w:val="0"/>
      <w:adjustRightInd w:val="0"/>
      <w:spacing w:line="560" w:lineRule="exact"/>
      <w:ind w:firstLine="624"/>
      <w:textAlignment w:val="baseline"/>
    </w:pPr>
    <w:rPr>
      <w:rFonts w:eastAsia="仿宋_GB2312"/>
      <w:sz w:val="30"/>
    </w:rPr>
  </w:style>
  <w:style w:type="paragraph" w:styleId="8">
    <w:name w:val="annotation text"/>
    <w:basedOn w:val="1"/>
    <w:qFormat/>
    <w:uiPriority w:val="0"/>
    <w:pPr>
      <w:jc w:val="left"/>
    </w:pPr>
  </w:style>
  <w:style w:type="paragraph" w:styleId="9">
    <w:name w:val="Plain Text"/>
    <w:basedOn w:val="1"/>
    <w:link w:val="15"/>
    <w:qFormat/>
    <w:uiPriority w:val="0"/>
    <w:rPr>
      <w:rFonts w:ascii="宋体" w:hAnsi="Courier New"/>
      <w:kern w:val="0"/>
      <w:sz w:val="20"/>
      <w:szCs w:val="20"/>
    </w:rPr>
  </w:style>
  <w:style w:type="paragraph" w:styleId="10">
    <w:name w:val="Normal (Web)"/>
    <w:basedOn w:val="1"/>
    <w:qFormat/>
    <w:uiPriority w:val="0"/>
    <w:rPr>
      <w:rFonts w:ascii="宋体" w:hAnsi="宋体" w:cs="宋体"/>
      <w:sz w:val="24"/>
      <w:szCs w:val="24"/>
    </w:rPr>
  </w:style>
  <w:style w:type="paragraph" w:styleId="11">
    <w:name w:val="Body Text First Indent"/>
    <w:basedOn w:val="2"/>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纯文本 Char"/>
    <w:link w:val="9"/>
    <w:qFormat/>
    <w:uiPriority w:val="0"/>
    <w:rPr>
      <w:rFonts w:ascii="宋体" w:hAnsi="Courier New"/>
      <w:kern w:val="0"/>
      <w:sz w:val="20"/>
      <w:szCs w:val="20"/>
    </w:rPr>
  </w:style>
  <w:style w:type="character" w:customStyle="1" w:styleId="16">
    <w:name w:val="font11"/>
    <w:basedOn w:val="14"/>
    <w:qFormat/>
    <w:uiPriority w:val="0"/>
    <w:rPr>
      <w:rFonts w:hint="eastAsia" w:ascii="宋体" w:hAnsi="宋体" w:eastAsia="宋体" w:cs="宋体"/>
      <w:color w:val="000000"/>
      <w:sz w:val="21"/>
      <w:szCs w:val="21"/>
      <w:u w:val="none"/>
    </w:rPr>
  </w:style>
  <w:style w:type="character" w:customStyle="1" w:styleId="17">
    <w:name w:val="font12"/>
    <w:basedOn w:val="14"/>
    <w:qFormat/>
    <w:uiPriority w:val="0"/>
    <w:rPr>
      <w:rFonts w:hint="eastAsia" w:ascii="宋体" w:hAnsi="宋体" w:eastAsia="宋体" w:cs="宋体"/>
      <w:color w:val="000000"/>
      <w:sz w:val="21"/>
      <w:szCs w:val="21"/>
      <w:u w:val="none"/>
    </w:rPr>
  </w:style>
  <w:style w:type="character" w:customStyle="1" w:styleId="18">
    <w:name w:val="font61"/>
    <w:basedOn w:val="14"/>
    <w:qFormat/>
    <w:uiPriority w:val="0"/>
    <w:rPr>
      <w:rFonts w:hint="eastAsia" w:ascii="宋体" w:hAnsi="宋体" w:eastAsia="宋体" w:cs="宋体"/>
      <w:color w:val="000000"/>
      <w:sz w:val="21"/>
      <w:szCs w:val="21"/>
      <w:u w:val="none"/>
    </w:rPr>
  </w:style>
  <w:style w:type="character" w:customStyle="1" w:styleId="19">
    <w:name w:val="font51"/>
    <w:basedOn w:val="14"/>
    <w:qFormat/>
    <w:uiPriority w:val="0"/>
    <w:rPr>
      <w:rFonts w:ascii="Calibri" w:hAnsi="Calibri" w:cs="Calibri"/>
      <w:color w:val="000000"/>
      <w:sz w:val="21"/>
      <w:szCs w:val="21"/>
      <w:u w:val="none"/>
    </w:rPr>
  </w:style>
  <w:style w:type="character" w:customStyle="1" w:styleId="20">
    <w:name w:val="font122"/>
    <w:basedOn w:val="14"/>
    <w:qFormat/>
    <w:uiPriority w:val="0"/>
    <w:rPr>
      <w:rFonts w:hint="eastAsia" w:ascii="宋体" w:hAnsi="宋体" w:eastAsia="宋体" w:cs="宋体"/>
      <w:color w:val="000000"/>
      <w:sz w:val="24"/>
      <w:szCs w:val="24"/>
      <w:u w:val="none"/>
      <w:vertAlign w:val="subscript"/>
    </w:rPr>
  </w:style>
  <w:style w:type="character" w:customStyle="1" w:styleId="21">
    <w:name w:val="font31"/>
    <w:basedOn w:val="14"/>
    <w:qFormat/>
    <w:uiPriority w:val="0"/>
    <w:rPr>
      <w:rFonts w:hint="eastAsia" w:ascii="宋体" w:hAnsi="宋体" w:eastAsia="宋体" w:cs="宋体"/>
      <w:color w:val="000000"/>
      <w:sz w:val="24"/>
      <w:szCs w:val="24"/>
      <w:u w:val="none"/>
    </w:rPr>
  </w:style>
  <w:style w:type="character" w:customStyle="1" w:styleId="22">
    <w:name w:val="font71"/>
    <w:basedOn w:val="14"/>
    <w:qFormat/>
    <w:uiPriority w:val="0"/>
    <w:rPr>
      <w:rFonts w:hint="eastAsia" w:ascii="宋体" w:hAnsi="宋体" w:eastAsia="宋体" w:cs="宋体"/>
      <w:color w:val="000000"/>
      <w:sz w:val="21"/>
      <w:szCs w:val="2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2018</Words>
  <Characters>2124</Characters>
  <Lines>0</Lines>
  <Paragraphs>0</Paragraphs>
  <TotalTime>28</TotalTime>
  <ScaleCrop>false</ScaleCrop>
  <LinksUpToDate>false</LinksUpToDate>
  <CharactersWithSpaces>2145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杨莉</cp:lastModifiedBy>
  <dcterms:modified xsi:type="dcterms:W3CDTF">2025-12-30T06:45:43Z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293127FA19F54484A3FE479430AC65D1</vt:lpwstr>
  </property>
  <property fmtid="{D5CDD505-2E9C-101B-9397-08002B2CF9AE}" pid="4" name="KSOTemplateDocerSaveRecord">
    <vt:lpwstr>eyJoZGlkIjoiMTU4ZDFjNTliNmY5NmQ4NzhiODgxZjdiNmExNDg4YTkiLCJ1c2VySWQiOiI0NDYzOTE3ODIifQ==</vt:lpwstr>
  </property>
</Properties>
</file>