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bCs/>
          <w:snapToGrid w:val="0"/>
          <w:color w:val="auto"/>
          <w:kern w:val="0"/>
          <w:sz w:val="32"/>
          <w:szCs w:val="32"/>
          <w:highlight w:val="none"/>
          <w:u w:val="none"/>
          <w:lang w:val="en-US" w:eastAsia="zh-CN"/>
        </w:rPr>
      </w:pPr>
      <w:r>
        <w:rPr>
          <w:rFonts w:hint="eastAsia" w:ascii="宋体" w:hAnsi="宋体" w:cs="宋体"/>
          <w:b/>
          <w:bCs/>
          <w:snapToGrid w:val="0"/>
          <w:color w:val="auto"/>
          <w:kern w:val="0"/>
          <w:sz w:val="32"/>
          <w:szCs w:val="32"/>
          <w:highlight w:val="none"/>
          <w:u w:val="none"/>
          <w:lang w:val="en-US" w:eastAsia="zh-CN"/>
        </w:rPr>
        <w:t>标的7</w:t>
      </w:r>
    </w:p>
    <w:p>
      <w:pPr>
        <w:pStyle w:val="7"/>
        <w:keepNext w:val="0"/>
        <w:keepLines w:val="0"/>
        <w:pageBreakBefore w:val="0"/>
        <w:shd w:val="clear" w:color="auto" w:fill="auto"/>
        <w:kinsoku/>
        <w:wordWrap/>
        <w:overflowPunct/>
        <w:topLinePunct w:val="0"/>
        <w:bidi w:val="0"/>
        <w:adjustRightInd w:val="0"/>
        <w:snapToGrid w:val="0"/>
        <w:spacing w:line="360" w:lineRule="auto"/>
        <w:jc w:val="both"/>
        <w:textAlignment w:val="auto"/>
        <w:outlineLvl w:val="0"/>
        <w:rPr>
          <w:rFonts w:hint="eastAsia" w:ascii="宋体" w:hAnsi="宋体" w:eastAsia="宋体" w:cs="宋体"/>
          <w:b/>
          <w:bCs/>
          <w:color w:val="auto"/>
          <w:sz w:val="28"/>
          <w:szCs w:val="28"/>
          <w:highlight w:val="none"/>
          <w:u w:val="none"/>
          <w:lang w:val="en-US" w:eastAsia="zh-CN"/>
        </w:rPr>
      </w:pPr>
      <w:r>
        <w:rPr>
          <w:rFonts w:hint="eastAsia" w:ascii="宋体" w:hAnsi="宋体" w:eastAsia="宋体" w:cs="宋体"/>
          <w:b/>
          <w:bCs/>
          <w:color w:val="auto"/>
          <w:sz w:val="28"/>
          <w:szCs w:val="28"/>
          <w:highlight w:val="none"/>
          <w:u w:val="none"/>
          <w:lang w:val="en-US" w:eastAsia="zh-CN"/>
        </w:rPr>
        <w:t>项目名称</w:t>
      </w:r>
      <w:r>
        <w:rPr>
          <w:rFonts w:hint="eastAsia" w:hAnsi="宋体" w:cs="宋体"/>
          <w:b/>
          <w:bCs/>
          <w:color w:val="auto"/>
          <w:sz w:val="28"/>
          <w:szCs w:val="28"/>
          <w:highlight w:val="none"/>
          <w:u w:val="none"/>
          <w:lang w:val="en-US" w:eastAsia="zh-CN"/>
        </w:rPr>
        <w:t>：</w:t>
      </w:r>
      <w:r>
        <w:rPr>
          <w:rFonts w:hint="eastAsia" w:ascii="宋体" w:hAnsi="宋体" w:eastAsia="宋体" w:cs="宋体"/>
          <w:b/>
          <w:bCs/>
          <w:color w:val="auto"/>
          <w:sz w:val="28"/>
          <w:szCs w:val="28"/>
          <w:highlight w:val="none"/>
          <w:u w:val="none"/>
          <w:lang w:val="en-US" w:eastAsia="zh-CN"/>
        </w:rPr>
        <w:t>重庆-贵州电力灵活互济工程（贵州段交流工程）施工</w:t>
      </w:r>
    </w:p>
    <w:tbl>
      <w:tblPr>
        <w:tblStyle w:val="14"/>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3010"/>
        <w:gridCol w:w="4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exact"/>
          <w:jc w:val="center"/>
        </w:trPr>
        <w:tc>
          <w:tcPr>
            <w:tcW w:w="836"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snapToGrid w:val="0"/>
                <w:color w:val="auto"/>
                <w:sz w:val="24"/>
                <w:szCs w:val="24"/>
                <w:highlight w:val="none"/>
                <w:u w:val="none"/>
              </w:rPr>
              <w:t>序号</w:t>
            </w:r>
          </w:p>
        </w:tc>
        <w:tc>
          <w:tcPr>
            <w:tcW w:w="3010"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snapToGrid w:val="0"/>
                <w:color w:val="auto"/>
                <w:sz w:val="24"/>
                <w:szCs w:val="24"/>
                <w:highlight w:val="none"/>
                <w:u w:val="none"/>
              </w:rPr>
              <w:t>文件名称</w:t>
            </w:r>
          </w:p>
        </w:tc>
        <w:tc>
          <w:tcPr>
            <w:tcW w:w="4673"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snapToGrid w:val="0"/>
                <w:color w:val="auto"/>
                <w:sz w:val="24"/>
                <w:szCs w:val="24"/>
                <w:highlight w:val="none"/>
                <w:u w:val="none"/>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exact"/>
          <w:jc w:val="center"/>
        </w:trPr>
        <w:tc>
          <w:tcPr>
            <w:tcW w:w="836"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snapToGrid w:val="0"/>
                <w:color w:val="auto"/>
                <w:sz w:val="24"/>
                <w:szCs w:val="24"/>
                <w:highlight w:val="none"/>
                <w:u w:val="none"/>
              </w:rPr>
              <w:t>1</w:t>
            </w:r>
          </w:p>
        </w:tc>
        <w:tc>
          <w:tcPr>
            <w:tcW w:w="3010"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color w:val="auto"/>
                <w:sz w:val="21"/>
                <w:szCs w:val="21"/>
                <w:highlight w:val="none"/>
                <w:u w:val="none"/>
              </w:rPr>
              <w:t>可研批复文号</w:t>
            </w:r>
          </w:p>
        </w:tc>
        <w:tc>
          <w:tcPr>
            <w:tcW w:w="4673"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电规电网〔2025〕1467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jc w:val="center"/>
        </w:trPr>
        <w:tc>
          <w:tcPr>
            <w:tcW w:w="836"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snapToGrid w:val="0"/>
                <w:color w:val="auto"/>
                <w:sz w:val="24"/>
                <w:szCs w:val="24"/>
                <w:highlight w:val="none"/>
                <w:u w:val="none"/>
              </w:rPr>
              <w:t>2</w:t>
            </w:r>
          </w:p>
        </w:tc>
        <w:tc>
          <w:tcPr>
            <w:tcW w:w="3010"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color w:val="auto"/>
                <w:sz w:val="21"/>
                <w:szCs w:val="21"/>
                <w:highlight w:val="none"/>
                <w:u w:val="none"/>
              </w:rPr>
              <w:t>项目备案文号</w:t>
            </w:r>
          </w:p>
        </w:tc>
        <w:tc>
          <w:tcPr>
            <w:tcW w:w="4673"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hAnsi="宋体" w:cs="宋体"/>
                <w:color w:val="auto"/>
                <w:sz w:val="21"/>
                <w:szCs w:val="21"/>
                <w:highlight w:val="none"/>
                <w:lang w:val="en-US" w:eastAsia="zh-CN"/>
              </w:rPr>
            </w:pPr>
            <w:r>
              <w:rPr>
                <w:rFonts w:hint="eastAsia" w:ascii="宋体" w:hAnsi="宋体" w:eastAsia="宋体" w:cs="宋体"/>
                <w:i w:val="0"/>
                <w:color w:val="000000"/>
                <w:kern w:val="0"/>
                <w:sz w:val="21"/>
                <w:szCs w:val="21"/>
                <w:highlight w:val="none"/>
                <w:u w:val="none"/>
                <w:lang w:val="en-US" w:eastAsia="zh-CN" w:bidi="ar"/>
              </w:rPr>
              <w:t>发改能源〔2025〕1455号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36"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val="en-US" w:eastAsia="zh-CN"/>
              </w:rPr>
            </w:pPr>
            <w:r>
              <w:rPr>
                <w:rFonts w:hint="eastAsia" w:ascii="宋体" w:hAnsi="宋体" w:eastAsia="宋体" w:cs="宋体"/>
                <w:b/>
                <w:bCs/>
                <w:snapToGrid w:val="0"/>
                <w:color w:val="auto"/>
                <w:sz w:val="24"/>
                <w:szCs w:val="24"/>
                <w:highlight w:val="none"/>
                <w:u w:val="none"/>
                <w:lang w:val="en-US" w:eastAsia="zh-CN"/>
              </w:rPr>
              <w:t>3</w:t>
            </w:r>
          </w:p>
        </w:tc>
        <w:tc>
          <w:tcPr>
            <w:tcW w:w="3010"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vertAlign w:val="baseline"/>
                <w:lang w:val="en-US" w:eastAsia="zh-CN"/>
              </w:rPr>
              <w:t>初设批复文号</w:t>
            </w:r>
          </w:p>
        </w:tc>
        <w:tc>
          <w:tcPr>
            <w:tcW w:w="4673"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南方电网工程(2025〕15号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exact"/>
          <w:jc w:val="center"/>
        </w:trPr>
        <w:tc>
          <w:tcPr>
            <w:tcW w:w="836"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eastAsia="zh-CN"/>
              </w:rPr>
            </w:pPr>
            <w:r>
              <w:rPr>
                <w:rFonts w:hint="eastAsia" w:ascii="宋体" w:hAnsi="宋体" w:eastAsia="宋体" w:cs="宋体"/>
                <w:b/>
                <w:bCs/>
                <w:snapToGrid w:val="0"/>
                <w:color w:val="auto"/>
                <w:sz w:val="24"/>
                <w:szCs w:val="24"/>
                <w:highlight w:val="none"/>
                <w:u w:val="none"/>
                <w:lang w:val="en-US" w:eastAsia="zh-CN"/>
              </w:rPr>
              <w:t>4</w:t>
            </w:r>
          </w:p>
        </w:tc>
        <w:tc>
          <w:tcPr>
            <w:tcW w:w="3010"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color w:val="auto"/>
                <w:sz w:val="21"/>
                <w:szCs w:val="21"/>
                <w:highlight w:val="none"/>
                <w:u w:val="none"/>
              </w:rPr>
              <w:t>资金落实情况</w:t>
            </w:r>
          </w:p>
        </w:tc>
        <w:tc>
          <w:tcPr>
            <w:tcW w:w="4673"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黔电计财〔2025〕69号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exact"/>
          <w:jc w:val="center"/>
        </w:trPr>
        <w:tc>
          <w:tcPr>
            <w:tcW w:w="836"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5</w:t>
            </w:r>
          </w:p>
        </w:tc>
        <w:tc>
          <w:tcPr>
            <w:tcW w:w="3010" w:type="dxa"/>
            <w:vAlign w:val="center"/>
          </w:tcPr>
          <w:p>
            <w:pPr>
              <w:pStyle w:val="7"/>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vertAlign w:val="baseline"/>
                <w:lang w:val="en-US" w:eastAsia="zh-CN"/>
              </w:rPr>
              <w:t>施工图预算批复文号</w:t>
            </w:r>
          </w:p>
        </w:tc>
        <w:tc>
          <w:tcPr>
            <w:tcW w:w="4673" w:type="dxa"/>
            <w:vAlign w:val="center"/>
          </w:tcPr>
          <w:p>
            <w:pPr>
              <w:pStyle w:val="7"/>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exact"/>
          <w:jc w:val="center"/>
        </w:trPr>
        <w:tc>
          <w:tcPr>
            <w:tcW w:w="836"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eastAsia="zh-CN"/>
              </w:rPr>
            </w:pPr>
            <w:r>
              <w:rPr>
                <w:rFonts w:hint="eastAsia" w:ascii="宋体" w:hAnsi="宋体" w:eastAsia="宋体" w:cs="宋体"/>
                <w:b/>
                <w:bCs/>
                <w:snapToGrid w:val="0"/>
                <w:color w:val="auto"/>
                <w:sz w:val="24"/>
                <w:szCs w:val="24"/>
                <w:highlight w:val="none"/>
                <w:u w:val="none"/>
                <w:lang w:val="en-US" w:eastAsia="zh-CN"/>
              </w:rPr>
              <w:t>6</w:t>
            </w:r>
          </w:p>
        </w:tc>
        <w:tc>
          <w:tcPr>
            <w:tcW w:w="3010"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rPr>
              <w:t>项目建设单位</w:t>
            </w:r>
          </w:p>
        </w:tc>
        <w:tc>
          <w:tcPr>
            <w:tcW w:w="4673"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贵州电网有限责任公司建设分公司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exact"/>
          <w:jc w:val="center"/>
        </w:trPr>
        <w:tc>
          <w:tcPr>
            <w:tcW w:w="836"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eastAsia="zh-CN"/>
              </w:rPr>
            </w:pPr>
            <w:r>
              <w:rPr>
                <w:rFonts w:hint="eastAsia" w:ascii="宋体" w:hAnsi="宋体" w:eastAsia="宋体" w:cs="宋体"/>
                <w:b/>
                <w:bCs/>
                <w:snapToGrid w:val="0"/>
                <w:color w:val="auto"/>
                <w:sz w:val="24"/>
                <w:szCs w:val="24"/>
                <w:highlight w:val="none"/>
                <w:u w:val="none"/>
                <w:lang w:val="en-US" w:eastAsia="zh-CN"/>
              </w:rPr>
              <w:t>7</w:t>
            </w:r>
          </w:p>
        </w:tc>
        <w:tc>
          <w:tcPr>
            <w:tcW w:w="3010"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rPr>
              <w:t>项目建设地点</w:t>
            </w:r>
          </w:p>
        </w:tc>
        <w:tc>
          <w:tcPr>
            <w:tcW w:w="4673"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贵州</w:t>
            </w:r>
            <w:r>
              <w:rPr>
                <w:rFonts w:hint="eastAsia" w:ascii="宋体" w:hAnsi="宋体" w:eastAsia="宋体" w:cs="宋体"/>
                <w:color w:val="auto"/>
                <w:sz w:val="21"/>
                <w:szCs w:val="21"/>
                <w:highlight w:val="none"/>
                <w:lang w:val="en-US" w:eastAsia="zh-CN"/>
              </w:rPr>
              <w:t>省</w:t>
            </w:r>
            <w:r>
              <w:rPr>
                <w:rFonts w:hint="eastAsia" w:hAnsi="宋体" w:cs="宋体"/>
                <w:color w:val="auto"/>
                <w:sz w:val="21"/>
                <w:szCs w:val="21"/>
                <w:highlight w:val="none"/>
                <w:lang w:val="en-US" w:eastAsia="zh-CN"/>
              </w:rPr>
              <w:t>遵义市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5" w:hRule="atLeast"/>
          <w:jc w:val="center"/>
        </w:trPr>
        <w:tc>
          <w:tcPr>
            <w:tcW w:w="836"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val="en-US" w:eastAsia="zh-CN"/>
              </w:rPr>
            </w:pPr>
            <w:r>
              <w:rPr>
                <w:rFonts w:hint="eastAsia" w:ascii="宋体" w:hAnsi="宋体" w:eastAsia="宋体" w:cs="宋体"/>
                <w:b/>
                <w:bCs/>
                <w:snapToGrid w:val="0"/>
                <w:color w:val="auto"/>
                <w:sz w:val="24"/>
                <w:szCs w:val="24"/>
                <w:highlight w:val="none"/>
                <w:u w:val="none"/>
                <w:lang w:val="en-US" w:eastAsia="zh-CN"/>
              </w:rPr>
              <w:t>8</w:t>
            </w:r>
          </w:p>
        </w:tc>
        <w:tc>
          <w:tcPr>
            <w:tcW w:w="3010"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vertAlign w:val="baseline"/>
                <w:lang w:val="en-US" w:eastAsia="zh-CN"/>
              </w:rPr>
              <w:t>前期的设计或咨询服务单位名称</w:t>
            </w:r>
          </w:p>
        </w:tc>
        <w:tc>
          <w:tcPr>
            <w:tcW w:w="4673"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可研、</w:t>
            </w:r>
            <w:r>
              <w:rPr>
                <w:rFonts w:hint="eastAsia" w:ascii="宋体" w:hAnsi="宋体" w:eastAsia="宋体" w:cs="宋体"/>
                <w:b/>
                <w:bCs/>
                <w:color w:val="auto"/>
                <w:sz w:val="21"/>
                <w:szCs w:val="21"/>
                <w:highlight w:val="none"/>
                <w:lang w:eastAsia="zh-CN"/>
              </w:rPr>
              <w:t>勘察</w:t>
            </w:r>
            <w:r>
              <w:rPr>
                <w:rFonts w:hint="eastAsia" w:ascii="宋体" w:hAnsi="宋体" w:eastAsia="宋体" w:cs="宋体"/>
                <w:b/>
                <w:bCs/>
                <w:color w:val="auto"/>
                <w:sz w:val="21"/>
                <w:szCs w:val="21"/>
                <w:highlight w:val="none"/>
              </w:rPr>
              <w:t>设计单位</w:t>
            </w:r>
            <w:r>
              <w:rPr>
                <w:rFonts w:hint="eastAsia" w:ascii="宋体" w:hAnsi="宋体" w:eastAsia="宋体" w:cs="宋体"/>
                <w:color w:val="auto"/>
                <w:sz w:val="21"/>
                <w:szCs w:val="21"/>
                <w:highlight w:val="none"/>
              </w:rPr>
              <w:t>：</w:t>
            </w:r>
          </w:p>
          <w:p>
            <w:pPr>
              <w:pStyle w:val="7"/>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hAnsi="宋体" w:cs="宋体"/>
                <w:color w:val="auto"/>
                <w:sz w:val="21"/>
                <w:szCs w:val="21"/>
                <w:highlight w:val="none"/>
                <w:lang w:eastAsia="zh-CN"/>
              </w:rPr>
            </w:pPr>
            <w:r>
              <w:rPr>
                <w:rFonts w:hint="eastAsia" w:hAnsi="宋体" w:cs="宋体"/>
                <w:color w:val="auto"/>
                <w:sz w:val="21"/>
                <w:szCs w:val="21"/>
                <w:highlight w:val="none"/>
                <w:lang w:eastAsia="zh-CN"/>
              </w:rPr>
              <w:t>中国电建集团贵州电力设计研究院有限公司</w:t>
            </w:r>
          </w:p>
          <w:p>
            <w:pPr>
              <w:pStyle w:val="7"/>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设计评审单位</w:t>
            </w:r>
            <w:r>
              <w:rPr>
                <w:rFonts w:hint="eastAsia" w:ascii="宋体" w:hAnsi="宋体" w:eastAsia="宋体" w:cs="宋体"/>
                <w:color w:val="auto"/>
                <w:sz w:val="21"/>
                <w:szCs w:val="21"/>
                <w:highlight w:val="none"/>
              </w:rPr>
              <w:t>：</w:t>
            </w:r>
          </w:p>
          <w:p>
            <w:pPr>
              <w:keepNext w:val="0"/>
              <w:keepLines w:val="0"/>
              <w:widowControl/>
              <w:suppressLineNumbers w:val="0"/>
              <w:jc w:val="left"/>
              <w:rPr>
                <w:rFonts w:hint="eastAsia" w:hAnsi="宋体" w:cs="宋体"/>
                <w:sz w:val="21"/>
                <w:szCs w:val="21"/>
                <w:highlight w:val="none"/>
                <w:lang w:val="en-US" w:eastAsia="zh-CN"/>
              </w:rPr>
            </w:pPr>
            <w:r>
              <w:rPr>
                <w:rFonts w:hint="eastAsia" w:ascii="宋体" w:hAnsi="宋体" w:eastAsia="宋体" w:cs="宋体"/>
                <w:kern w:val="0"/>
                <w:sz w:val="21"/>
                <w:szCs w:val="21"/>
                <w:highlight w:val="none"/>
                <w:lang w:val="en-US" w:eastAsia="zh-CN" w:bidi="ar-SA"/>
              </w:rPr>
              <w:t>电力规划设计总院</w:t>
            </w:r>
            <w:r>
              <w:rPr>
                <w:rFonts w:hint="eastAsia" w:ascii="宋体" w:hAnsi="宋体" w:cs="宋体"/>
                <w:kern w:val="0"/>
                <w:sz w:val="21"/>
                <w:szCs w:val="21"/>
                <w:highlight w:val="none"/>
                <w:lang w:val="en-US" w:eastAsia="zh-CN" w:bidi="ar-SA"/>
              </w:rPr>
              <w:t>（</w:t>
            </w:r>
            <w:r>
              <w:rPr>
                <w:rFonts w:hint="eastAsia" w:ascii="宋体" w:hAnsi="宋体" w:eastAsia="宋体" w:cs="宋体"/>
                <w:kern w:val="0"/>
                <w:sz w:val="21"/>
                <w:szCs w:val="21"/>
                <w:highlight w:val="none"/>
                <w:lang w:val="en-US" w:eastAsia="zh-CN" w:bidi="ar-SA"/>
              </w:rPr>
              <w:t>电力规划总院有限公司</w:t>
            </w:r>
            <w:r>
              <w:rPr>
                <w:rFonts w:hint="eastAsia" w:ascii="宋体" w:hAnsi="宋体" w:cs="宋体"/>
                <w:kern w:val="0"/>
                <w:sz w:val="21"/>
                <w:szCs w:val="21"/>
                <w:highlight w:val="none"/>
                <w:lang w:val="en-US" w:eastAsia="zh-CN" w:bidi="ar-SA"/>
              </w:rPr>
              <w:t>）</w:t>
            </w:r>
          </w:p>
          <w:p>
            <w:pPr>
              <w:pStyle w:val="7"/>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工程检测咨询单位</w:t>
            </w:r>
            <w:r>
              <w:rPr>
                <w:rFonts w:hint="eastAsia" w:ascii="宋体" w:hAnsi="宋体" w:eastAsia="宋体" w:cs="宋体"/>
                <w:color w:val="auto"/>
                <w:sz w:val="21"/>
                <w:szCs w:val="21"/>
                <w:highlight w:val="none"/>
              </w:rPr>
              <w:t>：</w:t>
            </w:r>
          </w:p>
          <w:p>
            <w:pPr>
              <w:pStyle w:val="7"/>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宋体" w:hAnsi="宋体" w:eastAsia="宋体" w:cs="宋体"/>
                <w:color w:val="auto"/>
                <w:sz w:val="21"/>
                <w:szCs w:val="21"/>
                <w:highlight w:val="none"/>
                <w:lang w:val="en-US"/>
              </w:rPr>
            </w:pPr>
            <w:r>
              <w:rPr>
                <w:rFonts w:hint="eastAsia" w:ascii="宋体" w:hAnsi="宋体" w:eastAsia="宋体" w:cs="宋体"/>
                <w:sz w:val="21"/>
                <w:szCs w:val="21"/>
                <w:highlight w:val="none"/>
                <w:lang w:eastAsia="zh-CN"/>
              </w:rPr>
              <w:t>贵州卓诚工程质量检测有限公司、四川华航科技有限公司、广东粤电科试验检测技术有限公司</w:t>
            </w:r>
            <w:r>
              <w:rPr>
                <w:rFonts w:hint="eastAsia" w:hAnsi="宋体" w:cs="宋体"/>
                <w:sz w:val="21"/>
                <w:szCs w:val="21"/>
                <w:highlight w:val="none"/>
                <w:lang w:eastAsia="zh-CN"/>
              </w:rPr>
              <w:t>、</w:t>
            </w:r>
            <w:r>
              <w:rPr>
                <w:rFonts w:hint="eastAsia" w:hAnsi="宋体" w:cs="宋体"/>
                <w:sz w:val="21"/>
                <w:szCs w:val="21"/>
                <w:highlight w:val="none"/>
                <w:lang w:val="en-US" w:eastAsia="zh-CN"/>
              </w:rPr>
              <w:t>长春市博鸿科技服务有限责任公司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836"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val="en-US" w:eastAsia="zh-CN"/>
              </w:rPr>
            </w:pPr>
            <w:r>
              <w:rPr>
                <w:rFonts w:hint="eastAsia" w:ascii="宋体" w:hAnsi="宋体" w:eastAsia="宋体" w:cs="宋体"/>
                <w:b/>
                <w:bCs/>
                <w:snapToGrid w:val="0"/>
                <w:color w:val="auto"/>
                <w:sz w:val="24"/>
                <w:szCs w:val="24"/>
                <w:highlight w:val="none"/>
                <w:u w:val="none"/>
                <w:lang w:val="en-US" w:eastAsia="zh-CN"/>
              </w:rPr>
              <w:t>9</w:t>
            </w:r>
          </w:p>
        </w:tc>
        <w:tc>
          <w:tcPr>
            <w:tcW w:w="3010"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1"/>
                <w:szCs w:val="21"/>
                <w:highlight w:val="none"/>
                <w:u w:val="none"/>
                <w:vertAlign w:val="baseline"/>
                <w:lang w:val="en-US" w:eastAsia="zh-CN"/>
              </w:rPr>
            </w:pPr>
            <w:r>
              <w:rPr>
                <w:rFonts w:hint="eastAsia" w:ascii="宋体" w:hAnsi="宋体" w:eastAsia="宋体" w:cs="宋体"/>
                <w:b/>
                <w:bCs/>
                <w:color w:val="auto"/>
                <w:sz w:val="21"/>
                <w:szCs w:val="21"/>
                <w:highlight w:val="none"/>
                <w:u w:val="none"/>
                <w:vertAlign w:val="baseline"/>
                <w:lang w:val="en-US" w:eastAsia="zh-CN"/>
              </w:rPr>
              <w:t>监理单位</w:t>
            </w:r>
          </w:p>
        </w:tc>
        <w:tc>
          <w:tcPr>
            <w:tcW w:w="4673" w:type="dxa"/>
            <w:vAlign w:val="center"/>
          </w:tcPr>
          <w:p>
            <w:pPr>
              <w:pStyle w:val="7"/>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待招标</w:t>
            </w:r>
          </w:p>
        </w:tc>
      </w:tr>
    </w:tbl>
    <w:p>
      <w:pPr>
        <w:numPr>
          <w:ilvl w:val="0"/>
          <w:numId w:val="0"/>
        </w:numPr>
        <w:spacing w:line="600" w:lineRule="exact"/>
        <w:ind w:left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一、</w:t>
      </w:r>
      <w:r>
        <w:rPr>
          <w:rFonts w:hint="eastAsia" w:hAnsi="宋体" w:eastAsia="宋体" w:cs="宋体"/>
          <w:b/>
          <w:color w:val="auto"/>
          <w:sz w:val="24"/>
          <w:szCs w:val="24"/>
          <w:highlight w:val="none"/>
          <w:lang w:val="en-US" w:eastAsia="zh-CN"/>
        </w:rPr>
        <w:t>建设规模</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（一）重庆-贵州电力灵活互济工程（贵州段交流工程）施工</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11" w:firstLineChars="100"/>
        <w:textAlignment w:val="auto"/>
        <w:outlineLvl w:val="9"/>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1、换流站～红城变 500kV 线路工程（贵州段）</w:t>
      </w:r>
    </w:p>
    <w:p>
      <w:pPr>
        <w:spacing w:line="360" w:lineRule="auto"/>
        <w:ind w:firstLine="420" w:firstLineChars="200"/>
        <w:rPr>
          <w:rFonts w:hint="default" w:ascii="宋体" w:hAnsi="宋体" w:eastAsia="宋体" w:cs="宋体"/>
          <w:b w:val="0"/>
          <w:bCs/>
          <w:color w:val="auto"/>
          <w:kern w:val="2"/>
          <w:sz w:val="21"/>
          <w:szCs w:val="21"/>
          <w:highlight w:val="none"/>
          <w:lang w:val="en-US" w:eastAsia="zh-CN" w:bidi="ar-SA"/>
        </w:rPr>
      </w:pPr>
      <w:r>
        <w:rPr>
          <w:rFonts w:hint="default" w:ascii="宋体" w:hAnsi="宋体" w:eastAsia="宋体" w:cs="宋体"/>
          <w:b w:val="0"/>
          <w:bCs/>
          <w:color w:val="auto"/>
          <w:kern w:val="2"/>
          <w:sz w:val="21"/>
          <w:szCs w:val="21"/>
          <w:highlight w:val="none"/>
          <w:lang w:val="en-US" w:eastAsia="zh-CN" w:bidi="ar-SA"/>
        </w:rPr>
        <w:t>新建换流站～红城Ⅰ、Ⅱ回 500kV 线路（贵州段），新建线路长度 2×72.3km，其中 2×56.7km 按同塔双回路架设，2×15.6km 按两个单回路架设，导线截面采用 4×630mm2，导线最高允许温度按 80℃设计。</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211" w:firstLineChars="100"/>
        <w:textAlignment w:val="auto"/>
        <w:outlineLvl w:val="9"/>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2、红城500kV变电站扩建工程</w:t>
      </w:r>
    </w:p>
    <w:p>
      <w:pPr>
        <w:spacing w:line="360" w:lineRule="auto"/>
        <w:ind w:firstLine="420" w:firstLineChars="200"/>
        <w:rPr>
          <w:rFonts w:hint="default" w:ascii="宋体" w:hAnsi="宋体" w:eastAsia="宋体" w:cs="宋体"/>
          <w:b w:val="0"/>
          <w:bCs/>
          <w:color w:val="auto"/>
          <w:kern w:val="2"/>
          <w:sz w:val="21"/>
          <w:szCs w:val="21"/>
          <w:highlight w:val="none"/>
          <w:lang w:val="en-US" w:eastAsia="zh-CN" w:bidi="ar-SA"/>
        </w:rPr>
      </w:pPr>
      <w:r>
        <w:rPr>
          <w:rFonts w:hint="default" w:ascii="宋体" w:hAnsi="宋体" w:eastAsia="宋体" w:cs="宋体"/>
          <w:b w:val="0"/>
          <w:bCs/>
          <w:color w:val="auto"/>
          <w:kern w:val="2"/>
          <w:sz w:val="21"/>
          <w:szCs w:val="21"/>
          <w:highlight w:val="none"/>
          <w:lang w:val="en-US" w:eastAsia="zh-CN" w:bidi="ar-SA"/>
        </w:rPr>
        <w:t>本期扩建2个500kV出线间隔至换流站，扩建1个500kV出线间隔至金海湖变。</w:t>
      </w:r>
    </w:p>
    <w:p>
      <w:pPr>
        <w:spacing w:line="360" w:lineRule="auto"/>
        <w:ind w:firstLine="420" w:firstLineChars="200"/>
        <w:rPr>
          <w:rFonts w:hint="default" w:ascii="宋体" w:hAnsi="宋体" w:eastAsia="宋体" w:cs="宋体"/>
          <w:b w:val="0"/>
          <w:bCs/>
          <w:color w:val="auto"/>
          <w:kern w:val="2"/>
          <w:sz w:val="21"/>
          <w:szCs w:val="21"/>
          <w:highlight w:val="none"/>
          <w:lang w:val="en-US" w:eastAsia="zh-CN" w:bidi="ar-SA"/>
        </w:rPr>
      </w:pPr>
      <w:r>
        <w:rPr>
          <w:rFonts w:hint="default" w:ascii="宋体" w:hAnsi="宋体" w:eastAsia="宋体" w:cs="宋体"/>
          <w:b w:val="0"/>
          <w:bCs/>
          <w:color w:val="auto"/>
          <w:kern w:val="2"/>
          <w:sz w:val="21"/>
          <w:szCs w:val="21"/>
          <w:highlight w:val="none"/>
          <w:lang w:val="en-US" w:eastAsia="zh-CN" w:bidi="ar-SA"/>
        </w:rPr>
        <w:t xml:space="preserve">本期在主变低压侧装设2组 60Mvar 低压电抗器。 </w:t>
      </w:r>
    </w:p>
    <w:p>
      <w:pPr>
        <w:spacing w:line="360" w:lineRule="auto"/>
        <w:ind w:firstLine="420" w:firstLineChars="200"/>
        <w:rPr>
          <w:rFonts w:hint="default" w:ascii="宋体" w:hAnsi="宋体" w:eastAsia="宋体" w:cs="宋体"/>
          <w:b w:val="0"/>
          <w:bCs/>
          <w:color w:val="auto"/>
          <w:kern w:val="2"/>
          <w:sz w:val="21"/>
          <w:szCs w:val="21"/>
          <w:highlight w:val="none"/>
          <w:lang w:val="en-US" w:eastAsia="zh-CN" w:bidi="ar-SA"/>
        </w:rPr>
      </w:pPr>
      <w:r>
        <w:rPr>
          <w:rFonts w:hint="default" w:ascii="宋体" w:hAnsi="宋体" w:eastAsia="宋体" w:cs="宋体"/>
          <w:b w:val="0"/>
          <w:bCs/>
          <w:color w:val="auto"/>
          <w:kern w:val="2"/>
          <w:sz w:val="21"/>
          <w:szCs w:val="21"/>
          <w:highlight w:val="none"/>
          <w:lang w:val="en-US" w:eastAsia="zh-CN" w:bidi="ar-SA"/>
        </w:rPr>
        <w:t>本期新增500kV电气设备短路电流水平按63kA考虑。</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二、采购范围</w:t>
      </w:r>
    </w:p>
    <w:p>
      <w:pPr>
        <w:pStyle w:val="2"/>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color w:val="auto"/>
          <w:kern w:val="0"/>
          <w:sz w:val="21"/>
          <w:szCs w:val="21"/>
          <w:highlight w:val="none"/>
          <w:lang w:val="en-US" w:eastAsia="zh-CN" w:bidi="ar-SA"/>
        </w:rPr>
      </w:pPr>
      <w:permStart w:id="0" w:edGrp="everyone"/>
      <w:r>
        <w:rPr>
          <w:rFonts w:hint="eastAsia" w:ascii="宋体" w:hAnsi="宋体" w:eastAsia="宋体" w:cs="宋体"/>
          <w:color w:val="auto"/>
          <w:szCs w:val="21"/>
          <w:highlight w:val="none"/>
          <w:u w:val="single"/>
        </w:rPr>
        <w:t xml:space="preserve"> </w:t>
      </w:r>
      <w:r>
        <w:rPr>
          <w:rFonts w:hint="eastAsia" w:ascii="宋体" w:hAnsi="宋体" w:eastAsia="宋体" w:cs="宋体"/>
          <w:b w:val="0"/>
          <w:bCs/>
          <w:color w:val="auto"/>
          <w:sz w:val="21"/>
          <w:szCs w:val="21"/>
          <w:highlight w:val="none"/>
        </w:rPr>
        <w:t>※新建变电站项目：</w:t>
      </w:r>
      <w:r>
        <w:rPr>
          <w:rFonts w:hint="eastAsia" w:ascii="宋体" w:hAnsi="宋体" w:eastAsia="宋体" w:cs="宋体"/>
          <w:b w:val="0"/>
          <w:bCs w:val="0"/>
          <w:color w:val="auto"/>
          <w:kern w:val="2"/>
          <w:sz w:val="21"/>
          <w:szCs w:val="21"/>
          <w:highlight w:val="none"/>
          <w:u w:val="none"/>
          <w:lang w:val="en-US" w:eastAsia="zh-CN" w:bidi="ar-SA"/>
        </w:rPr>
        <w:t>施工图纸及施工图工程量清单范围内的变电建筑、安装及调试工程。包括：临时性施工用电源，临时性施工用水，临时性施工通信，二次接口，公路接口，给水接口，排污接口，市话通信线路，甲供物资的卸车（主变除外）、清点、质量验收及保管，废旧物资拆除、运输及移交至建设单位指定地点，原站址内废旧建构筑物（含房屋、基础及构支架等）拆除、清运, 扩建工程中因施工受损的绿化恢复，地基处理工程（含换填、桩基、强夯等）。不包括：桩基检测，变电站标准化设施（含安健环设施、视觉识别系统），变电站新征土地范围内原附着建构筑物、青苗林木的赔偿、清理和拆迁。</w:t>
      </w:r>
    </w:p>
    <w:p>
      <w:pPr>
        <w:pStyle w:val="2"/>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color w:val="auto"/>
          <w:kern w:val="0"/>
          <w:sz w:val="21"/>
          <w:szCs w:val="21"/>
          <w:highlight w:val="none"/>
          <w:lang w:val="en-US" w:eastAsia="zh-CN" w:bidi="ar-SA"/>
        </w:rPr>
      </w:pPr>
      <w:r>
        <w:rPr>
          <w:rFonts w:hint="eastAsia" w:ascii="宋体" w:hAnsi="宋体" w:eastAsia="宋体" w:cs="宋体"/>
          <w:b w:val="0"/>
          <w:bCs/>
          <w:color w:val="auto"/>
          <w:kern w:val="0"/>
          <w:sz w:val="21"/>
          <w:szCs w:val="21"/>
          <w:highlight w:val="none"/>
          <w:lang w:val="en-US" w:eastAsia="zh-CN" w:bidi="ar-SA"/>
        </w:rPr>
        <w:t>调试工程包括：单体调试、分系统调试、特殊调试及配合整套调试。分系统调试包括且不限于电网调度自动化分系统调试、二次系统安全防护分系统调试等分系统调试。合同总价中包括以下特殊调试的工作内容：110kV及以上主变压器局部放电试验、110kV及以上主变压器交流耐压试验、110kV及以上主变压器绕组频谱特性试验、500kV互感器耐压试验、220kV及以上断路器耐压试验、GIS/HGIS耐压试验、关口计量表校验及互感器综合误差测试（角差、比差、计量二次回路阻抗测试等）、接地网交流接地电阻测试、变压器油色谱试验、微水试验、简化试验（界面张力、介质损耗、闪点、PH值）、黏度试验、数字化变电站专项测试（一致性测试、网络性能测试、IED装置光纤接口及站内光纤光功率检测、对时精度测试、SOE分辨测试、互联测试、主站系统性能检测、主站系统特殊功能检测）。</w:t>
      </w:r>
    </w:p>
    <w:p>
      <w:pPr>
        <w:pStyle w:val="2"/>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color w:val="auto"/>
          <w:kern w:val="0"/>
          <w:sz w:val="21"/>
          <w:szCs w:val="21"/>
          <w:highlight w:val="none"/>
          <w:lang w:val="en-US" w:eastAsia="zh-CN" w:bidi="ar-SA"/>
        </w:rPr>
      </w:pPr>
      <w:r>
        <w:rPr>
          <w:rFonts w:hint="eastAsia" w:ascii="宋体" w:hAnsi="宋体" w:eastAsia="宋体" w:cs="宋体"/>
          <w:b w:val="0"/>
          <w:bCs/>
          <w:color w:val="auto"/>
          <w:kern w:val="0"/>
          <w:sz w:val="21"/>
          <w:szCs w:val="21"/>
          <w:highlight w:val="none"/>
          <w:lang w:val="en-US" w:eastAsia="zh-CN" w:bidi="ar-SA"/>
        </w:rPr>
        <w:t>变电改扩建项目施工专项补助费：本次最高投标限价中已包含变电改扩建项目施工专项补助费，工程竣工后将根据贵州电网公司印发的落实施工专项补助费相关通知要求对项目进行施工专项评价，根据评价结果结算相应比例的施工专项补助费。</w:t>
      </w:r>
    </w:p>
    <w:p>
      <w:pPr>
        <w:pStyle w:val="2"/>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kern w:val="0"/>
          <w:sz w:val="21"/>
          <w:szCs w:val="21"/>
          <w:highlight w:val="none"/>
          <w:lang w:val="en-US" w:eastAsia="zh-CN" w:bidi="ar-SA"/>
        </w:rPr>
        <w:t>35kV及以上站外电源线路甲供材料供货范围与线路工程界面一致。</w:t>
      </w:r>
    </w:p>
    <w:p>
      <w:pPr>
        <w:pStyle w:val="2"/>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color w:val="auto"/>
          <w:kern w:val="0"/>
          <w:sz w:val="21"/>
          <w:szCs w:val="21"/>
          <w:highlight w:val="none"/>
          <w:lang w:val="en-US" w:eastAsia="zh-CN" w:bidi="ar-SA"/>
        </w:rPr>
      </w:pPr>
      <w:r>
        <w:rPr>
          <w:rFonts w:hint="eastAsia" w:ascii="宋体" w:hAnsi="宋体" w:eastAsia="宋体" w:cs="宋体"/>
          <w:b w:val="0"/>
          <w:bCs/>
          <w:color w:val="auto"/>
          <w:sz w:val="21"/>
          <w:szCs w:val="21"/>
          <w:highlight w:val="none"/>
        </w:rPr>
        <w:t>※变电站改扩建项目:</w:t>
      </w:r>
      <w:r>
        <w:rPr>
          <w:rFonts w:hint="eastAsia" w:ascii="宋体" w:hAnsi="宋体" w:eastAsia="宋体" w:cs="宋体"/>
          <w:b w:val="0"/>
          <w:bCs/>
          <w:color w:val="auto"/>
          <w:kern w:val="0"/>
          <w:sz w:val="21"/>
          <w:szCs w:val="21"/>
          <w:highlight w:val="none"/>
          <w:lang w:val="en-US" w:eastAsia="zh-CN" w:bidi="ar-SA"/>
        </w:rPr>
        <w:t>包括施工图纸及施工图工程量清单范围内的变电建筑、安装及调试工程。临时性施工用电源，临时性施工用水，临时性施工通信，二次接口，公路接口，给水接口，排污接口，市话通信线路，甲供物资的卸车（主变除外）、清点、质量验收及保管，废旧物资拆除、运输及移交至建设单位指定地点，原站址内废旧建构筑物（含房屋、基础及构支架等）拆除、清运, 扩建工程中因施工受损的绿化恢复，地基处理工程（含换填、桩基（不含桩承台）、强夯等）。</w:t>
      </w:r>
    </w:p>
    <w:p>
      <w:pPr>
        <w:pStyle w:val="2"/>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color w:val="auto"/>
          <w:kern w:val="0"/>
          <w:sz w:val="21"/>
          <w:szCs w:val="21"/>
          <w:highlight w:val="none"/>
          <w:lang w:val="en-US" w:eastAsia="zh-CN" w:bidi="ar-SA"/>
        </w:rPr>
      </w:pPr>
      <w:r>
        <w:rPr>
          <w:rFonts w:hint="eastAsia" w:ascii="宋体" w:hAnsi="宋体" w:eastAsia="宋体" w:cs="宋体"/>
          <w:b w:val="0"/>
          <w:bCs/>
          <w:color w:val="auto"/>
          <w:kern w:val="0"/>
          <w:sz w:val="21"/>
          <w:szCs w:val="21"/>
          <w:highlight w:val="none"/>
          <w:lang w:val="en-US" w:eastAsia="zh-CN" w:bidi="ar-SA"/>
        </w:rPr>
        <w:t>不包括：桩基检测，变电站标准化设施（含安健环设施、视觉识别系统），变电站新征土地范围内原附着建构筑物、青苗林木的赔偿、清理和拆迁。</w:t>
      </w:r>
    </w:p>
    <w:p>
      <w:pPr>
        <w:pStyle w:val="2"/>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color w:val="auto"/>
          <w:kern w:val="0"/>
          <w:sz w:val="21"/>
          <w:szCs w:val="21"/>
          <w:highlight w:val="none"/>
          <w:lang w:val="en-US" w:eastAsia="zh-CN" w:bidi="ar-SA"/>
        </w:rPr>
      </w:pPr>
      <w:r>
        <w:rPr>
          <w:rFonts w:hint="eastAsia" w:ascii="宋体" w:hAnsi="宋体" w:eastAsia="宋体" w:cs="宋体"/>
          <w:b w:val="0"/>
          <w:bCs/>
          <w:color w:val="auto"/>
          <w:kern w:val="0"/>
          <w:sz w:val="21"/>
          <w:szCs w:val="21"/>
          <w:highlight w:val="none"/>
          <w:lang w:val="en-US" w:eastAsia="zh-CN" w:bidi="ar-SA"/>
        </w:rPr>
        <w:t>调试工程包括：单体调试、分系统调试、特殊调试及配合整套调试。分系统调试包括且不限于电网调度自动化分系统调试、二次系统安全防护分系统调试等分系统调试。合同总价中包括以下特殊调试的工作内容：110kV及以上主变压器局部放电试验、110kV及以上主变压器交流耐压试验、110kV及以上主变压器绕组频谱特性试验、500kV互感器耐压试验、220kV及以上断路器耐压试验、GIS/HGIS耐压试验、关口计量表校验及互感器综合误差测试（角差、比差、计量二次回路阻抗测试等）、接地网交流接地电阻测试、变压器油色谱试验、微水试验、简化试验（界面张力、介质损耗、闪点、PH值）、黏度试验、数字化变电站专项测试（一致性测试、网络性能测试、IED装置光纤接口及站内光纤光功率检测、对时精度测试、SOE分辨测试、互联测试、主站系统性能检测、主站系统特殊功能检测）。</w:t>
      </w:r>
    </w:p>
    <w:p>
      <w:pPr>
        <w:pStyle w:val="2"/>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color w:val="auto"/>
          <w:kern w:val="0"/>
          <w:sz w:val="21"/>
          <w:szCs w:val="21"/>
          <w:highlight w:val="none"/>
          <w:lang w:val="en-US" w:eastAsia="zh-CN" w:bidi="ar-SA"/>
        </w:rPr>
      </w:pPr>
      <w:r>
        <w:rPr>
          <w:rFonts w:hint="eastAsia" w:ascii="宋体" w:hAnsi="宋体" w:eastAsia="宋体" w:cs="宋体"/>
          <w:b w:val="0"/>
          <w:bCs/>
          <w:color w:val="auto"/>
          <w:kern w:val="0"/>
          <w:sz w:val="21"/>
          <w:szCs w:val="21"/>
          <w:highlight w:val="none"/>
          <w:lang w:val="en-US" w:eastAsia="zh-CN" w:bidi="ar-SA"/>
        </w:rPr>
        <w:t>变电改扩建项目施工专项补助费：本次最高投标限价中已包含变电改扩建项目施工专项补助费，工程竣工后将根据贵州电网公司印发的落实施工专项补助费相关通知要求对项目进行施工专项评价，根据评价结果结算相应比例的施工专项补助费。</w:t>
      </w:r>
    </w:p>
    <w:p>
      <w:pPr>
        <w:pStyle w:val="2"/>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kern w:val="0"/>
          <w:sz w:val="21"/>
          <w:szCs w:val="21"/>
          <w:highlight w:val="none"/>
          <w:lang w:val="en-US" w:eastAsia="zh-CN" w:bidi="ar-SA"/>
        </w:rPr>
        <w:t>35kV及以上站外电源线路甲供材料供货范围与线路工程界面一致。</w:t>
      </w:r>
      <w:r>
        <w:rPr>
          <w:rFonts w:hint="eastAsia" w:ascii="宋体" w:hAnsi="宋体" w:eastAsia="宋体" w:cs="宋体"/>
          <w:b w:val="0"/>
          <w:bCs/>
          <w:color w:val="auto"/>
          <w:sz w:val="21"/>
          <w:szCs w:val="21"/>
          <w:highlight w:val="none"/>
        </w:rPr>
        <w:t xml:space="preserve">   </w:t>
      </w:r>
    </w:p>
    <w:p>
      <w:pPr>
        <w:pStyle w:val="2"/>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※架空线路部分:施工图纸范围内的架空送电线路安装、调试工程。</w:t>
      </w:r>
    </w:p>
    <w:p>
      <w:pPr>
        <w:pStyle w:val="2"/>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color w:val="auto"/>
          <w:sz w:val="21"/>
          <w:szCs w:val="21"/>
          <w:highlight w:val="none"/>
        </w:rPr>
      </w:pPr>
      <w:r>
        <w:rPr>
          <w:rFonts w:hint="eastAsia" w:ascii="宋体" w:hAnsi="宋体" w:eastAsia="宋体" w:cs="宋体"/>
          <w:b w:val="0"/>
          <w:bCs/>
          <w:color w:val="auto"/>
          <w:sz w:val="21"/>
          <w:szCs w:val="21"/>
          <w:highlight w:val="none"/>
        </w:rPr>
        <w:t>包括：</w:t>
      </w:r>
      <w:r>
        <w:rPr>
          <w:rFonts w:hint="eastAsia" w:ascii="宋体" w:hAnsi="宋体" w:eastAsia="宋体" w:cs="宋体"/>
          <w:b w:val="0"/>
          <w:color w:val="auto"/>
          <w:sz w:val="21"/>
          <w:szCs w:val="21"/>
          <w:highlight w:val="none"/>
        </w:rPr>
        <w:t>线路本体工程、施工场地租用、辅助施工费用、旧电力线拆除（如有）、跨越及河流封航、施工道路修筑、标志牌（塔号牌、警示牌、相序牌、直升机巡视作业等标志牌）安装（含线路π后原线路塔号牌的更换，标志牌为甲供）、线路名称及杆塔号喷涂、OPGW光缆架设及变电站进站光缆的敷设（（含接续、单盘测量、全程测量等）、线路参数测试（同一条线路分多标段施工招标的，线路参数测试及光缆全程测量由第一施工标段负责）、</w:t>
      </w:r>
      <w:r>
        <w:rPr>
          <w:rFonts w:hint="eastAsia" w:ascii="宋体" w:hAnsi="宋体" w:eastAsia="宋体" w:cs="宋体"/>
          <w:b w:val="0"/>
          <w:color w:val="auto"/>
          <w:sz w:val="21"/>
          <w:szCs w:val="21"/>
          <w:highlight w:val="none"/>
          <w:lang w:val="en-US" w:eastAsia="zh-CN"/>
        </w:rPr>
        <w:t>电力线迁改、通信线迁改、</w:t>
      </w:r>
      <w:r>
        <w:rPr>
          <w:rFonts w:hint="eastAsia" w:ascii="宋体" w:hAnsi="宋体" w:eastAsia="宋体" w:cs="宋体"/>
          <w:b w:val="0"/>
          <w:color w:val="auto"/>
          <w:sz w:val="21"/>
          <w:szCs w:val="21"/>
          <w:highlight w:val="none"/>
        </w:rPr>
        <w:t>废旧物资拆除、运输及移交至建设单位指定地点。</w:t>
      </w:r>
    </w:p>
    <w:p>
      <w:pPr>
        <w:pStyle w:val="2"/>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color w:val="auto"/>
          <w:kern w:val="0"/>
          <w:sz w:val="21"/>
          <w:szCs w:val="21"/>
          <w:highlight w:val="none"/>
          <w:lang w:val="en-US" w:eastAsia="zh-CN" w:bidi="ar-SA"/>
        </w:rPr>
      </w:pPr>
      <w:r>
        <w:rPr>
          <w:rFonts w:hint="eastAsia" w:ascii="宋体" w:hAnsi="宋体" w:eastAsia="宋体" w:cs="宋体"/>
          <w:b w:val="0"/>
          <w:bCs/>
          <w:color w:val="auto"/>
          <w:sz w:val="21"/>
          <w:szCs w:val="21"/>
          <w:highlight w:val="none"/>
        </w:rPr>
        <w:t>建设场地占用及清理：</w:t>
      </w:r>
      <w:r>
        <w:rPr>
          <w:rFonts w:hint="eastAsia" w:ascii="宋体" w:hAnsi="宋体" w:eastAsia="宋体" w:cs="宋体"/>
          <w:b w:val="0"/>
          <w:bCs/>
          <w:color w:val="auto"/>
          <w:kern w:val="0"/>
          <w:sz w:val="21"/>
          <w:szCs w:val="21"/>
          <w:highlight w:val="none"/>
          <w:lang w:val="en-US" w:eastAsia="zh-CN" w:bidi="ar-SA"/>
        </w:rPr>
        <w:t>除沿线建（构）筑物拆迁补偿、砂石场、矿场、取石场、砖厂、煤矿等大型赔偿外的所有赔偿工作。包括塔基占地及其青苗赔偿、架线青苗赔偿、施工临时占用地及施工道路的青苗赔偿、接地线铺设的青苗赔偿、配合发包人办理占用林地及林木砍伐手续，承担因占用林地需赔偿林权所有人的“林木补偿费”、“林地补偿费”（如有）及“安置补助费”（如有）等赔偿性费用（不含“植被恢复费”、“水土保持补偿费”及“占一补一”费用），包括电力线、通信线迁改及拆除、搭设跨越架等所涉及的青苗赔偿及树木砍伐。穿越同电压等级或更高电压等级线路时，需对被穿越线路进行技术改造所需费用（不含甲供材料部分）。</w:t>
      </w:r>
    </w:p>
    <w:p>
      <w:pPr>
        <w:pStyle w:val="2"/>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color w:val="auto"/>
          <w:sz w:val="21"/>
          <w:szCs w:val="21"/>
          <w:highlight w:val="none"/>
        </w:rPr>
      </w:pPr>
      <w:r>
        <w:rPr>
          <w:rFonts w:hint="eastAsia" w:ascii="宋体" w:hAnsi="宋体" w:eastAsia="宋体" w:cs="宋体"/>
          <w:b w:val="0"/>
          <w:bCs/>
          <w:color w:val="auto"/>
          <w:sz w:val="21"/>
          <w:szCs w:val="21"/>
          <w:highlight w:val="none"/>
        </w:rPr>
        <w:t>电力线、通信线改迁：</w:t>
      </w:r>
      <w:r>
        <w:rPr>
          <w:rFonts w:hint="eastAsia" w:ascii="宋体" w:hAnsi="宋体" w:eastAsia="宋体" w:cs="宋体"/>
          <w:b w:val="0"/>
          <w:color w:val="auto"/>
          <w:sz w:val="21"/>
          <w:szCs w:val="21"/>
          <w:highlight w:val="none"/>
        </w:rPr>
        <w:t>20kV及以下线路迁改包工包料，35kV及以上线路迁改甲供材料供货范围与线路工程界面一致。通信线路迁改（包工包料）或拆除。</w:t>
      </w:r>
    </w:p>
    <w:p>
      <w:pPr>
        <w:pStyle w:val="2"/>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交叉跨越（含拆除部分）：</w:t>
      </w:r>
      <w:r>
        <w:rPr>
          <w:rFonts w:hint="eastAsia" w:ascii="宋体" w:hAnsi="宋体" w:eastAsia="宋体" w:cs="宋体"/>
          <w:b w:val="0"/>
          <w:bCs/>
          <w:color w:val="auto"/>
          <w:kern w:val="0"/>
          <w:sz w:val="21"/>
          <w:szCs w:val="21"/>
          <w:highlight w:val="none"/>
          <w:lang w:val="en-US" w:eastAsia="zh-CN" w:bidi="ar-SA"/>
        </w:rPr>
        <w:t>架线（或拆除）时跨越电力线（均按停电跨越考虑）、通讯线、铁路、公路、河流及堤防、水库附近基础和架线涉及的青苗赔偿、跨越架临时占地、措施费、施工申请手续及所有被跨越物产权单位跨越协议的办理及需缴纳的各项费用均由承包人负责办理及支付。其中高速铁路的跨越施工措施费不包含在合同总价中，根据审批的施工组织设计另行计算。架线（或拆除）时跨越电力线如发生带电跨越，施工单位应提供经审批的带电跨越专项施工方案、搭设跨越架或封网的跨越点照片等支撑资料办理现场签证，确认带电跨越结算工程量，按合同计价原则结算。</w:t>
      </w:r>
    </w:p>
    <w:p>
      <w:pPr>
        <w:spacing w:line="360" w:lineRule="auto"/>
        <w:ind w:firstLine="420"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专业爆破服务费：</w:t>
      </w:r>
      <w:r>
        <w:rPr>
          <w:rFonts w:hint="eastAsia" w:eastAsia="宋体" w:cs="Times New Roman"/>
          <w:sz w:val="24"/>
        </w:rPr>
        <w:t>：</w:t>
      </w:r>
      <w:r>
        <w:rPr>
          <w:rFonts w:hint="eastAsia" w:ascii="宋体" w:hAnsi="宋体" w:eastAsia="宋体" w:cs="宋体"/>
          <w:bCs/>
          <w:color w:val="auto"/>
          <w:sz w:val="21"/>
          <w:szCs w:val="21"/>
          <w:highlight w:val="none"/>
        </w:rPr>
        <w:t>包括办理爆破审批、评估，爆破物品运输及管理，爆破安全措施以及爆破安全监理等所发生的费用，由施工单位在投标下浮率中综合考虑，投标报价及结算中不单独计列费用。</w:t>
      </w:r>
    </w:p>
    <w:p>
      <w:pPr>
        <w:pStyle w:val="2"/>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Calibri" w:hAnsi="Calibri" w:eastAsia="宋体" w:cs="Times New Roman"/>
          <w:b w:val="0"/>
          <w:bCs w:val="0"/>
          <w:kern w:val="2"/>
          <w:sz w:val="24"/>
          <w:szCs w:val="24"/>
          <w:highlight w:val="yellow"/>
          <w:lang w:val="en-US" w:eastAsia="zh-CN" w:bidi="ar-SA"/>
        </w:rPr>
      </w:pPr>
      <w:r>
        <w:rPr>
          <w:rFonts w:hint="eastAsia" w:ascii="宋体" w:hAnsi="宋体" w:eastAsia="宋体" w:cs="宋体"/>
          <w:b w:val="0"/>
          <w:bCs/>
          <w:color w:val="auto"/>
          <w:sz w:val="21"/>
          <w:szCs w:val="21"/>
          <w:highlight w:val="none"/>
        </w:rPr>
        <w:t>不包括：</w:t>
      </w:r>
      <w:r>
        <w:rPr>
          <w:rFonts w:hint="eastAsia" w:ascii="宋体" w:hAnsi="宋体" w:eastAsia="宋体" w:cs="宋体"/>
          <w:b w:val="0"/>
          <w:bCs/>
          <w:color w:val="auto"/>
          <w:kern w:val="2"/>
          <w:sz w:val="21"/>
          <w:szCs w:val="21"/>
          <w:highlight w:val="none"/>
          <w:lang w:val="en-US" w:eastAsia="zh-CN" w:bidi="ar-SA"/>
        </w:rPr>
        <w:t>沿线建（构）筑物拆迁补偿；砂石场、矿场、取石场、砖厂、煤矿、穿越风景区补偿及各类市政管道拆除（如有）；送电线路防通讯设施干扰措施费；桩基检测、耐张线夹X射线检测。</w:t>
      </w:r>
    </w:p>
    <w:p>
      <w:pPr>
        <w:pStyle w:val="2"/>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※电缆线路部分:施工图纸范围内的电缆线路建筑、安装、调试工程。</w:t>
      </w:r>
    </w:p>
    <w:p>
      <w:pPr>
        <w:spacing w:line="360" w:lineRule="auto"/>
        <w:ind w:firstLine="420" w:firstLineChars="200"/>
        <w:rPr>
          <w:rFonts w:hint="eastAsia" w:ascii="宋体" w:hAnsi="宋体" w:eastAsia="宋体" w:cs="宋体"/>
          <w:b w:val="0"/>
          <w:bCs/>
          <w:color w:val="auto"/>
          <w:kern w:val="0"/>
          <w:sz w:val="21"/>
          <w:szCs w:val="21"/>
          <w:highlight w:val="none"/>
          <w:lang w:val="en-US" w:eastAsia="zh-CN" w:bidi="ar-SA"/>
        </w:rPr>
      </w:pPr>
      <w:r>
        <w:rPr>
          <w:rFonts w:hint="eastAsia" w:ascii="宋体" w:hAnsi="宋体" w:eastAsia="宋体" w:cs="宋体"/>
          <w:b w:val="0"/>
          <w:bCs/>
          <w:color w:val="auto"/>
          <w:sz w:val="21"/>
          <w:szCs w:val="21"/>
          <w:highlight w:val="none"/>
        </w:rPr>
        <w:t>包括：</w:t>
      </w:r>
      <w:r>
        <w:rPr>
          <w:rFonts w:hint="eastAsia" w:ascii="宋体" w:hAnsi="宋体" w:eastAsia="宋体" w:cs="宋体"/>
          <w:bCs/>
          <w:color w:val="auto"/>
          <w:kern w:val="0"/>
          <w:sz w:val="21"/>
          <w:szCs w:val="21"/>
          <w:highlight w:val="none"/>
        </w:rPr>
        <w:t>施工图纸范围内的电缆线路本体工程，包括建筑、安装、光缆的测量及接续（如有）、调试工程、旧电缆线路拆除和运输、管道光缆敷设、线路牌挂牌、电缆线路参数测试及与城市规划、市政、园林、交警、城监、公路等部门联系办理施工许可手续。</w:t>
      </w:r>
    </w:p>
    <w:p>
      <w:pPr>
        <w:pStyle w:val="2"/>
        <w:keepNext w:val="0"/>
        <w:keepLines w:val="0"/>
        <w:pageBreakBefore w:val="0"/>
        <w:kinsoku/>
        <w:wordWrap/>
        <w:overflowPunct/>
        <w:topLinePunct w:val="0"/>
        <w:autoSpaceDE/>
        <w:autoSpaceDN/>
        <w:bidi w:val="0"/>
        <w:adjustRightInd/>
        <w:snapToGrid/>
        <w:spacing w:before="0" w:after="0" w:line="360" w:lineRule="auto"/>
        <w:ind w:firstLine="420" w:firstLineChars="200"/>
        <w:jc w:val="left"/>
        <w:textAlignment w:val="auto"/>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建设场地占用及清理：</w:t>
      </w:r>
      <w:r>
        <w:rPr>
          <w:rFonts w:hint="eastAsia" w:ascii="宋体" w:hAnsi="宋体" w:eastAsia="宋体" w:cs="宋体"/>
          <w:b w:val="0"/>
          <w:bCs w:val="0"/>
          <w:color w:val="auto"/>
          <w:sz w:val="21"/>
          <w:szCs w:val="21"/>
          <w:highlight w:val="none"/>
        </w:rPr>
        <w:t>电缆征地补偿、沿线的建（构）筑物及管线迁移或拆除补偿、绿化设施迁移补偿、施工临时占用市政道路补偿、青苗赔偿。</w:t>
      </w:r>
    </w:p>
    <w:p>
      <w:pPr>
        <w:pStyle w:val="2"/>
        <w:spacing w:line="240" w:lineRule="auto"/>
        <w:ind w:firstLine="420" w:firstLineChars="200"/>
        <w:jc w:val="left"/>
        <w:rPr>
          <w:rFonts w:hint="eastAsia" w:ascii="宋体" w:hAnsi="宋体" w:eastAsia="宋体" w:cs="宋体"/>
          <w:b w:val="0"/>
          <w:bCs w:val="0"/>
          <w:color w:val="auto"/>
          <w:kern w:val="2"/>
          <w:sz w:val="21"/>
          <w:szCs w:val="22"/>
          <w:highlight w:val="none"/>
          <w:u w:val="single"/>
          <w:shd w:val="clear" w:color="auto" w:fill="auto"/>
        </w:rPr>
      </w:pPr>
      <w:r>
        <w:rPr>
          <w:rFonts w:hint="eastAsia" w:ascii="宋体" w:hAnsi="宋体" w:eastAsia="宋体" w:cs="宋体"/>
          <w:b w:val="0"/>
          <w:bCs/>
          <w:color w:val="auto"/>
          <w:sz w:val="21"/>
          <w:szCs w:val="21"/>
          <w:highlight w:val="none"/>
        </w:rPr>
        <w:t>※拆旧部分:拆除原有工程的，应按发包人确定的回收范围，根据设计单位提供拆除量，进行 100%回收</w:t>
      </w:r>
    </w:p>
    <w:permEnd w:id="0"/>
    <w:p>
      <w:pPr>
        <w:pStyle w:val="4"/>
        <w:keepNext w:val="0"/>
        <w:keepLines w:val="0"/>
        <w:pageBreakBefore w:val="0"/>
        <w:numPr>
          <w:ilvl w:val="0"/>
          <w:numId w:val="0"/>
        </w:numPr>
        <w:kinsoku/>
        <w:wordWrap/>
        <w:overflowPunct/>
        <w:topLinePunct w:val="0"/>
        <w:bidi w:val="0"/>
        <w:spacing w:line="360" w:lineRule="auto"/>
        <w:outlineLvl w:val="1"/>
        <w:rPr>
          <w:rFonts w:hint="eastAsia" w:ascii="宋体" w:hAnsi="宋体" w:eastAsia="宋体" w:cs="宋体"/>
          <w:b/>
          <w:bCs/>
          <w:i w:val="0"/>
          <w:color w:val="auto"/>
          <w:kern w:val="2"/>
          <w:sz w:val="24"/>
          <w:szCs w:val="24"/>
          <w:highlight w:val="none"/>
          <w:lang w:val="en-US" w:eastAsia="zh-CN" w:bidi="ar-SA"/>
        </w:rPr>
      </w:pPr>
      <w:r>
        <w:rPr>
          <w:rFonts w:hint="eastAsia" w:ascii="宋体" w:hAnsi="宋体" w:eastAsia="宋体" w:cs="宋体"/>
          <w:b/>
          <w:bCs/>
          <w:i w:val="0"/>
          <w:color w:val="auto"/>
          <w:kern w:val="2"/>
          <w:sz w:val="24"/>
          <w:szCs w:val="24"/>
          <w:highlight w:val="none"/>
          <w:lang w:val="en-US" w:eastAsia="zh-CN" w:bidi="ar-SA"/>
        </w:rPr>
        <w:t>三、承包方式</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ascii="宋体" w:hAnsi="宋体" w:eastAsia="宋体" w:cs="宋体"/>
          <w:b w:val="0"/>
          <w:bCs w:val="0"/>
          <w:color w:val="auto"/>
          <w:kern w:val="2"/>
          <w:sz w:val="21"/>
          <w:szCs w:val="21"/>
          <w:highlight w:val="none"/>
          <w:u w:val="none"/>
          <w:lang w:val="en-US" w:eastAsia="zh-CN" w:bidi="ar-SA"/>
        </w:rPr>
        <w:t>包工、部分包料，包工期、包质量、包安全、包文明施工。</w:t>
      </w:r>
      <w:r>
        <w:rPr>
          <w:rFonts w:hint="eastAsia" w:ascii="宋体" w:hAnsi="宋体" w:eastAsia="宋体" w:cs="宋体"/>
          <w:b w:val="0"/>
          <w:bCs/>
          <w:color w:val="auto"/>
          <w:sz w:val="21"/>
          <w:szCs w:val="21"/>
          <w:highlight w:val="none"/>
        </w:rPr>
        <w:t>详见附件B。</w:t>
      </w:r>
    </w:p>
    <w:p>
      <w:pPr>
        <w:adjustRightInd w:val="0"/>
        <w:snapToGrid w:val="0"/>
        <w:spacing w:line="360" w:lineRule="auto"/>
        <w:jc w:val="both"/>
        <w:rPr>
          <w:rFonts w:hint="eastAsia" w:ascii="宋体" w:hAnsi="宋体" w:eastAsia="宋体" w:cs="宋体"/>
          <w:b/>
          <w:bCs/>
          <w:color w:val="auto"/>
          <w:sz w:val="28"/>
          <w:szCs w:val="28"/>
          <w:highlight w:val="none"/>
          <w:u w:val="none"/>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jMzFiNzA3YWM0ZTcxOWNkY2ZjZmYyMWVhMzc5ZTMifQ=="/>
  </w:docVars>
  <w:rsids>
    <w:rsidRoot w:val="511C160B"/>
    <w:rsid w:val="000178C1"/>
    <w:rsid w:val="000D7660"/>
    <w:rsid w:val="000F7F1E"/>
    <w:rsid w:val="00142573"/>
    <w:rsid w:val="00157D27"/>
    <w:rsid w:val="00260F48"/>
    <w:rsid w:val="002E40A5"/>
    <w:rsid w:val="0035398E"/>
    <w:rsid w:val="00371154"/>
    <w:rsid w:val="00410C32"/>
    <w:rsid w:val="004B6D06"/>
    <w:rsid w:val="004F738F"/>
    <w:rsid w:val="005F1995"/>
    <w:rsid w:val="0061497D"/>
    <w:rsid w:val="00634432"/>
    <w:rsid w:val="006D356A"/>
    <w:rsid w:val="00734A37"/>
    <w:rsid w:val="007B648A"/>
    <w:rsid w:val="008220AF"/>
    <w:rsid w:val="00866B95"/>
    <w:rsid w:val="00873B6F"/>
    <w:rsid w:val="008A7E06"/>
    <w:rsid w:val="008B0C84"/>
    <w:rsid w:val="008B6104"/>
    <w:rsid w:val="00921C7C"/>
    <w:rsid w:val="0093189F"/>
    <w:rsid w:val="00963F97"/>
    <w:rsid w:val="00A60D4E"/>
    <w:rsid w:val="00A65149"/>
    <w:rsid w:val="00C411D4"/>
    <w:rsid w:val="00C60F64"/>
    <w:rsid w:val="00C97BB6"/>
    <w:rsid w:val="00CB6911"/>
    <w:rsid w:val="00CC555D"/>
    <w:rsid w:val="00CF4570"/>
    <w:rsid w:val="00D8640F"/>
    <w:rsid w:val="00DC62E4"/>
    <w:rsid w:val="00DD73D3"/>
    <w:rsid w:val="00DE7398"/>
    <w:rsid w:val="014257FC"/>
    <w:rsid w:val="01AF4475"/>
    <w:rsid w:val="01F65F44"/>
    <w:rsid w:val="028411A8"/>
    <w:rsid w:val="031272C0"/>
    <w:rsid w:val="035157E3"/>
    <w:rsid w:val="03986975"/>
    <w:rsid w:val="04834199"/>
    <w:rsid w:val="049A7648"/>
    <w:rsid w:val="04F76354"/>
    <w:rsid w:val="05D50A2C"/>
    <w:rsid w:val="05D64E9F"/>
    <w:rsid w:val="060427A6"/>
    <w:rsid w:val="062E657B"/>
    <w:rsid w:val="063F3A64"/>
    <w:rsid w:val="07011193"/>
    <w:rsid w:val="074F4051"/>
    <w:rsid w:val="07CE2A0D"/>
    <w:rsid w:val="07F75D8B"/>
    <w:rsid w:val="08B60A52"/>
    <w:rsid w:val="08C71AF5"/>
    <w:rsid w:val="09123C79"/>
    <w:rsid w:val="0A184932"/>
    <w:rsid w:val="0AB26C7B"/>
    <w:rsid w:val="0AF96778"/>
    <w:rsid w:val="0B21108D"/>
    <w:rsid w:val="0BDB4AD1"/>
    <w:rsid w:val="0C2D2A97"/>
    <w:rsid w:val="0C3822A5"/>
    <w:rsid w:val="0C5000A6"/>
    <w:rsid w:val="0D4B0FE4"/>
    <w:rsid w:val="0D630921"/>
    <w:rsid w:val="0D9C6CCB"/>
    <w:rsid w:val="0DA71BD8"/>
    <w:rsid w:val="0DF1079C"/>
    <w:rsid w:val="0DF24DF4"/>
    <w:rsid w:val="0E7739D1"/>
    <w:rsid w:val="0ECB4A9A"/>
    <w:rsid w:val="0EDC2445"/>
    <w:rsid w:val="0F935C83"/>
    <w:rsid w:val="101C06DD"/>
    <w:rsid w:val="10852E07"/>
    <w:rsid w:val="10AA4E88"/>
    <w:rsid w:val="1102722C"/>
    <w:rsid w:val="118B7CD4"/>
    <w:rsid w:val="119E6026"/>
    <w:rsid w:val="11A025A1"/>
    <w:rsid w:val="11A81771"/>
    <w:rsid w:val="11CF6595"/>
    <w:rsid w:val="120B0460"/>
    <w:rsid w:val="12850BE4"/>
    <w:rsid w:val="13642DDD"/>
    <w:rsid w:val="14535FF1"/>
    <w:rsid w:val="14620C1C"/>
    <w:rsid w:val="14681861"/>
    <w:rsid w:val="14795290"/>
    <w:rsid w:val="153D3B3F"/>
    <w:rsid w:val="154B447A"/>
    <w:rsid w:val="154D3F83"/>
    <w:rsid w:val="160D793F"/>
    <w:rsid w:val="17920B64"/>
    <w:rsid w:val="17932DFF"/>
    <w:rsid w:val="17BF5F2D"/>
    <w:rsid w:val="1833792F"/>
    <w:rsid w:val="1834616B"/>
    <w:rsid w:val="186C3A85"/>
    <w:rsid w:val="189D1FB4"/>
    <w:rsid w:val="190D2C12"/>
    <w:rsid w:val="1951304D"/>
    <w:rsid w:val="19F03C9C"/>
    <w:rsid w:val="1A2410F9"/>
    <w:rsid w:val="1A2F61FF"/>
    <w:rsid w:val="1A473CA6"/>
    <w:rsid w:val="1A9234A5"/>
    <w:rsid w:val="1AEC4E38"/>
    <w:rsid w:val="1B23671D"/>
    <w:rsid w:val="1B960285"/>
    <w:rsid w:val="1BD97B89"/>
    <w:rsid w:val="1C25434D"/>
    <w:rsid w:val="1C8F506E"/>
    <w:rsid w:val="1CCE4408"/>
    <w:rsid w:val="1D1B2ECF"/>
    <w:rsid w:val="1D732357"/>
    <w:rsid w:val="1DC345E1"/>
    <w:rsid w:val="1E187482"/>
    <w:rsid w:val="1E6D3EC0"/>
    <w:rsid w:val="1E9A0DC1"/>
    <w:rsid w:val="1EA25BAA"/>
    <w:rsid w:val="1EA70593"/>
    <w:rsid w:val="1EC36C35"/>
    <w:rsid w:val="1EF45C66"/>
    <w:rsid w:val="1F49110A"/>
    <w:rsid w:val="1FA16F92"/>
    <w:rsid w:val="1FA716FE"/>
    <w:rsid w:val="1FDF4F76"/>
    <w:rsid w:val="20687E07"/>
    <w:rsid w:val="20BA2A49"/>
    <w:rsid w:val="20C35C60"/>
    <w:rsid w:val="21080C5C"/>
    <w:rsid w:val="21FF093C"/>
    <w:rsid w:val="223F1AF3"/>
    <w:rsid w:val="2249190D"/>
    <w:rsid w:val="22B6537E"/>
    <w:rsid w:val="22C05381"/>
    <w:rsid w:val="232C52D7"/>
    <w:rsid w:val="23BB4107"/>
    <w:rsid w:val="23D63CC8"/>
    <w:rsid w:val="23DC5C6B"/>
    <w:rsid w:val="241C1DA2"/>
    <w:rsid w:val="245B6D34"/>
    <w:rsid w:val="24D83745"/>
    <w:rsid w:val="251A309D"/>
    <w:rsid w:val="25534F9E"/>
    <w:rsid w:val="258419AF"/>
    <w:rsid w:val="25CF570F"/>
    <w:rsid w:val="26D20A42"/>
    <w:rsid w:val="27084C20"/>
    <w:rsid w:val="27265503"/>
    <w:rsid w:val="27707112"/>
    <w:rsid w:val="27906876"/>
    <w:rsid w:val="27936CDC"/>
    <w:rsid w:val="287E6033"/>
    <w:rsid w:val="2931626B"/>
    <w:rsid w:val="29933DBD"/>
    <w:rsid w:val="29DB2BB8"/>
    <w:rsid w:val="2A6308E4"/>
    <w:rsid w:val="2B011473"/>
    <w:rsid w:val="2B3A2E84"/>
    <w:rsid w:val="2B7938DE"/>
    <w:rsid w:val="2B8536A2"/>
    <w:rsid w:val="2BFE6C18"/>
    <w:rsid w:val="2D69660C"/>
    <w:rsid w:val="2D786DEC"/>
    <w:rsid w:val="2DC20BC6"/>
    <w:rsid w:val="2E886F4F"/>
    <w:rsid w:val="2EEA79D3"/>
    <w:rsid w:val="2F043BEE"/>
    <w:rsid w:val="2F204BB3"/>
    <w:rsid w:val="2F55112B"/>
    <w:rsid w:val="2F7068D3"/>
    <w:rsid w:val="2FAB710C"/>
    <w:rsid w:val="30DA4B38"/>
    <w:rsid w:val="310608E9"/>
    <w:rsid w:val="311355CD"/>
    <w:rsid w:val="314408D9"/>
    <w:rsid w:val="31AB668C"/>
    <w:rsid w:val="31C25ABC"/>
    <w:rsid w:val="3240775C"/>
    <w:rsid w:val="32445586"/>
    <w:rsid w:val="3348674D"/>
    <w:rsid w:val="33605984"/>
    <w:rsid w:val="33D85EA1"/>
    <w:rsid w:val="345E36CA"/>
    <w:rsid w:val="346B736D"/>
    <w:rsid w:val="349D75B2"/>
    <w:rsid w:val="34BB0D48"/>
    <w:rsid w:val="34E335C4"/>
    <w:rsid w:val="35255666"/>
    <w:rsid w:val="355E2D37"/>
    <w:rsid w:val="359D48FF"/>
    <w:rsid w:val="35B610E1"/>
    <w:rsid w:val="35DB557F"/>
    <w:rsid w:val="35F75A41"/>
    <w:rsid w:val="35F90319"/>
    <w:rsid w:val="360F68C0"/>
    <w:rsid w:val="36B85FBC"/>
    <w:rsid w:val="36BF0103"/>
    <w:rsid w:val="36EA7C97"/>
    <w:rsid w:val="36EB1726"/>
    <w:rsid w:val="37021190"/>
    <w:rsid w:val="38090E8A"/>
    <w:rsid w:val="387441B5"/>
    <w:rsid w:val="387D663A"/>
    <w:rsid w:val="38A94C06"/>
    <w:rsid w:val="39BB6120"/>
    <w:rsid w:val="39C70BC8"/>
    <w:rsid w:val="39DF5AAD"/>
    <w:rsid w:val="3A372908"/>
    <w:rsid w:val="3AF958A6"/>
    <w:rsid w:val="3B2C5D94"/>
    <w:rsid w:val="3BF236BF"/>
    <w:rsid w:val="3C391D8E"/>
    <w:rsid w:val="3C6518C8"/>
    <w:rsid w:val="3C740593"/>
    <w:rsid w:val="3CEC3273"/>
    <w:rsid w:val="3CF75DDC"/>
    <w:rsid w:val="3CFB369B"/>
    <w:rsid w:val="3CFF16A1"/>
    <w:rsid w:val="3D62004A"/>
    <w:rsid w:val="3D6A2893"/>
    <w:rsid w:val="3E324F16"/>
    <w:rsid w:val="3E332998"/>
    <w:rsid w:val="3E574CC8"/>
    <w:rsid w:val="3EE13377"/>
    <w:rsid w:val="3F183A1E"/>
    <w:rsid w:val="3F364729"/>
    <w:rsid w:val="3F5F0F0C"/>
    <w:rsid w:val="3FED4ABB"/>
    <w:rsid w:val="40681530"/>
    <w:rsid w:val="409E427D"/>
    <w:rsid w:val="40EC0F34"/>
    <w:rsid w:val="4171116E"/>
    <w:rsid w:val="419D4F33"/>
    <w:rsid w:val="41B0733C"/>
    <w:rsid w:val="41B56FB3"/>
    <w:rsid w:val="41C52885"/>
    <w:rsid w:val="41E66B91"/>
    <w:rsid w:val="428144DF"/>
    <w:rsid w:val="429B73D4"/>
    <w:rsid w:val="42AA46BF"/>
    <w:rsid w:val="42BC7436"/>
    <w:rsid w:val="42EB3BBD"/>
    <w:rsid w:val="42F04887"/>
    <w:rsid w:val="431F1507"/>
    <w:rsid w:val="43407B62"/>
    <w:rsid w:val="435D0B10"/>
    <w:rsid w:val="43656A9D"/>
    <w:rsid w:val="441D4AED"/>
    <w:rsid w:val="44774BE8"/>
    <w:rsid w:val="44C83A4D"/>
    <w:rsid w:val="44F22DAC"/>
    <w:rsid w:val="44FA5C39"/>
    <w:rsid w:val="45437F6F"/>
    <w:rsid w:val="45E60868"/>
    <w:rsid w:val="461D302D"/>
    <w:rsid w:val="46696808"/>
    <w:rsid w:val="468F70F5"/>
    <w:rsid w:val="46E57D0F"/>
    <w:rsid w:val="46FA78FD"/>
    <w:rsid w:val="46FE32D9"/>
    <w:rsid w:val="477403CF"/>
    <w:rsid w:val="479E21E3"/>
    <w:rsid w:val="48312833"/>
    <w:rsid w:val="4860789D"/>
    <w:rsid w:val="4887556D"/>
    <w:rsid w:val="48B50058"/>
    <w:rsid w:val="48EA3B26"/>
    <w:rsid w:val="49A54F54"/>
    <w:rsid w:val="49DF11B1"/>
    <w:rsid w:val="49E066E8"/>
    <w:rsid w:val="4A196D6A"/>
    <w:rsid w:val="4A6E3687"/>
    <w:rsid w:val="4B946DE7"/>
    <w:rsid w:val="4C953C5A"/>
    <w:rsid w:val="4D391DAD"/>
    <w:rsid w:val="4D5C53F9"/>
    <w:rsid w:val="4D7007C6"/>
    <w:rsid w:val="4DFB3043"/>
    <w:rsid w:val="4E380C04"/>
    <w:rsid w:val="4EA02F95"/>
    <w:rsid w:val="4EE24A5B"/>
    <w:rsid w:val="4F43064C"/>
    <w:rsid w:val="4F443F90"/>
    <w:rsid w:val="50A306D9"/>
    <w:rsid w:val="50CF4003"/>
    <w:rsid w:val="51093901"/>
    <w:rsid w:val="511C160B"/>
    <w:rsid w:val="51B0254E"/>
    <w:rsid w:val="522524FA"/>
    <w:rsid w:val="52287E89"/>
    <w:rsid w:val="53195E74"/>
    <w:rsid w:val="53264CD2"/>
    <w:rsid w:val="53BB08EB"/>
    <w:rsid w:val="53EC185D"/>
    <w:rsid w:val="54047EB6"/>
    <w:rsid w:val="543B5B50"/>
    <w:rsid w:val="55532F8B"/>
    <w:rsid w:val="55737D26"/>
    <w:rsid w:val="5609200A"/>
    <w:rsid w:val="564E2C80"/>
    <w:rsid w:val="574865FD"/>
    <w:rsid w:val="57A14B97"/>
    <w:rsid w:val="58722059"/>
    <w:rsid w:val="59071871"/>
    <w:rsid w:val="590B4F9F"/>
    <w:rsid w:val="59B44D10"/>
    <w:rsid w:val="59D05446"/>
    <w:rsid w:val="59F3544C"/>
    <w:rsid w:val="59F6323B"/>
    <w:rsid w:val="5A4A276E"/>
    <w:rsid w:val="5A9D0A3B"/>
    <w:rsid w:val="5AF3242A"/>
    <w:rsid w:val="5B9C47F3"/>
    <w:rsid w:val="5B9D22F0"/>
    <w:rsid w:val="5BF15B82"/>
    <w:rsid w:val="5C062C54"/>
    <w:rsid w:val="5C346363"/>
    <w:rsid w:val="5C8332D2"/>
    <w:rsid w:val="5CDE319B"/>
    <w:rsid w:val="5CFD05F6"/>
    <w:rsid w:val="5D8B71D0"/>
    <w:rsid w:val="5DE16A92"/>
    <w:rsid w:val="5DF623CB"/>
    <w:rsid w:val="5DF72347"/>
    <w:rsid w:val="5E6121A0"/>
    <w:rsid w:val="5EA12CD6"/>
    <w:rsid w:val="5EC7706D"/>
    <w:rsid w:val="5EE0274D"/>
    <w:rsid w:val="5F0E6C35"/>
    <w:rsid w:val="5FB93BB6"/>
    <w:rsid w:val="600F3A15"/>
    <w:rsid w:val="60837066"/>
    <w:rsid w:val="60C345CC"/>
    <w:rsid w:val="61671CF0"/>
    <w:rsid w:val="616D2866"/>
    <w:rsid w:val="629F7A4A"/>
    <w:rsid w:val="62DD0419"/>
    <w:rsid w:val="63243314"/>
    <w:rsid w:val="63270E5D"/>
    <w:rsid w:val="63390621"/>
    <w:rsid w:val="63870A9D"/>
    <w:rsid w:val="63B3000C"/>
    <w:rsid w:val="64076245"/>
    <w:rsid w:val="64426A25"/>
    <w:rsid w:val="644B6B6B"/>
    <w:rsid w:val="64C5571C"/>
    <w:rsid w:val="650342F4"/>
    <w:rsid w:val="6515647F"/>
    <w:rsid w:val="653C303F"/>
    <w:rsid w:val="65453DB0"/>
    <w:rsid w:val="656873D8"/>
    <w:rsid w:val="657A3BA7"/>
    <w:rsid w:val="65EE122E"/>
    <w:rsid w:val="66044DFB"/>
    <w:rsid w:val="663F3940"/>
    <w:rsid w:val="66725CD8"/>
    <w:rsid w:val="6673039E"/>
    <w:rsid w:val="6678672C"/>
    <w:rsid w:val="669F6EBA"/>
    <w:rsid w:val="66CF3A68"/>
    <w:rsid w:val="674B321A"/>
    <w:rsid w:val="67541939"/>
    <w:rsid w:val="67716D46"/>
    <w:rsid w:val="68B305D5"/>
    <w:rsid w:val="68BD0E82"/>
    <w:rsid w:val="690412D8"/>
    <w:rsid w:val="69440456"/>
    <w:rsid w:val="69480AC8"/>
    <w:rsid w:val="697048DB"/>
    <w:rsid w:val="69F570AB"/>
    <w:rsid w:val="69FD3A6F"/>
    <w:rsid w:val="69FD7BF5"/>
    <w:rsid w:val="6A011451"/>
    <w:rsid w:val="6A7262D8"/>
    <w:rsid w:val="6A997A3F"/>
    <w:rsid w:val="6ABE36E2"/>
    <w:rsid w:val="6ADE1E63"/>
    <w:rsid w:val="6B2D20F9"/>
    <w:rsid w:val="6B7036D0"/>
    <w:rsid w:val="6BFD00F0"/>
    <w:rsid w:val="6C002F9C"/>
    <w:rsid w:val="6C1A5C77"/>
    <w:rsid w:val="6C790CC5"/>
    <w:rsid w:val="6C846D44"/>
    <w:rsid w:val="6D5A2410"/>
    <w:rsid w:val="6DF1016C"/>
    <w:rsid w:val="6E4954D1"/>
    <w:rsid w:val="6ED11214"/>
    <w:rsid w:val="6F271310"/>
    <w:rsid w:val="6F491A22"/>
    <w:rsid w:val="703C1B52"/>
    <w:rsid w:val="709B46C8"/>
    <w:rsid w:val="70DC0B34"/>
    <w:rsid w:val="70DD65B6"/>
    <w:rsid w:val="7147677B"/>
    <w:rsid w:val="71CC2CB9"/>
    <w:rsid w:val="724A458E"/>
    <w:rsid w:val="72655CBC"/>
    <w:rsid w:val="72835210"/>
    <w:rsid w:val="744A5E60"/>
    <w:rsid w:val="745E177F"/>
    <w:rsid w:val="74BA6C2B"/>
    <w:rsid w:val="75370EE4"/>
    <w:rsid w:val="755240D7"/>
    <w:rsid w:val="75945AE9"/>
    <w:rsid w:val="759F2263"/>
    <w:rsid w:val="75AE1C13"/>
    <w:rsid w:val="76124DDB"/>
    <w:rsid w:val="763B2908"/>
    <w:rsid w:val="76490541"/>
    <w:rsid w:val="7662040A"/>
    <w:rsid w:val="770F1364"/>
    <w:rsid w:val="779F553A"/>
    <w:rsid w:val="77A61B26"/>
    <w:rsid w:val="77C7108C"/>
    <w:rsid w:val="78263477"/>
    <w:rsid w:val="78637117"/>
    <w:rsid w:val="78D91E30"/>
    <w:rsid w:val="78D9379F"/>
    <w:rsid w:val="78E75FCF"/>
    <w:rsid w:val="795F6519"/>
    <w:rsid w:val="797B020F"/>
    <w:rsid w:val="799449A0"/>
    <w:rsid w:val="7A393AA7"/>
    <w:rsid w:val="7A8A5D97"/>
    <w:rsid w:val="7AC02BF7"/>
    <w:rsid w:val="7AEE0D33"/>
    <w:rsid w:val="7B452BDB"/>
    <w:rsid w:val="7B80532F"/>
    <w:rsid w:val="7B813890"/>
    <w:rsid w:val="7B9C0E99"/>
    <w:rsid w:val="7BA61E75"/>
    <w:rsid w:val="7BCB7A29"/>
    <w:rsid w:val="7C601C81"/>
    <w:rsid w:val="7DBD122E"/>
    <w:rsid w:val="7ECD282B"/>
    <w:rsid w:val="7EF944E8"/>
    <w:rsid w:val="7F974A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2"/>
    <w:basedOn w:val="1"/>
    <w:next w:val="1"/>
    <w:link w:val="21"/>
    <w:unhideWhenUsed/>
    <w:qFormat/>
    <w:uiPriority w:val="0"/>
    <w:pPr>
      <w:autoSpaceDE w:val="0"/>
      <w:autoSpaceDN w:val="0"/>
      <w:adjustRightInd w:val="0"/>
      <w:outlineLvl w:val="1"/>
    </w:pPr>
    <w:rPr>
      <w:rFonts w:ascii="Arial" w:hAnsi="Arial"/>
      <w:b/>
      <w:i/>
      <w:color w:val="000000"/>
      <w:sz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3">
    <w:name w:val="Title"/>
    <w:basedOn w:val="1"/>
    <w:next w:val="1"/>
    <w:qFormat/>
    <w:uiPriority w:val="10"/>
    <w:pPr>
      <w:spacing w:before="240" w:after="60"/>
      <w:jc w:val="center"/>
      <w:outlineLvl w:val="0"/>
    </w:pPr>
    <w:rPr>
      <w:rFonts w:ascii="Arial" w:hAnsi="Arial"/>
      <w:b/>
      <w:bCs/>
      <w:sz w:val="32"/>
      <w:szCs w:val="32"/>
    </w:rPr>
  </w:style>
  <w:style w:type="paragraph" w:styleId="5">
    <w:name w:val="Document Map"/>
    <w:basedOn w:val="1"/>
    <w:link w:val="16"/>
    <w:qFormat/>
    <w:uiPriority w:val="0"/>
    <w:rPr>
      <w:rFonts w:ascii="宋体"/>
      <w:sz w:val="18"/>
      <w:szCs w:val="18"/>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kern w:val="0"/>
      <w:sz w:val="20"/>
      <w:szCs w:val="20"/>
    </w:rPr>
  </w:style>
  <w:style w:type="paragraph" w:styleId="8">
    <w:name w:val="footer"/>
    <w:basedOn w:val="1"/>
    <w:link w:val="18"/>
    <w:qFormat/>
    <w:uiPriority w:val="0"/>
    <w:pPr>
      <w:tabs>
        <w:tab w:val="center" w:pos="4153"/>
        <w:tab w:val="right" w:pos="8306"/>
      </w:tabs>
      <w:snapToGrid w:val="0"/>
      <w:jc w:val="left"/>
    </w:pPr>
    <w:rPr>
      <w:sz w:val="18"/>
      <w:szCs w:val="18"/>
    </w:rPr>
  </w:style>
  <w:style w:type="paragraph" w:styleId="9">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2"/>
    <w:qFormat/>
    <w:uiPriority w:val="99"/>
    <w:pPr>
      <w:widowControl/>
      <w:overflowPunct w:val="0"/>
      <w:autoSpaceDE w:val="0"/>
      <w:autoSpaceDN w:val="0"/>
      <w:adjustRightInd w:val="0"/>
      <w:ind w:firstLine="420"/>
      <w:jc w:val="left"/>
      <w:textAlignment w:val="baseline"/>
    </w:pPr>
  </w:style>
  <w:style w:type="paragraph" w:styleId="12">
    <w:name w:val="Body Text First Indent 2"/>
    <w:basedOn w:val="6"/>
    <w:unhideWhenUsed/>
    <w:qFormat/>
    <w:uiPriority w:val="0"/>
    <w:pPr>
      <w:ind w:firstLine="420" w:firstLineChars="200"/>
    </w:pPr>
    <w:rPr>
      <w:szCs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
    <w:name w:val="文档结构图 Char"/>
    <w:basedOn w:val="15"/>
    <w:link w:val="5"/>
    <w:qFormat/>
    <w:uiPriority w:val="0"/>
    <w:rPr>
      <w:rFonts w:ascii="宋体" w:hAnsi="Calibri"/>
      <w:kern w:val="2"/>
      <w:sz w:val="18"/>
      <w:szCs w:val="18"/>
    </w:rPr>
  </w:style>
  <w:style w:type="character" w:customStyle="1" w:styleId="17">
    <w:name w:val="页眉 Char"/>
    <w:basedOn w:val="15"/>
    <w:link w:val="9"/>
    <w:qFormat/>
    <w:uiPriority w:val="0"/>
    <w:rPr>
      <w:rFonts w:ascii="Calibri" w:hAnsi="Calibri"/>
      <w:kern w:val="2"/>
      <w:sz w:val="18"/>
      <w:szCs w:val="18"/>
    </w:rPr>
  </w:style>
  <w:style w:type="character" w:customStyle="1" w:styleId="18">
    <w:name w:val="页脚 Char"/>
    <w:basedOn w:val="15"/>
    <w:link w:val="8"/>
    <w:qFormat/>
    <w:uiPriority w:val="0"/>
    <w:rPr>
      <w:rFonts w:ascii="Calibri" w:hAnsi="Calibri"/>
      <w:kern w:val="2"/>
      <w:sz w:val="18"/>
      <w:szCs w:val="18"/>
    </w:rPr>
  </w:style>
  <w:style w:type="paragraph" w:styleId="19">
    <w:name w:val="List Paragraph"/>
    <w:basedOn w:val="1"/>
    <w:unhideWhenUsed/>
    <w:qFormat/>
    <w:uiPriority w:val="99"/>
    <w:pPr>
      <w:ind w:firstLine="420" w:firstLineChars="200"/>
    </w:pPr>
  </w:style>
  <w:style w:type="paragraph" w:customStyle="1" w:styleId="2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
    <w:name w:val="标题 2 Char"/>
    <w:basedOn w:val="15"/>
    <w:link w:val="4"/>
    <w:qFormat/>
    <w:uiPriority w:val="9"/>
    <w:rPr>
      <w:rFonts w:ascii="Arial" w:hAnsi="Arial"/>
      <w:b/>
      <w:i/>
      <w:color w:val="000000"/>
      <w:kern w:val="2"/>
      <w:sz w:val="28"/>
      <w:szCs w:val="22"/>
    </w:rPr>
  </w:style>
  <w:style w:type="paragraph" w:customStyle="1" w:styleId="22">
    <w:name w:val="目录 21"/>
    <w:basedOn w:val="1"/>
    <w:next w:val="1"/>
    <w:qFormat/>
    <w:uiPriority w:val="0"/>
    <w:pPr>
      <w:spacing w:before="100" w:beforeAutospacing="1" w:after="100" w:afterAutospacing="1"/>
      <w:ind w:left="420" w:leftChars="200"/>
    </w:pPr>
  </w:style>
  <w:style w:type="paragraph" w:customStyle="1" w:styleId="23">
    <w:name w:val="正文格式"/>
    <w:basedOn w:val="24"/>
    <w:qFormat/>
    <w:uiPriority w:val="0"/>
    <w:pPr>
      <w:widowControl/>
      <w:topLinePunct/>
      <w:ind w:firstLine="420" w:firstLineChars="200"/>
    </w:pPr>
    <w:rPr>
      <w:rFonts w:ascii="宋体" w:hAnsi="宋体"/>
      <w:bCs/>
      <w:sz w:val="24"/>
      <w:szCs w:val="21"/>
      <w:lang w:eastAsia="en-US" w:bidi="en-US"/>
    </w:rPr>
  </w:style>
  <w:style w:type="paragraph" w:customStyle="1" w:styleId="24">
    <w:name w:val="样式 (西文) Times New Roman (中文) 宋体 首行缩进:  2 字符"/>
    <w:basedOn w:val="1"/>
    <w:qFormat/>
    <w:uiPriority w:val="0"/>
    <w:pPr>
      <w:ind w:firstLine="560"/>
    </w:pPr>
    <w:rPr>
      <w:rFonts w:cs="宋体"/>
    </w:rPr>
  </w:style>
  <w:style w:type="paragraph" w:customStyle="1" w:styleId="25">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26">
    <w:name w:val="正文文本缩进 Char1"/>
    <w:basedOn w:val="15"/>
    <w:qFormat/>
    <w:uiPriority w:val="0"/>
    <w:rPr>
      <w:rFonts w:ascii="宋体" w:hAnsi="宋体" w:eastAsiaTheme="minorEastAsia"/>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2273</Words>
  <Characters>2629</Characters>
  <Lines>20</Lines>
  <Paragraphs>5</Paragraphs>
  <TotalTime>0</TotalTime>
  <ScaleCrop>false</ScaleCrop>
  <LinksUpToDate>false</LinksUpToDate>
  <CharactersWithSpaces>2774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2021-02-24T07:31:00Z</dcterms:created>
  <dc:creator>weixy</dc:creator>
  <cp:lastModifiedBy>杨莉</cp:lastModifiedBy>
  <dcterms:modified xsi:type="dcterms:W3CDTF">2025-12-30T06:47:14Z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86C3AEAC210040148598AAFD680F2BF4_13</vt:lpwstr>
  </property>
  <property fmtid="{D5CDD505-2E9C-101B-9397-08002B2CF9AE}" pid="4" name="KSOTemplateDocerSaveRecord">
    <vt:lpwstr>eyJoZGlkIjoiZGJjODM5NTk3MTUxYmYyNTNjZTg0Yzk2OTEwZDg4MjYiLCJ1c2VySWQiOiIxMzkyOTc5NTQwIn0=</vt:lpwstr>
  </property>
</Properties>
</file>