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ascii="隶书" w:eastAsia="隶书"/>
          <w:sz w:val="56"/>
          <w:szCs w:val="56"/>
        </w:rPr>
      </w:pPr>
      <w:bookmarkStart w:id="0" w:name="_Toc1572"/>
      <w:bookmarkStart w:id="1" w:name="_Toc6059"/>
    </w:p>
    <w:p>
      <w:pPr>
        <w:pStyle w:val="6"/>
        <w:jc w:val="center"/>
        <w:rPr>
          <w:rFonts w:ascii="隶书" w:eastAsia="隶书"/>
          <w:sz w:val="56"/>
          <w:szCs w:val="56"/>
        </w:rPr>
      </w:pPr>
    </w:p>
    <w:p>
      <w:pPr>
        <w:pStyle w:val="17"/>
        <w:rPr>
          <w:rFonts w:hint="eastAsia" w:ascii="黑体" w:hAnsi="黑体" w:eastAsia="黑体" w:cs="黑体"/>
          <w:sz w:val="48"/>
          <w:szCs w:val="48"/>
        </w:rPr>
      </w:pPr>
      <w:r>
        <w:rPr>
          <w:rFonts w:hint="eastAsia" w:ascii="黑体" w:hAnsi="黑体" w:eastAsia="黑体" w:cs="黑体"/>
          <w:sz w:val="48"/>
          <w:szCs w:val="48"/>
          <w:lang w:val="en-US" w:eastAsia="zh-CN"/>
        </w:rPr>
        <w:t>小型基建</w:t>
      </w:r>
      <w:r>
        <w:rPr>
          <w:rFonts w:hint="eastAsia" w:ascii="黑体" w:hAnsi="黑体" w:eastAsia="黑体" w:cs="黑体"/>
          <w:sz w:val="48"/>
          <w:szCs w:val="48"/>
        </w:rPr>
        <w:t>项目</w:t>
      </w:r>
    </w:p>
    <w:p>
      <w:pPr>
        <w:pStyle w:val="17"/>
        <w:rPr>
          <w:rFonts w:hint="eastAsia" w:ascii="黑体" w:hAnsi="黑体" w:eastAsia="黑体" w:cs="黑体"/>
          <w:sz w:val="48"/>
          <w:szCs w:val="48"/>
        </w:rPr>
      </w:pPr>
      <w:r>
        <w:rPr>
          <w:rFonts w:hint="eastAsia" w:ascii="黑体" w:hAnsi="黑体" w:eastAsia="黑体" w:cs="黑体"/>
          <w:sz w:val="48"/>
          <w:szCs w:val="48"/>
        </w:rPr>
        <w:t>零碳</w:t>
      </w:r>
      <w:r>
        <w:rPr>
          <w:rFonts w:hint="eastAsia" w:ascii="黑体" w:hAnsi="黑体" w:eastAsia="黑体" w:cs="黑体"/>
          <w:sz w:val="48"/>
          <w:szCs w:val="48"/>
          <w:lang w:eastAsia="zh-CN"/>
        </w:rPr>
        <w:t>（</w:t>
      </w:r>
      <w:r>
        <w:rPr>
          <w:rFonts w:hint="eastAsia" w:ascii="黑体" w:hAnsi="黑体" w:eastAsia="黑体" w:cs="黑体"/>
          <w:sz w:val="48"/>
          <w:szCs w:val="48"/>
        </w:rPr>
        <w:t>近零碳</w:t>
      </w:r>
      <w:r>
        <w:rPr>
          <w:rFonts w:hint="eastAsia" w:ascii="黑体" w:hAnsi="黑体" w:eastAsia="黑体" w:cs="黑体"/>
          <w:sz w:val="48"/>
          <w:szCs w:val="48"/>
          <w:lang w:eastAsia="zh-CN"/>
        </w:rPr>
        <w:t>）</w:t>
      </w:r>
      <w:r>
        <w:rPr>
          <w:rFonts w:hint="eastAsia" w:ascii="黑体" w:hAnsi="黑体" w:eastAsia="黑体" w:cs="黑体"/>
          <w:sz w:val="48"/>
          <w:szCs w:val="48"/>
          <w:lang w:val="en-US" w:eastAsia="zh-CN"/>
        </w:rPr>
        <w:t>建筑</w:t>
      </w:r>
      <w:r>
        <w:rPr>
          <w:rFonts w:ascii="黑体" w:hAnsi="黑体" w:eastAsia="黑体" w:cs="黑体"/>
          <w:sz w:val="48"/>
          <w:szCs w:val="48"/>
        </w:rPr>
        <w:t>研究</w:t>
      </w:r>
      <w:r>
        <w:rPr>
          <w:rFonts w:hint="eastAsia" w:ascii="黑体" w:hAnsi="黑体" w:eastAsia="黑体" w:cs="黑体"/>
          <w:sz w:val="48"/>
          <w:szCs w:val="48"/>
        </w:rPr>
        <w:t>专题</w:t>
      </w:r>
    </w:p>
    <w:p>
      <w:pPr>
        <w:pStyle w:val="6"/>
        <w:jc w:val="center"/>
        <w:rPr>
          <w:rFonts w:ascii="隶书" w:eastAsia="隶书"/>
          <w:sz w:val="48"/>
          <w:szCs w:val="48"/>
        </w:rPr>
      </w:pPr>
    </w:p>
    <w:p>
      <w:pPr>
        <w:pStyle w:val="6"/>
        <w:jc w:val="center"/>
        <w:rPr>
          <w:rFonts w:hint="eastAsia" w:ascii="黑体" w:hAnsi="黑体" w:eastAsia="黑体" w:cs="黑体"/>
          <w:color w:val="C00000"/>
          <w:sz w:val="36"/>
          <w:szCs w:val="36"/>
        </w:rPr>
      </w:pPr>
    </w:p>
    <w:p>
      <w:pPr>
        <w:pStyle w:val="6"/>
        <w:jc w:val="center"/>
        <w:rPr>
          <w:rFonts w:ascii="隶书" w:eastAsia="隶书"/>
          <w:sz w:val="48"/>
          <w:szCs w:val="48"/>
        </w:rPr>
      </w:pPr>
    </w:p>
    <w:p>
      <w:pPr>
        <w:pStyle w:val="6"/>
        <w:jc w:val="center"/>
        <w:rPr>
          <w:rFonts w:ascii="隶书" w:eastAsia="隶书"/>
          <w:sz w:val="48"/>
          <w:szCs w:val="48"/>
        </w:rPr>
      </w:pPr>
    </w:p>
    <w:p>
      <w:pPr>
        <w:pStyle w:val="6"/>
        <w:jc w:val="center"/>
        <w:rPr>
          <w:rFonts w:hint="eastAsia" w:ascii="黑体" w:hAnsi="黑体" w:eastAsia="黑体" w:cs="黑体"/>
          <w:sz w:val="52"/>
          <w:szCs w:val="52"/>
        </w:rPr>
      </w:pPr>
      <w:r>
        <w:rPr>
          <w:rFonts w:hint="eastAsia" w:ascii="黑体" w:hAnsi="黑体" w:eastAsia="黑体" w:cs="黑体"/>
          <w:sz w:val="52"/>
          <w:szCs w:val="52"/>
        </w:rPr>
        <w:t>技术规范书</w:t>
      </w:r>
    </w:p>
    <w:p>
      <w:pPr>
        <w:spacing w:before="156" w:beforeLines="50"/>
        <w:rPr>
          <w:rFonts w:hint="eastAsia" w:ascii="楷体_GB2312" w:hAnsi="宋体" w:eastAsia="楷体_GB2312"/>
          <w:sz w:val="32"/>
          <w:szCs w:val="32"/>
        </w:rPr>
      </w:pPr>
    </w:p>
    <w:p>
      <w:pPr>
        <w:spacing w:before="156" w:beforeLines="50"/>
        <w:jc w:val="center"/>
        <w:rPr>
          <w:rFonts w:hint="eastAsia" w:ascii="楷体_GB2312" w:hAnsi="宋体" w:eastAsia="楷体_GB2312"/>
          <w:sz w:val="32"/>
          <w:szCs w:val="32"/>
        </w:rPr>
      </w:pPr>
    </w:p>
    <w:p>
      <w:pPr>
        <w:spacing w:before="156" w:beforeLines="50"/>
        <w:rPr>
          <w:rFonts w:hint="eastAsia" w:ascii="楷体_GB2312" w:hAnsi="宋体" w:eastAsia="楷体_GB2312"/>
          <w:sz w:val="32"/>
          <w:szCs w:val="32"/>
        </w:rPr>
      </w:pPr>
    </w:p>
    <w:p>
      <w:pPr>
        <w:pStyle w:val="18"/>
        <w:rPr>
          <w:rStyle w:val="20"/>
          <w:rFonts w:hint="eastAsia" w:ascii="黑体" w:hAnsi="黑体" w:eastAsia="黑体" w:cs="黑体"/>
        </w:rPr>
      </w:pPr>
    </w:p>
    <w:p>
      <w:pPr>
        <w:pStyle w:val="18"/>
        <w:rPr>
          <w:rStyle w:val="20"/>
          <w:rFonts w:hint="eastAsia" w:ascii="黑体" w:hAnsi="黑体" w:eastAsia="黑体" w:cs="黑体"/>
        </w:rPr>
      </w:pPr>
    </w:p>
    <w:p>
      <w:pPr>
        <w:pStyle w:val="18"/>
        <w:rPr>
          <w:rFonts w:hint="eastAsia" w:ascii="黑体" w:hAnsi="黑体" w:eastAsia="黑体" w:cs="黑体"/>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Style w:val="20"/>
          <w:rFonts w:hint="eastAsia" w:ascii="黑体" w:hAnsi="黑体" w:eastAsia="黑体" w:cs="黑体"/>
        </w:rPr>
        <w:t>202</w:t>
      </w:r>
      <w:r>
        <w:rPr>
          <w:rStyle w:val="20"/>
          <w:rFonts w:ascii="黑体" w:hAnsi="黑体" w:eastAsia="黑体" w:cs="黑体"/>
        </w:rPr>
        <w:t>5</w:t>
      </w:r>
      <w:r>
        <w:rPr>
          <w:rStyle w:val="20"/>
          <w:rFonts w:hint="eastAsia" w:ascii="黑体" w:hAnsi="黑体" w:eastAsia="黑体" w:cs="黑体"/>
        </w:rPr>
        <w:t>年</w:t>
      </w:r>
      <w:r>
        <w:rPr>
          <w:rStyle w:val="20"/>
          <w:rFonts w:ascii="黑体" w:hAnsi="黑体" w:eastAsia="黑体" w:cs="黑体"/>
        </w:rPr>
        <w:t>0</w:t>
      </w:r>
      <w:r>
        <w:rPr>
          <w:rStyle w:val="20"/>
          <w:rFonts w:hint="eastAsia" w:ascii="黑体" w:hAnsi="黑体" w:eastAsia="黑体" w:cs="黑体"/>
          <w:lang w:val="en-US" w:eastAsia="zh-CN"/>
        </w:rPr>
        <w:t>9</w:t>
      </w:r>
      <w:r>
        <w:rPr>
          <w:rStyle w:val="20"/>
          <w:rFonts w:hint="eastAsia" w:ascii="黑体" w:hAnsi="黑体" w:eastAsia="黑体" w:cs="黑体"/>
        </w:rPr>
        <w:t>月</w:t>
      </w:r>
    </w:p>
    <w:p>
      <w:pPr>
        <w:snapToGrid w:val="0"/>
        <w:spacing w:line="360" w:lineRule="auto"/>
        <w:jc w:val="center"/>
        <w:rPr>
          <w:rFonts w:hint="eastAsia" w:ascii="黑体" w:hAnsi="黑体" w:eastAsia="黑体" w:cs="黑体"/>
          <w:bCs/>
          <w:sz w:val="44"/>
          <w:szCs w:val="36"/>
        </w:rPr>
      </w:pPr>
      <w:bookmarkStart w:id="2" w:name="_Toc30850"/>
      <w:r>
        <w:rPr>
          <w:rFonts w:hint="eastAsia" w:ascii="黑体" w:hAnsi="黑体" w:eastAsia="黑体" w:cs="黑体"/>
          <w:bCs/>
          <w:sz w:val="44"/>
          <w:szCs w:val="36"/>
        </w:rPr>
        <w:t>目 录</w:t>
      </w:r>
      <w:bookmarkEnd w:id="0"/>
      <w:bookmarkEnd w:id="1"/>
      <w:bookmarkEnd w:id="2"/>
    </w:p>
    <w:p>
      <w:pPr>
        <w:pStyle w:val="9"/>
        <w:tabs>
          <w:tab w:val="right" w:leader="dot" w:pos="8306"/>
        </w:tabs>
        <w:snapToGrid w:val="0"/>
        <w:spacing w:line="360" w:lineRule="auto"/>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TOC \o "1-2" \h \u </w:instrText>
      </w:r>
      <w:r>
        <w:rPr>
          <w:rFonts w:hint="eastAsia" w:ascii="宋体" w:hAnsi="宋体" w:cs="宋体"/>
          <w:sz w:val="24"/>
        </w:rPr>
        <w:fldChar w:fldCharType="separate"/>
      </w:r>
      <w:r>
        <w:fldChar w:fldCharType="begin"/>
      </w:r>
      <w:r>
        <w:instrText xml:space="preserve"> HYPERLINK \l "_Toc9347" </w:instrText>
      </w:r>
      <w:r>
        <w:fldChar w:fldCharType="separate"/>
      </w:r>
      <w:r>
        <w:rPr>
          <w:rFonts w:hint="eastAsia" w:ascii="宋体" w:hAnsi="宋体" w:cs="宋体"/>
          <w:sz w:val="24"/>
        </w:rPr>
        <w:t>总 则</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_Toc9347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p>
    <w:p>
      <w:pPr>
        <w:pStyle w:val="9"/>
        <w:tabs>
          <w:tab w:val="right" w:leader="dot" w:pos="8306"/>
        </w:tabs>
        <w:snapToGrid w:val="0"/>
        <w:spacing w:line="360" w:lineRule="auto"/>
        <w:rPr>
          <w:rFonts w:hint="eastAsia" w:ascii="宋体" w:hAnsi="宋体" w:cs="宋体"/>
          <w:sz w:val="24"/>
        </w:rPr>
      </w:pPr>
      <w:r>
        <w:fldChar w:fldCharType="begin"/>
      </w:r>
      <w:r>
        <w:instrText xml:space="preserve"> HYPERLINK \l "_Toc3738" </w:instrText>
      </w:r>
      <w:r>
        <w:fldChar w:fldCharType="separate"/>
      </w:r>
      <w:r>
        <w:rPr>
          <w:rFonts w:hint="eastAsia" w:ascii="宋体" w:hAnsi="宋体" w:cs="宋体"/>
          <w:sz w:val="24"/>
        </w:rPr>
        <w:t>1  标的概况</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_Toc3738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pPr>
        <w:pStyle w:val="9"/>
        <w:tabs>
          <w:tab w:val="right" w:leader="dot" w:pos="8306"/>
        </w:tabs>
        <w:snapToGrid w:val="0"/>
        <w:spacing w:line="360" w:lineRule="auto"/>
        <w:rPr>
          <w:rFonts w:hint="eastAsia" w:ascii="宋体" w:hAnsi="宋体" w:cs="宋体"/>
          <w:sz w:val="24"/>
        </w:rPr>
      </w:pPr>
      <w:r>
        <w:fldChar w:fldCharType="begin"/>
      </w:r>
      <w:r>
        <w:instrText xml:space="preserve"> HYPERLINK \l "_Toc7667" </w:instrText>
      </w:r>
      <w:r>
        <w:fldChar w:fldCharType="separate"/>
      </w:r>
      <w:r>
        <w:rPr>
          <w:rFonts w:hint="eastAsia" w:ascii="宋体" w:hAnsi="宋体" w:cs="宋体"/>
          <w:sz w:val="24"/>
        </w:rPr>
        <w:t>2  研究内容及目的</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_Toc7667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"_Toc29882" </w:instrText>
      </w:r>
      <w:r>
        <w:fldChar w:fldCharType="separate"/>
      </w:r>
      <w:r>
        <w:rPr>
          <w:rFonts w:hint="eastAsia" w:ascii="宋体" w:hAnsi="宋体" w:cs="宋体"/>
          <w:bCs/>
          <w:szCs w:val="24"/>
        </w:rPr>
        <w:t>2.1 研究内容</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_Toc29882 \h </w:instrText>
      </w:r>
      <w:r>
        <w:rPr>
          <w:rFonts w:hint="eastAsia" w:ascii="宋体" w:hAnsi="宋体" w:cs="宋体"/>
          <w:szCs w:val="24"/>
        </w:rPr>
        <w:fldChar w:fldCharType="separate"/>
      </w:r>
      <w:r>
        <w:rPr>
          <w:rFonts w:hint="eastAsia" w:ascii="宋体" w:hAnsi="宋体" w:cs="宋体"/>
          <w:szCs w:val="24"/>
        </w:rPr>
        <w:t>3</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"_Toc22754" </w:instrText>
      </w:r>
      <w:r>
        <w:fldChar w:fldCharType="separate"/>
      </w:r>
      <w:r>
        <w:rPr>
          <w:rFonts w:hint="eastAsia" w:ascii="宋体" w:hAnsi="宋体" w:cs="宋体"/>
          <w:bCs/>
          <w:szCs w:val="24"/>
        </w:rPr>
        <w:t>2.2 研究目的</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_Toc22754 \h </w:instrText>
      </w:r>
      <w:r>
        <w:rPr>
          <w:rFonts w:hint="eastAsia" w:ascii="宋体" w:hAnsi="宋体" w:cs="宋体"/>
          <w:szCs w:val="24"/>
        </w:rPr>
        <w:fldChar w:fldCharType="separate"/>
      </w:r>
      <w:r>
        <w:rPr>
          <w:rFonts w:hint="eastAsia" w:ascii="宋体" w:hAnsi="宋体" w:cs="宋体"/>
          <w:szCs w:val="24"/>
        </w:rPr>
        <w:t>4</w:t>
      </w:r>
      <w:r>
        <w:rPr>
          <w:rFonts w:hint="eastAsia" w:ascii="宋体" w:hAnsi="宋体" w:cs="宋体"/>
          <w:szCs w:val="24"/>
        </w:rPr>
        <w:fldChar w:fldCharType="end"/>
      </w:r>
      <w:r>
        <w:rPr>
          <w:rFonts w:hint="eastAsia" w:ascii="宋体" w:hAnsi="宋体" w:cs="宋体"/>
          <w:szCs w:val="24"/>
        </w:rPr>
        <w:fldChar w:fldCharType="end"/>
      </w:r>
    </w:p>
    <w:p>
      <w:pPr>
        <w:pStyle w:val="9"/>
        <w:tabs>
          <w:tab w:val="right" w:leader="dot" w:pos="8306"/>
        </w:tabs>
        <w:snapToGrid w:val="0"/>
        <w:spacing w:line="360" w:lineRule="auto"/>
        <w:rPr>
          <w:rFonts w:hint="eastAsia" w:ascii="宋体" w:hAnsi="宋体" w:cs="宋体"/>
          <w:sz w:val="24"/>
        </w:rPr>
      </w:pPr>
      <w:r>
        <w:fldChar w:fldCharType="begin"/>
      </w:r>
      <w:r>
        <w:instrText xml:space="preserve"> HYPERLINK \l "_Toc20003" </w:instrText>
      </w:r>
      <w:r>
        <w:fldChar w:fldCharType="separate"/>
      </w:r>
      <w:r>
        <w:rPr>
          <w:rFonts w:hint="eastAsia" w:ascii="宋体" w:hAnsi="宋体" w:cs="宋体"/>
          <w:sz w:val="24"/>
        </w:rPr>
        <w:t>3  主要技术指标要求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_Toc20003 \h </w:instrText>
      </w:r>
      <w:r>
        <w:rPr>
          <w:rFonts w:hint="eastAsia" w:ascii="宋体" w:hAnsi="宋体" w:cs="宋体"/>
          <w:sz w:val="24"/>
        </w:rPr>
        <w:fldChar w:fldCharType="separate"/>
      </w:r>
      <w:r>
        <w:rPr>
          <w:rFonts w:hint="eastAsia" w:ascii="宋体" w:hAnsi="宋体" w:cs="宋体"/>
          <w:sz w:val="24"/>
        </w:rPr>
        <w:t>5</w:t>
      </w:r>
      <w:r>
        <w:rPr>
          <w:rFonts w:hint="eastAsia" w:ascii="宋体" w:hAnsi="宋体" w:cs="宋体"/>
          <w:sz w:val="24"/>
        </w:rPr>
        <w:fldChar w:fldCharType="end"/>
      </w:r>
      <w:r>
        <w:rPr>
          <w:rFonts w:hint="eastAsia" w:ascii="宋体" w:hAnsi="宋体" w:cs="宋体"/>
          <w:sz w:val="24"/>
        </w:rPr>
        <w:fldChar w:fldCharType="end"/>
      </w:r>
    </w:p>
    <w:p>
      <w:pPr>
        <w:pStyle w:val="9"/>
        <w:tabs>
          <w:tab w:val="right" w:leader="dot" w:pos="8306"/>
        </w:tabs>
        <w:snapToGrid w:val="0"/>
        <w:spacing w:line="360" w:lineRule="auto"/>
        <w:rPr>
          <w:rFonts w:hint="eastAsia" w:ascii="宋体" w:hAnsi="宋体" w:cs="宋体"/>
          <w:sz w:val="24"/>
        </w:rPr>
      </w:pPr>
      <w:r>
        <w:fldChar w:fldCharType="begin"/>
      </w:r>
      <w:r>
        <w:instrText xml:space="preserve"> HYPERLINK \l "_Toc14246" </w:instrText>
      </w:r>
      <w:r>
        <w:fldChar w:fldCharType="separate"/>
      </w:r>
      <w:r>
        <w:rPr>
          <w:rFonts w:hint="eastAsia" w:ascii="宋体" w:hAnsi="宋体" w:cs="宋体"/>
          <w:sz w:val="24"/>
        </w:rPr>
        <w:t>4  时间进度要求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_Toc14246 \h </w:instrText>
      </w:r>
      <w:r>
        <w:rPr>
          <w:rFonts w:hint="eastAsia" w:ascii="宋体" w:hAnsi="宋体" w:cs="宋体"/>
          <w:sz w:val="24"/>
        </w:rPr>
        <w:fldChar w:fldCharType="separate"/>
      </w:r>
      <w:r>
        <w:rPr>
          <w:rFonts w:hint="eastAsia" w:ascii="宋体" w:hAnsi="宋体" w:cs="宋体"/>
          <w:sz w:val="24"/>
        </w:rPr>
        <w:t>5</w:t>
      </w:r>
      <w:r>
        <w:rPr>
          <w:rFonts w:hint="eastAsia" w:ascii="宋体" w:hAnsi="宋体" w:cs="宋体"/>
          <w:sz w:val="24"/>
        </w:rPr>
        <w:fldChar w:fldCharType="end"/>
      </w:r>
      <w:r>
        <w:rPr>
          <w:rFonts w:hint="eastAsia" w:ascii="宋体" w:hAnsi="宋体" w:cs="宋体"/>
          <w:sz w:val="24"/>
        </w:rPr>
        <w:fldChar w:fldCharType="end"/>
      </w:r>
    </w:p>
    <w:p>
      <w:pPr>
        <w:pStyle w:val="9"/>
        <w:tabs>
          <w:tab w:val="right" w:leader="dot" w:pos="8306"/>
        </w:tabs>
        <w:snapToGrid w:val="0"/>
        <w:spacing w:line="360" w:lineRule="auto"/>
        <w:rPr>
          <w:rFonts w:hint="eastAsia" w:ascii="宋体" w:hAnsi="宋体" w:cs="宋体"/>
          <w:sz w:val="24"/>
        </w:rPr>
      </w:pPr>
      <w:r>
        <w:fldChar w:fldCharType="begin"/>
      </w:r>
      <w:r>
        <w:instrText xml:space="preserve"> HYPERLINK \l "_Toc21501" </w:instrText>
      </w:r>
      <w:r>
        <w:fldChar w:fldCharType="separate"/>
      </w:r>
      <w:r>
        <w:rPr>
          <w:rFonts w:hint="eastAsia" w:ascii="宋体" w:hAnsi="宋体" w:cs="宋体"/>
          <w:sz w:val="24"/>
        </w:rPr>
        <w:t>5  成果交付与验收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_Toc21501 \h </w:instrText>
      </w:r>
      <w:r>
        <w:rPr>
          <w:rFonts w:hint="eastAsia" w:ascii="宋体" w:hAnsi="宋体" w:cs="宋体"/>
          <w:sz w:val="24"/>
        </w:rPr>
        <w:fldChar w:fldCharType="separate"/>
      </w:r>
      <w:r>
        <w:rPr>
          <w:rFonts w:hint="eastAsia" w:ascii="宋体" w:hAnsi="宋体" w:cs="宋体"/>
          <w:sz w:val="24"/>
        </w:rPr>
        <w:t>6</w:t>
      </w:r>
      <w:r>
        <w:rPr>
          <w:rFonts w:hint="eastAsia" w:ascii="宋体" w:hAnsi="宋体" w:cs="宋体"/>
          <w:sz w:val="24"/>
        </w:rPr>
        <w:fldChar w:fldCharType="end"/>
      </w:r>
      <w:r>
        <w:rPr>
          <w:rFonts w:hint="eastAsia" w:ascii="宋体" w:hAnsi="宋体" w:cs="宋体"/>
          <w:sz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"_Toc5704" </w:instrText>
      </w:r>
      <w:r>
        <w:fldChar w:fldCharType="separate"/>
      </w:r>
      <w:r>
        <w:rPr>
          <w:rFonts w:hint="eastAsia" w:ascii="宋体" w:hAnsi="宋体" w:cs="宋体"/>
          <w:bCs/>
          <w:szCs w:val="24"/>
        </w:rPr>
        <w:t>5.1 成果形式及数量要求</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_Toc5704 \h </w:instrText>
      </w:r>
      <w:r>
        <w:rPr>
          <w:rFonts w:hint="eastAsia" w:ascii="宋体" w:hAnsi="宋体" w:cs="宋体"/>
          <w:szCs w:val="24"/>
        </w:rPr>
        <w:fldChar w:fldCharType="separate"/>
      </w:r>
      <w:r>
        <w:rPr>
          <w:rFonts w:hint="eastAsia" w:ascii="宋体" w:hAnsi="宋体" w:cs="宋体"/>
          <w:szCs w:val="24"/>
        </w:rPr>
        <w:t>7</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"_Toc25508" </w:instrText>
      </w:r>
      <w:r>
        <w:fldChar w:fldCharType="separate"/>
      </w:r>
      <w:r>
        <w:rPr>
          <w:rFonts w:hint="eastAsia" w:ascii="宋体" w:hAnsi="宋体" w:cs="宋体"/>
          <w:bCs/>
          <w:szCs w:val="24"/>
        </w:rPr>
        <w:t>★5.2 成果的权属要求</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_Toc25508 \h </w:instrText>
      </w:r>
      <w:r>
        <w:rPr>
          <w:rFonts w:hint="eastAsia" w:ascii="宋体" w:hAnsi="宋体" w:cs="宋体"/>
          <w:szCs w:val="24"/>
        </w:rPr>
        <w:fldChar w:fldCharType="separate"/>
      </w:r>
      <w:r>
        <w:rPr>
          <w:rFonts w:hint="eastAsia" w:ascii="宋体" w:hAnsi="宋体" w:cs="宋体"/>
          <w:szCs w:val="24"/>
        </w:rPr>
        <w:t>7</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"_Toc28744" </w:instrText>
      </w:r>
      <w:r>
        <w:fldChar w:fldCharType="separate"/>
      </w:r>
      <w:r>
        <w:rPr>
          <w:rFonts w:hint="eastAsia" w:ascii="宋体" w:hAnsi="宋体" w:cs="宋体"/>
          <w:bCs/>
          <w:szCs w:val="24"/>
        </w:rPr>
        <w:t>5.3技术架构要求</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_Toc28744 \h </w:instrText>
      </w:r>
      <w:r>
        <w:rPr>
          <w:rFonts w:hint="eastAsia" w:ascii="宋体" w:hAnsi="宋体" w:cs="宋体"/>
          <w:szCs w:val="24"/>
        </w:rPr>
        <w:fldChar w:fldCharType="separate"/>
      </w:r>
      <w:r>
        <w:rPr>
          <w:rFonts w:hint="eastAsia" w:ascii="宋体" w:hAnsi="宋体" w:cs="宋体"/>
          <w:szCs w:val="24"/>
        </w:rPr>
        <w:t>8</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"_Toc6117" </w:instrText>
      </w:r>
      <w:r>
        <w:fldChar w:fldCharType="separate"/>
      </w:r>
      <w:r>
        <w:rPr>
          <w:rFonts w:hint="eastAsia" w:ascii="宋体" w:hAnsi="宋体" w:cs="宋体"/>
          <w:bCs/>
          <w:szCs w:val="24"/>
        </w:rPr>
        <w:t>5.4成果验收</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_Toc6117 \h </w:instrText>
      </w:r>
      <w:r>
        <w:rPr>
          <w:rFonts w:hint="eastAsia" w:ascii="宋体" w:hAnsi="宋体" w:cs="宋体"/>
          <w:szCs w:val="24"/>
        </w:rPr>
        <w:fldChar w:fldCharType="separate"/>
      </w:r>
      <w:r>
        <w:rPr>
          <w:rFonts w:hint="eastAsia" w:ascii="宋体" w:hAnsi="宋体" w:cs="宋体"/>
          <w:szCs w:val="24"/>
        </w:rPr>
        <w:t>8</w:t>
      </w:r>
      <w:r>
        <w:rPr>
          <w:rFonts w:hint="eastAsia" w:ascii="宋体" w:hAnsi="宋体" w:cs="宋体"/>
          <w:szCs w:val="24"/>
        </w:rPr>
        <w:fldChar w:fldCharType="end"/>
      </w:r>
      <w:r>
        <w:rPr>
          <w:rFonts w:hint="eastAsia" w:ascii="宋体" w:hAnsi="宋体" w:cs="宋体"/>
          <w:szCs w:val="24"/>
        </w:rPr>
        <w:fldChar w:fldCharType="end"/>
      </w:r>
    </w:p>
    <w:p>
      <w:pPr>
        <w:pStyle w:val="9"/>
        <w:tabs>
          <w:tab w:val="right" w:leader="dot" w:pos="8306"/>
        </w:tabs>
        <w:snapToGrid w:val="0"/>
        <w:spacing w:line="360" w:lineRule="auto"/>
        <w:rPr>
          <w:rFonts w:hint="eastAsia" w:ascii="宋体" w:hAnsi="宋体" w:cs="宋体"/>
          <w:sz w:val="24"/>
        </w:rPr>
      </w:pPr>
      <w:r>
        <w:fldChar w:fldCharType="begin"/>
      </w:r>
      <w:r>
        <w:instrText xml:space="preserve"> HYPERLINK \l "_Toc30047" </w:instrText>
      </w:r>
      <w:r>
        <w:fldChar w:fldCharType="separate"/>
      </w:r>
      <w:r>
        <w:rPr>
          <w:rFonts w:hint="eastAsia" w:ascii="宋体" w:hAnsi="宋体" w:cs="宋体"/>
          <w:sz w:val="24"/>
        </w:rPr>
        <w:t>6  投标技术文件要求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_Toc30047 \h </w:instrText>
      </w:r>
      <w:r>
        <w:rPr>
          <w:rFonts w:hint="eastAsia" w:ascii="宋体" w:hAnsi="宋体" w:cs="宋体"/>
          <w:sz w:val="24"/>
        </w:rPr>
        <w:fldChar w:fldCharType="separate"/>
      </w:r>
      <w:r>
        <w:rPr>
          <w:rFonts w:hint="eastAsia" w:ascii="宋体" w:hAnsi="宋体" w:cs="宋体"/>
          <w:sz w:val="24"/>
        </w:rPr>
        <w:t>8</w:t>
      </w:r>
      <w:r>
        <w:rPr>
          <w:rFonts w:hint="eastAsia" w:ascii="宋体" w:hAnsi="宋体" w:cs="宋体"/>
          <w:sz w:val="24"/>
        </w:rPr>
        <w:fldChar w:fldCharType="end"/>
      </w:r>
      <w:r>
        <w:rPr>
          <w:rFonts w:hint="eastAsia" w:ascii="宋体" w:hAnsi="宋体" w:cs="宋体"/>
          <w:sz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"_Toc26928" </w:instrText>
      </w:r>
      <w:r>
        <w:fldChar w:fldCharType="separate"/>
      </w:r>
      <w:r>
        <w:rPr>
          <w:rFonts w:hint="eastAsia" w:ascii="宋体" w:hAnsi="宋体" w:cs="宋体"/>
          <w:bCs/>
          <w:szCs w:val="24"/>
        </w:rPr>
        <w:t>6.1 研究方案</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_Toc26928 \h </w:instrText>
      </w:r>
      <w:r>
        <w:rPr>
          <w:rFonts w:hint="eastAsia" w:ascii="宋体" w:hAnsi="宋体" w:cs="宋体"/>
          <w:szCs w:val="24"/>
        </w:rPr>
        <w:fldChar w:fldCharType="separate"/>
      </w:r>
      <w:r>
        <w:rPr>
          <w:rFonts w:hint="eastAsia" w:ascii="宋体" w:hAnsi="宋体" w:cs="宋体"/>
          <w:szCs w:val="24"/>
        </w:rPr>
        <w:t>8</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"_Toc3443" </w:instrText>
      </w:r>
      <w:r>
        <w:fldChar w:fldCharType="separate"/>
      </w:r>
      <w:r>
        <w:rPr>
          <w:rFonts w:hint="eastAsia" w:ascii="宋体" w:hAnsi="宋体" w:cs="宋体"/>
          <w:bCs/>
          <w:szCs w:val="24"/>
        </w:rPr>
        <w:t>6.2 项目管理实施</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_Toc3443 \h </w:instrText>
      </w:r>
      <w:r>
        <w:rPr>
          <w:rFonts w:hint="eastAsia" w:ascii="宋体" w:hAnsi="宋体" w:cs="宋体"/>
          <w:szCs w:val="24"/>
        </w:rPr>
        <w:fldChar w:fldCharType="separate"/>
      </w:r>
      <w:r>
        <w:rPr>
          <w:rFonts w:hint="eastAsia" w:ascii="宋体" w:hAnsi="宋体" w:cs="宋体"/>
          <w:szCs w:val="24"/>
        </w:rPr>
        <w:t>8</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"_Toc29755" </w:instrText>
      </w:r>
      <w:r>
        <w:fldChar w:fldCharType="separate"/>
      </w:r>
      <w:r>
        <w:rPr>
          <w:rFonts w:hint="eastAsia" w:ascii="宋体" w:hAnsi="宋体" w:cs="宋体"/>
          <w:bCs/>
          <w:szCs w:val="24"/>
        </w:rPr>
        <w:t>6.3 项目技术支撑能力</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_Toc29755 \h </w:instrText>
      </w:r>
      <w:r>
        <w:rPr>
          <w:rFonts w:hint="eastAsia" w:ascii="宋体" w:hAnsi="宋体" w:cs="宋体"/>
          <w:szCs w:val="24"/>
        </w:rPr>
        <w:fldChar w:fldCharType="separate"/>
      </w:r>
      <w:r>
        <w:rPr>
          <w:rFonts w:hint="eastAsia" w:ascii="宋体" w:hAnsi="宋体" w:cs="宋体"/>
          <w:szCs w:val="24"/>
        </w:rPr>
        <w:t>9</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"_Toc3357" </w:instrText>
      </w:r>
      <w:r>
        <w:fldChar w:fldCharType="separate"/>
      </w:r>
      <w:r>
        <w:rPr>
          <w:rFonts w:hint="eastAsia" w:ascii="宋体" w:hAnsi="宋体" w:cs="宋体"/>
          <w:bCs/>
          <w:szCs w:val="24"/>
        </w:rPr>
        <w:t>6.4 技术支持与售后服务</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_Toc3357 \h </w:instrText>
      </w:r>
      <w:r>
        <w:rPr>
          <w:rFonts w:hint="eastAsia" w:ascii="宋体" w:hAnsi="宋体" w:cs="宋体"/>
          <w:szCs w:val="24"/>
        </w:rPr>
        <w:fldChar w:fldCharType="separate"/>
      </w:r>
      <w:r>
        <w:rPr>
          <w:rFonts w:hint="eastAsia" w:ascii="宋体" w:hAnsi="宋体" w:cs="宋体"/>
          <w:szCs w:val="24"/>
        </w:rPr>
        <w:t>9</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"_Toc17138" </w:instrText>
      </w:r>
      <w:r>
        <w:fldChar w:fldCharType="separate"/>
      </w:r>
      <w:r>
        <w:rPr>
          <w:rFonts w:hint="eastAsia" w:ascii="宋体" w:hAnsi="宋体" w:cs="宋体"/>
          <w:bCs/>
          <w:szCs w:val="24"/>
        </w:rPr>
        <w:t>6.5 技术差异表</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_Toc17138 \h </w:instrText>
      </w:r>
      <w:r>
        <w:rPr>
          <w:rFonts w:hint="eastAsia" w:ascii="宋体" w:hAnsi="宋体" w:cs="宋体"/>
          <w:szCs w:val="24"/>
        </w:rPr>
        <w:fldChar w:fldCharType="separate"/>
      </w:r>
      <w:r>
        <w:rPr>
          <w:rFonts w:hint="eastAsia" w:ascii="宋体" w:hAnsi="宋体" w:cs="宋体"/>
          <w:szCs w:val="24"/>
        </w:rPr>
        <w:t>9</w:t>
      </w:r>
      <w:r>
        <w:rPr>
          <w:rFonts w:hint="eastAsia" w:ascii="宋体" w:hAnsi="宋体" w:cs="宋体"/>
          <w:szCs w:val="24"/>
        </w:rPr>
        <w:fldChar w:fldCharType="end"/>
      </w:r>
      <w:r>
        <w:rPr>
          <w:rFonts w:hint="eastAsia" w:ascii="宋体" w:hAnsi="宋体" w:cs="宋体"/>
          <w:szCs w:val="24"/>
        </w:rPr>
        <w:fldChar w:fldCharType="end"/>
      </w:r>
    </w:p>
    <w:p>
      <w:pPr>
        <w:pStyle w:val="10"/>
        <w:tabs>
          <w:tab w:val="right" w:leader="dot" w:pos="8306"/>
          <w:tab w:val="clear" w:pos="8302"/>
        </w:tabs>
        <w:rPr>
          <w:rFonts w:hint="eastAsia" w:ascii="宋体" w:hAnsi="宋体" w:cs="宋体"/>
          <w:szCs w:val="24"/>
        </w:rPr>
      </w:pPr>
      <w:r>
        <w:fldChar w:fldCharType="begin"/>
      </w:r>
      <w:r>
        <w:instrText xml:space="preserve"> HYPERLINK \l "_Toc10100" </w:instrText>
      </w:r>
      <w:r>
        <w:fldChar w:fldCharType="separate"/>
      </w:r>
      <w:r>
        <w:rPr>
          <w:rFonts w:hint="eastAsia" w:ascii="宋体" w:hAnsi="宋体" w:cs="宋体"/>
          <w:szCs w:val="24"/>
        </w:rPr>
        <w:t>6.6 其它补充说明</w:t>
      </w:r>
      <w:r>
        <w:rPr>
          <w:rFonts w:hint="eastAsia" w:ascii="宋体" w:hAnsi="宋体" w:cs="宋体"/>
          <w:szCs w:val="24"/>
        </w:rPr>
        <w:tab/>
      </w:r>
      <w:r>
        <w:rPr>
          <w:rFonts w:hint="eastAsia" w:ascii="宋体" w:hAnsi="宋体" w:cs="宋体"/>
          <w:szCs w:val="24"/>
        </w:rPr>
        <w:fldChar w:fldCharType="begin"/>
      </w:r>
      <w:r>
        <w:rPr>
          <w:rFonts w:hint="eastAsia" w:ascii="宋体" w:hAnsi="宋体" w:cs="宋体"/>
          <w:szCs w:val="24"/>
        </w:rPr>
        <w:instrText xml:space="preserve"> PAGEREF _Toc10100 \h </w:instrText>
      </w:r>
      <w:r>
        <w:rPr>
          <w:rFonts w:hint="eastAsia" w:ascii="宋体" w:hAnsi="宋体" w:cs="宋体"/>
          <w:szCs w:val="24"/>
        </w:rPr>
        <w:fldChar w:fldCharType="separate"/>
      </w:r>
      <w:r>
        <w:rPr>
          <w:rFonts w:hint="eastAsia" w:ascii="宋体" w:hAnsi="宋体" w:cs="宋体"/>
          <w:szCs w:val="24"/>
        </w:rPr>
        <w:t>10</w:t>
      </w:r>
      <w:r>
        <w:rPr>
          <w:rFonts w:hint="eastAsia" w:ascii="宋体" w:hAnsi="宋体" w:cs="宋体"/>
          <w:szCs w:val="24"/>
        </w:rPr>
        <w:fldChar w:fldCharType="end"/>
      </w:r>
      <w:r>
        <w:rPr>
          <w:rFonts w:hint="eastAsia" w:ascii="宋体" w:hAnsi="宋体" w:cs="宋体"/>
          <w:szCs w:val="24"/>
        </w:rPr>
        <w:fldChar w:fldCharType="end"/>
      </w:r>
    </w:p>
    <w:p>
      <w:pPr>
        <w:pStyle w:val="9"/>
        <w:tabs>
          <w:tab w:val="right" w:leader="dot" w:pos="8306"/>
        </w:tabs>
        <w:snapToGrid w:val="0"/>
        <w:spacing w:line="360" w:lineRule="auto"/>
        <w:rPr>
          <w:rFonts w:hint="eastAsia" w:ascii="黑体" w:hAnsi="黑体" w:eastAsia="黑体" w:cs="黑体"/>
          <w:b/>
          <w:sz w:val="24"/>
        </w:rPr>
      </w:pPr>
      <w:r>
        <w:rPr>
          <w:rFonts w:hint="eastAsia" w:ascii="宋体" w:hAnsi="宋体" w:cs="宋体"/>
          <w:sz w:val="24"/>
        </w:rPr>
        <w:fldChar w:fldCharType="end"/>
      </w:r>
    </w:p>
    <w:p>
      <w:pPr>
        <w:rPr>
          <w:rFonts w:hint="eastAsia" w:ascii="宋体" w:hAnsi="宋体"/>
          <w:b/>
          <w:sz w:val="30"/>
        </w:rPr>
      </w:pPr>
      <w:r>
        <w:rPr>
          <w:rFonts w:ascii="宋体" w:hAnsi="宋体"/>
          <w:b/>
          <w:sz w:val="30"/>
        </w:rPr>
        <w:br w:type="page"/>
      </w:r>
    </w:p>
    <w:p>
      <w:pPr>
        <w:spacing w:line="480" w:lineRule="auto"/>
        <w:jc w:val="center"/>
        <w:outlineLvl w:val="0"/>
        <w:rPr>
          <w:rFonts w:hint="eastAsia" w:ascii="宋体" w:hAnsi="宋体"/>
          <w:b/>
          <w:sz w:val="32"/>
        </w:rPr>
      </w:pPr>
      <w:bookmarkStart w:id="3" w:name="_Toc19589"/>
      <w:bookmarkStart w:id="4" w:name="_Toc32374"/>
      <w:bookmarkStart w:id="5" w:name="_Toc17586"/>
      <w:bookmarkStart w:id="6" w:name="_Toc266713645"/>
      <w:bookmarkStart w:id="7" w:name="_Toc9347"/>
      <w:r>
        <w:rPr>
          <w:rFonts w:hint="eastAsia" w:ascii="宋体" w:hAnsi="宋体"/>
          <w:b/>
          <w:sz w:val="32"/>
        </w:rPr>
        <w:t>总 则</w:t>
      </w:r>
      <w:bookmarkEnd w:id="3"/>
      <w:bookmarkEnd w:id="4"/>
      <w:bookmarkEnd w:id="5"/>
      <w:bookmarkEnd w:id="6"/>
      <w:bookmarkEnd w:id="7"/>
    </w:p>
    <w:p>
      <w:pPr>
        <w:numPr>
          <w:ilvl w:val="0"/>
          <w:numId w:val="2"/>
        </w:numPr>
        <w:spacing w:line="360" w:lineRule="auto"/>
        <w:rPr>
          <w:rFonts w:hint="eastAsia" w:ascii="宋体" w:hAnsi="宋体"/>
          <w:bCs/>
          <w:sz w:val="24"/>
        </w:rPr>
      </w:pPr>
      <w:r>
        <w:rPr>
          <w:rFonts w:hint="eastAsia" w:ascii="宋体" w:hAnsi="宋体"/>
          <w:bCs/>
          <w:sz w:val="24"/>
        </w:rPr>
        <w:t>本文件为该采购项目的技术招标文件。</w:t>
      </w:r>
    </w:p>
    <w:p>
      <w:pPr>
        <w:numPr>
          <w:ilvl w:val="0"/>
          <w:numId w:val="2"/>
        </w:numPr>
        <w:spacing w:line="360" w:lineRule="auto"/>
        <w:rPr>
          <w:rFonts w:hint="eastAsia" w:ascii="宋体" w:hAnsi="宋体"/>
          <w:bCs/>
          <w:sz w:val="24"/>
        </w:rPr>
      </w:pPr>
      <w:r>
        <w:rPr>
          <w:rFonts w:hint="eastAsia" w:ascii="宋体" w:hAnsi="宋体"/>
          <w:bCs/>
          <w:sz w:val="24"/>
        </w:rPr>
        <w:t>本文件所描述的各</w:t>
      </w:r>
      <w:r>
        <w:rPr>
          <w:rFonts w:hint="eastAsia" w:hAnsi="宋体"/>
          <w:bCs/>
          <w:sz w:val="24"/>
        </w:rPr>
        <w:t>项技术要求</w:t>
      </w:r>
      <w:r>
        <w:rPr>
          <w:rFonts w:hint="eastAsia" w:ascii="宋体" w:hAnsi="宋体"/>
          <w:bCs/>
          <w:sz w:val="24"/>
        </w:rPr>
        <w:t>仅供投标方编制投标文件之用。</w:t>
      </w:r>
    </w:p>
    <w:p>
      <w:pPr>
        <w:numPr>
          <w:ilvl w:val="0"/>
          <w:numId w:val="2"/>
        </w:numPr>
        <w:spacing w:line="360" w:lineRule="auto"/>
        <w:rPr>
          <w:rFonts w:hint="eastAsia" w:ascii="宋体" w:hAnsi="宋体"/>
          <w:bCs/>
          <w:sz w:val="24"/>
        </w:rPr>
      </w:pPr>
      <w:r>
        <w:rPr>
          <w:rFonts w:hint="eastAsia" w:ascii="宋体" w:hAnsi="宋体"/>
          <w:bCs/>
          <w:sz w:val="24"/>
        </w:rPr>
        <w:t>本标书仅描述基本的技术需求，并未对一切技术细节做出规定，也未充分引述有关标准和技术条文，投标方应根据需求目标提供进一步具体的可满足要求的</w:t>
      </w:r>
      <w:r>
        <w:rPr>
          <w:rFonts w:hint="eastAsia" w:hAnsi="宋体"/>
          <w:bCs/>
          <w:sz w:val="24"/>
        </w:rPr>
        <w:t>技术</w:t>
      </w:r>
      <w:r>
        <w:rPr>
          <w:rFonts w:hint="eastAsia" w:ascii="宋体" w:hAnsi="宋体"/>
          <w:bCs/>
          <w:sz w:val="24"/>
        </w:rPr>
        <w:t>指标。</w:t>
      </w:r>
    </w:p>
    <w:p>
      <w:pPr>
        <w:numPr>
          <w:ilvl w:val="0"/>
          <w:numId w:val="2"/>
        </w:numPr>
        <w:spacing w:line="360" w:lineRule="auto"/>
        <w:rPr>
          <w:rFonts w:hint="eastAsia" w:ascii="宋体" w:hAnsi="宋体"/>
          <w:bCs/>
          <w:sz w:val="24"/>
        </w:rPr>
      </w:pPr>
      <w:r>
        <w:rPr>
          <w:rFonts w:hint="eastAsia" w:ascii="宋体" w:hAnsi="宋体"/>
          <w:bCs/>
          <w:sz w:val="24"/>
        </w:rPr>
        <w:t>投标技术文件要求文字精练、数据准确、表述及图示清晰明确，具有针对性。</w:t>
      </w:r>
    </w:p>
    <w:p>
      <w:pPr>
        <w:numPr>
          <w:ilvl w:val="0"/>
          <w:numId w:val="2"/>
        </w:numPr>
        <w:spacing w:line="360" w:lineRule="auto"/>
        <w:rPr>
          <w:rFonts w:hint="eastAsia" w:ascii="宋体" w:hAnsi="宋体"/>
          <w:bCs/>
          <w:sz w:val="24"/>
        </w:rPr>
      </w:pPr>
      <w:r>
        <w:rPr>
          <w:rFonts w:hint="eastAsia" w:ascii="宋体" w:hAnsi="宋体"/>
          <w:bCs/>
          <w:sz w:val="24"/>
          <w:szCs w:val="22"/>
        </w:rPr>
        <w:t>投标方在投标技术文件中应对本标书逐项予以说明和答复,应如实反映投标</w:t>
      </w:r>
      <w:r>
        <w:rPr>
          <w:rFonts w:hint="eastAsia" w:hAnsi="宋体"/>
          <w:bCs/>
          <w:sz w:val="24"/>
          <w:szCs w:val="22"/>
        </w:rPr>
        <w:t>服务</w:t>
      </w:r>
      <w:r>
        <w:rPr>
          <w:rFonts w:hint="eastAsia" w:ascii="宋体" w:hAnsi="宋体"/>
          <w:bCs/>
          <w:sz w:val="24"/>
          <w:szCs w:val="22"/>
        </w:rPr>
        <w:t>与本技术规范书的技术差异。如果投标方没有提出技术差异，而在执行合同的过程中，招标方发现投标方提供的</w:t>
      </w:r>
      <w:r>
        <w:rPr>
          <w:rFonts w:hint="eastAsia" w:hAnsi="宋体"/>
          <w:bCs/>
          <w:sz w:val="24"/>
          <w:szCs w:val="22"/>
        </w:rPr>
        <w:t>服务</w:t>
      </w:r>
      <w:r>
        <w:rPr>
          <w:rFonts w:hint="eastAsia" w:ascii="宋体" w:hAnsi="宋体"/>
          <w:bCs/>
          <w:sz w:val="24"/>
          <w:szCs w:val="22"/>
        </w:rPr>
        <w:t>与其投标技术文件的条文存在差异，招标方</w:t>
      </w:r>
      <w:r>
        <w:rPr>
          <w:rFonts w:hint="eastAsia" w:hAnsi="宋体"/>
          <w:bCs/>
          <w:sz w:val="24"/>
          <w:szCs w:val="22"/>
        </w:rPr>
        <w:t>将</w:t>
      </w:r>
      <w:r>
        <w:rPr>
          <w:rFonts w:hint="eastAsia" w:ascii="宋体" w:hAnsi="宋体"/>
          <w:bCs/>
          <w:sz w:val="24"/>
          <w:szCs w:val="22"/>
        </w:rPr>
        <w:t>追究投标方违约责任</w:t>
      </w:r>
      <w:r>
        <w:rPr>
          <w:rFonts w:hint="eastAsia" w:ascii="宋体" w:hAnsi="宋体"/>
          <w:bCs/>
          <w:sz w:val="24"/>
        </w:rPr>
        <w:t>。</w:t>
      </w:r>
    </w:p>
    <w:p>
      <w:pPr>
        <w:numPr>
          <w:ilvl w:val="0"/>
          <w:numId w:val="2"/>
        </w:numPr>
        <w:spacing w:line="360" w:lineRule="auto"/>
        <w:rPr>
          <w:rFonts w:hint="eastAsia" w:ascii="宋体" w:hAnsi="宋体"/>
          <w:bCs/>
          <w:sz w:val="24"/>
        </w:rPr>
      </w:pPr>
      <w:r>
        <w:rPr>
          <w:rFonts w:hint="eastAsia" w:ascii="宋体" w:hAnsi="宋体"/>
          <w:bCs/>
          <w:sz w:val="24"/>
          <w:szCs w:val="22"/>
        </w:rPr>
        <w:t>投标方应在投标技术部分按本技术规范书的要求</w:t>
      </w:r>
      <w:r>
        <w:rPr>
          <w:rFonts w:hint="eastAsia" w:hAnsi="宋体"/>
          <w:bCs/>
          <w:sz w:val="24"/>
          <w:szCs w:val="22"/>
        </w:rPr>
        <w:t>内容</w:t>
      </w:r>
      <w:r>
        <w:rPr>
          <w:rFonts w:hint="eastAsia" w:ascii="宋体" w:hAnsi="宋体"/>
          <w:bCs/>
          <w:sz w:val="24"/>
          <w:szCs w:val="22"/>
        </w:rPr>
        <w:t>如实详细填写投标</w:t>
      </w:r>
      <w:r>
        <w:rPr>
          <w:rFonts w:hint="eastAsia" w:hAnsi="宋体"/>
          <w:bCs/>
          <w:sz w:val="24"/>
          <w:szCs w:val="22"/>
        </w:rPr>
        <w:t>服务</w:t>
      </w:r>
      <w:r>
        <w:rPr>
          <w:rFonts w:hint="eastAsia" w:ascii="宋体" w:hAnsi="宋体"/>
          <w:bCs/>
          <w:sz w:val="24"/>
          <w:szCs w:val="22"/>
        </w:rPr>
        <w:t>的</w:t>
      </w:r>
      <w:r>
        <w:rPr>
          <w:rFonts w:hint="eastAsia" w:hAnsi="宋体"/>
          <w:bCs/>
          <w:sz w:val="24"/>
          <w:szCs w:val="22"/>
        </w:rPr>
        <w:t>范围及明细</w:t>
      </w:r>
      <w:r>
        <w:rPr>
          <w:rFonts w:hint="eastAsia" w:ascii="宋体" w:hAnsi="宋体"/>
          <w:bCs/>
          <w:sz w:val="24"/>
          <w:szCs w:val="22"/>
        </w:rPr>
        <w:t>，并在投标商务部分</w:t>
      </w:r>
      <w:r>
        <w:rPr>
          <w:rFonts w:hint="eastAsia" w:hAnsi="宋体"/>
          <w:bCs/>
          <w:sz w:val="24"/>
          <w:szCs w:val="22"/>
        </w:rPr>
        <w:t>（或报价部分）</w:t>
      </w:r>
      <w:r>
        <w:rPr>
          <w:rFonts w:hint="eastAsia" w:ascii="宋体" w:hAnsi="宋体"/>
          <w:bCs/>
          <w:sz w:val="24"/>
          <w:szCs w:val="22"/>
        </w:rPr>
        <w:t>按</w:t>
      </w:r>
      <w:r>
        <w:rPr>
          <w:rFonts w:hint="eastAsia" w:hAnsi="宋体"/>
          <w:bCs/>
          <w:sz w:val="24"/>
          <w:szCs w:val="22"/>
        </w:rPr>
        <w:t>此范围及明细</w:t>
      </w:r>
      <w:r>
        <w:rPr>
          <w:rFonts w:hint="eastAsia" w:ascii="宋体" w:hAnsi="宋体"/>
          <w:bCs/>
          <w:sz w:val="24"/>
          <w:szCs w:val="22"/>
        </w:rPr>
        <w:t>进行</w:t>
      </w:r>
      <w:r>
        <w:rPr>
          <w:rFonts w:hint="eastAsia" w:hAnsi="宋体"/>
          <w:bCs/>
          <w:sz w:val="24"/>
          <w:szCs w:val="22"/>
        </w:rPr>
        <w:t>分项</w:t>
      </w:r>
      <w:r>
        <w:rPr>
          <w:rFonts w:hint="eastAsia" w:ascii="宋体" w:hAnsi="宋体"/>
          <w:bCs/>
          <w:sz w:val="24"/>
          <w:szCs w:val="22"/>
        </w:rPr>
        <w:t>报价，如发现</w:t>
      </w:r>
      <w:r>
        <w:rPr>
          <w:rFonts w:hint="eastAsia" w:hAnsi="宋体"/>
          <w:bCs/>
          <w:sz w:val="24"/>
          <w:szCs w:val="22"/>
        </w:rPr>
        <w:t>总报价与分项报价</w:t>
      </w:r>
      <w:r>
        <w:rPr>
          <w:rFonts w:hint="eastAsia" w:ascii="宋体" w:hAnsi="宋体"/>
          <w:bCs/>
          <w:sz w:val="24"/>
          <w:szCs w:val="22"/>
        </w:rPr>
        <w:t>有矛盾之处，将按有利于招标方的条款执行</w:t>
      </w:r>
      <w:r>
        <w:rPr>
          <w:rFonts w:hint="eastAsia" w:hAnsi="宋体"/>
          <w:bCs/>
          <w:sz w:val="24"/>
          <w:szCs w:val="22"/>
        </w:rPr>
        <w:t>。</w:t>
      </w:r>
      <w:r>
        <w:rPr>
          <w:rFonts w:hint="eastAsia" w:ascii="宋体" w:hAnsi="宋体"/>
          <w:bCs/>
          <w:sz w:val="24"/>
          <w:szCs w:val="22"/>
        </w:rPr>
        <w:t xml:space="preserve"> </w:t>
      </w:r>
    </w:p>
    <w:p>
      <w:pPr>
        <w:numPr>
          <w:ilvl w:val="0"/>
          <w:numId w:val="2"/>
        </w:numPr>
        <w:spacing w:line="360" w:lineRule="auto"/>
        <w:rPr>
          <w:rFonts w:hint="eastAsia" w:ascii="宋体" w:hAnsi="宋体"/>
          <w:bCs/>
          <w:sz w:val="24"/>
          <w:szCs w:val="22"/>
        </w:rPr>
      </w:pPr>
      <w:r>
        <w:rPr>
          <w:rFonts w:hint="eastAsia" w:ascii="宋体" w:hAnsi="宋体"/>
          <w:bCs/>
          <w:sz w:val="24"/>
          <w:szCs w:val="22"/>
        </w:rPr>
        <w:t>投标方必须仔细阅读采购文件的全部条款，并作出明确响应。采购文件带“★”号的条款及要求，投标方必须满足，若有一项不满足将否决投标。</w:t>
      </w:r>
    </w:p>
    <w:p>
      <w:pPr>
        <w:numPr>
          <w:ilvl w:val="0"/>
          <w:numId w:val="2"/>
        </w:numPr>
        <w:spacing w:line="360" w:lineRule="auto"/>
        <w:rPr>
          <w:rFonts w:hint="eastAsia" w:ascii="宋体" w:hAnsi="宋体"/>
          <w:bCs/>
          <w:sz w:val="24"/>
          <w:szCs w:val="22"/>
        </w:rPr>
      </w:pPr>
      <w:r>
        <w:rPr>
          <w:rFonts w:hint="eastAsia" w:ascii="宋体" w:hAnsi="宋体"/>
          <w:bCs/>
          <w:sz w:val="24"/>
          <w:szCs w:val="22"/>
        </w:rPr>
        <w:t>本技术规范书未尽事宜，由双方协商确定。</w:t>
      </w:r>
    </w:p>
    <w:p>
      <w:pPr>
        <w:numPr>
          <w:ilvl w:val="0"/>
          <w:numId w:val="2"/>
        </w:numPr>
        <w:spacing w:line="360" w:lineRule="auto"/>
        <w:rPr>
          <w:rFonts w:hint="eastAsia" w:ascii="宋体" w:hAnsi="宋体"/>
          <w:bCs/>
          <w:sz w:val="24"/>
        </w:rPr>
      </w:pPr>
      <w:r>
        <w:rPr>
          <w:rFonts w:hint="eastAsia" w:ascii="宋体" w:hAnsi="宋体"/>
          <w:bCs/>
          <w:sz w:val="24"/>
        </w:rPr>
        <w:t>本标书的最终解释权归招标方。</w:t>
      </w:r>
    </w:p>
    <w:p>
      <w:pPr>
        <w:pStyle w:val="21"/>
        <w:spacing w:before="312"/>
        <w:rPr>
          <w:rFonts w:hint="eastAsia"/>
          <w:szCs w:val="22"/>
        </w:rPr>
      </w:pPr>
      <w:r>
        <w:rPr>
          <w:rFonts w:hint="eastAsia"/>
          <w:szCs w:val="22"/>
        </w:rPr>
        <w:br w:type="page"/>
      </w:r>
    </w:p>
    <w:p>
      <w:pPr>
        <w:pStyle w:val="21"/>
        <w:spacing w:before="312"/>
        <w:outlineLvl w:val="0"/>
        <w:rPr>
          <w:rFonts w:hint="eastAsia" w:ascii="黑体" w:hAnsi="黑体" w:eastAsia="黑体" w:cs="黑体"/>
          <w:sz w:val="28"/>
          <w:szCs w:val="28"/>
        </w:rPr>
      </w:pPr>
      <w:bookmarkStart w:id="8" w:name="_Toc3738"/>
      <w:r>
        <w:rPr>
          <w:rFonts w:hint="eastAsia" w:ascii="黑体" w:hAnsi="黑体" w:eastAsia="黑体" w:cs="黑体"/>
          <w:sz w:val="28"/>
          <w:szCs w:val="28"/>
        </w:rPr>
        <w:t>1  标的概况</w:t>
      </w:r>
      <w:bookmarkEnd w:id="8"/>
    </w:p>
    <w:p>
      <w:pPr>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标的名称：</w:t>
      </w:r>
      <w:r>
        <w:rPr>
          <w:rFonts w:hint="eastAsia" w:asciiTheme="minorEastAsia" w:hAnsiTheme="minorEastAsia" w:eastAsiaTheme="minorEastAsia" w:cstheme="minorEastAsia"/>
          <w:sz w:val="24"/>
          <w:lang w:val="en-US" w:eastAsia="zh-CN"/>
        </w:rPr>
        <w:t>标的2.小型基建项目零碳（近零碳）建筑研究咨询服务</w:t>
      </w:r>
      <w:bookmarkStart w:id="35" w:name="_GoBack"/>
      <w:bookmarkEnd w:id="35"/>
    </w:p>
    <w:p>
      <w:pPr>
        <w:spacing w:line="360" w:lineRule="auto"/>
        <w:rPr>
          <w:rFonts w:hint="eastAsia" w:asciiTheme="minorEastAsia" w:hAnsiTheme="minorEastAsia" w:eastAsiaTheme="minorEastAsia" w:cstheme="minorEastAsia"/>
          <w:sz w:val="24"/>
        </w:rPr>
      </w:pPr>
      <w:bookmarkStart w:id="9" w:name="_Toc22746"/>
      <w:bookmarkStart w:id="10" w:name="_Toc30787"/>
      <w:r>
        <w:rPr>
          <w:rFonts w:hint="eastAsia" w:asciiTheme="minorEastAsia" w:hAnsiTheme="minorEastAsia" w:eastAsiaTheme="minorEastAsia" w:cstheme="minorEastAsia"/>
          <w:sz w:val="24"/>
        </w:rPr>
        <w:t>标包名称：</w:t>
      </w:r>
      <w:bookmarkEnd w:id="9"/>
      <w:bookmarkEnd w:id="10"/>
      <w:r>
        <w:rPr>
          <w:rFonts w:hint="eastAsia" w:asciiTheme="minorEastAsia" w:hAnsiTheme="minorEastAsia" w:eastAsiaTheme="minorEastAsia" w:cstheme="minorEastAsia"/>
          <w:sz w:val="24"/>
          <w:lang w:val="en-US" w:eastAsia="zh-CN"/>
        </w:rPr>
        <w:t>小型基建项目零碳（近零碳）建筑研究咨询服务</w:t>
      </w:r>
    </w:p>
    <w:p>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概况：</w:t>
      </w:r>
    </w:p>
    <w:p>
      <w:pPr>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本项目针对减碳目标与成本控制难以协同优化的难题，依托广州供电局南沙供用电实操用房（二期）项目，结合对小型基建项目建筑特点和用能特性的深入分析，对现有各类低碳技术（如节能材料、可再生能源、智能控制系统等）进行分类，筛选适用于小型基建项目的低碳技术。结合小型基建项目特点，设立分级评价指标，依据模型计算结果，编制小型基建低碳技术在综合适配性与经济性方面的推荐目录。从园区整体视角出发，分析适用于小型基建园区的低碳技术措施，提出面向未来的园区低碳发展规划，为项目在可行性研究与初步设计阶段合理选用技术措施提供指导。</w:t>
      </w:r>
    </w:p>
    <w:p>
      <w:pPr>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拟通过本项目研究，构建一套集减碳成效、适用性与经济性于一体的管理机制，支撑小型基建项目前期的科学决策。</w:t>
      </w:r>
      <w:r>
        <w:rPr>
          <w:rFonts w:asciiTheme="minorEastAsia" w:hAnsiTheme="minorEastAsia" w:eastAsiaTheme="minorEastAsia" w:cstheme="minorEastAsia"/>
          <w:color w:val="000000" w:themeColor="text1"/>
          <w:sz w:val="24"/>
          <w14:textFill>
            <w14:solidFill>
              <w14:schemeClr w14:val="tx1"/>
            </w14:solidFill>
          </w14:textFill>
        </w:rPr>
        <w:t>预期形成</w:t>
      </w:r>
      <w:r>
        <w:rPr>
          <w:rFonts w:hint="eastAsia" w:asciiTheme="minorEastAsia" w:hAnsiTheme="minorEastAsia" w:eastAsiaTheme="minorEastAsia" w:cstheme="minorEastAsia"/>
          <w:color w:val="000000" w:themeColor="text1"/>
          <w:sz w:val="24"/>
          <w14:textFill>
            <w14:solidFill>
              <w14:schemeClr w14:val="tx1"/>
            </w14:solidFill>
          </w14:textFill>
        </w:rPr>
        <w:t>研究报告2</w:t>
      </w:r>
      <w:r>
        <w:rPr>
          <w:rFonts w:asciiTheme="minorEastAsia" w:hAnsiTheme="minorEastAsia" w:eastAsiaTheme="minorEastAsia" w:cstheme="minorEastAsia"/>
          <w:color w:val="000000" w:themeColor="text1"/>
          <w:sz w:val="24"/>
          <w14:textFill>
            <w14:solidFill>
              <w14:schemeClr w14:val="tx1"/>
            </w14:solidFill>
          </w14:textFill>
        </w:rPr>
        <w:t>份</w:t>
      </w:r>
      <w:r>
        <w:rPr>
          <w:rFonts w:hint="eastAsia" w:asciiTheme="minorEastAsia" w:hAnsiTheme="minorEastAsia" w:eastAsiaTheme="minorEastAsia" w:cstheme="minorEastAsia"/>
          <w:color w:val="000000" w:themeColor="text1"/>
          <w:sz w:val="24"/>
          <w14:textFill>
            <w14:solidFill>
              <w14:schemeClr w14:val="tx1"/>
            </w14:solidFill>
          </w14:textFill>
        </w:rPr>
        <w:t>，</w:t>
      </w:r>
      <w:r>
        <w:rPr>
          <w:rFonts w:asciiTheme="minorEastAsia" w:hAnsiTheme="minorEastAsia" w:eastAsiaTheme="minorEastAsia" w:cstheme="minorEastAsia"/>
          <w:color w:val="000000" w:themeColor="text1"/>
          <w:sz w:val="24"/>
          <w14:textFill>
            <w14:solidFill>
              <w14:schemeClr w14:val="tx1"/>
            </w14:solidFill>
          </w14:textFill>
        </w:rPr>
        <w:t>录用或发表</w:t>
      </w:r>
      <w:r>
        <w:rPr>
          <w:rFonts w:hint="eastAsia" w:asciiTheme="minorEastAsia" w:hAnsiTheme="minorEastAsia" w:eastAsiaTheme="minorEastAsia" w:cstheme="minorEastAsia"/>
          <w:color w:val="000000" w:themeColor="text1"/>
          <w:sz w:val="24"/>
          <w14:textFill>
            <w14:solidFill>
              <w14:schemeClr w14:val="tx1"/>
            </w14:solidFill>
          </w14:textFill>
        </w:rPr>
        <w:t>期刊</w:t>
      </w:r>
      <w:r>
        <w:rPr>
          <w:rFonts w:asciiTheme="minorEastAsia" w:hAnsiTheme="minorEastAsia" w:eastAsiaTheme="minorEastAsia" w:cstheme="minorEastAsia"/>
          <w:color w:val="000000" w:themeColor="text1"/>
          <w:sz w:val="24"/>
          <w14:textFill>
            <w14:solidFill>
              <w14:schemeClr w14:val="tx1"/>
            </w14:solidFill>
          </w14:textFill>
        </w:rPr>
        <w:t>论文</w:t>
      </w:r>
      <w:r>
        <w:rPr>
          <w:rFonts w:hint="eastAsia" w:asciiTheme="minorEastAsia" w:hAnsiTheme="minorEastAsia" w:eastAsiaTheme="minorEastAsia" w:cstheme="minorEastAsia"/>
          <w:color w:val="000000" w:themeColor="text1"/>
          <w:sz w:val="24"/>
          <w14:textFill>
            <w14:solidFill>
              <w14:schemeClr w14:val="tx1"/>
            </w14:solidFill>
          </w14:textFill>
        </w:rPr>
        <w:t>3</w:t>
      </w:r>
      <w:r>
        <w:rPr>
          <w:rFonts w:asciiTheme="minorEastAsia" w:hAnsiTheme="minorEastAsia" w:eastAsiaTheme="minorEastAsia" w:cstheme="minorEastAsia"/>
          <w:color w:val="000000" w:themeColor="text1"/>
          <w:sz w:val="24"/>
          <w14:textFill>
            <w14:solidFill>
              <w14:schemeClr w14:val="tx1"/>
            </w14:solidFill>
          </w14:textFill>
        </w:rPr>
        <w:t>篇</w:t>
      </w:r>
      <w:r>
        <w:rPr>
          <w:rFonts w:hint="eastAsia" w:asciiTheme="minorEastAsia" w:hAnsiTheme="minorEastAsia" w:eastAsiaTheme="minorEastAsia" w:cstheme="minorEastAsia"/>
          <w:color w:val="000000" w:themeColor="text1"/>
          <w:sz w:val="24"/>
          <w14:textFill>
            <w14:solidFill>
              <w14:schemeClr w14:val="tx1"/>
            </w14:solidFill>
          </w14:textFill>
        </w:rPr>
        <w:t>，企业标准2部。项目将重点解决当前存在的绿色低碳技术难以系统化、精准化匹配</w:t>
      </w:r>
      <w:r>
        <w:rPr>
          <w:rFonts w:hint="eastAsia" w:asciiTheme="minorEastAsia" w:hAnsiTheme="minorEastAsia" w:eastAsiaTheme="minorEastAsia" w:cstheme="minorEastAsia"/>
          <w:color w:val="000000" w:themeColor="text1"/>
          <w:sz w:val="24"/>
          <w:lang w:val="en-US" w:eastAsia="zh-CN"/>
          <w14:textFill>
            <w14:solidFill>
              <w14:schemeClr w14:val="tx1"/>
            </w14:solidFill>
          </w14:textFill>
        </w:rPr>
        <w:t>18</w:t>
      </w:r>
      <w:r>
        <w:rPr>
          <w:rFonts w:hint="eastAsia" w:asciiTheme="minorEastAsia" w:hAnsiTheme="minorEastAsia" w:eastAsiaTheme="minorEastAsia" w:cstheme="minorEastAsia"/>
          <w:color w:val="000000" w:themeColor="text1"/>
          <w:sz w:val="24"/>
          <w14:textFill>
            <w14:solidFill>
              <w14:schemeClr w14:val="tx1"/>
            </w14:solidFill>
          </w14:textFill>
        </w:rPr>
        <w:t>类小型基建项目，以及</w:t>
      </w:r>
      <w:bookmarkStart w:id="11" w:name="_Hlk207356431"/>
      <w:r>
        <w:rPr>
          <w:rFonts w:hint="eastAsia" w:asciiTheme="minorEastAsia" w:hAnsiTheme="minorEastAsia" w:eastAsiaTheme="minorEastAsia" w:cstheme="minorEastAsia"/>
          <w:color w:val="000000" w:themeColor="text1"/>
          <w:sz w:val="24"/>
          <w14:textFill>
            <w14:solidFill>
              <w14:schemeClr w14:val="tx1"/>
            </w14:solidFill>
          </w14:textFill>
        </w:rPr>
        <w:t>减碳目标与成本控制难以协同优化</w:t>
      </w:r>
      <w:bookmarkEnd w:id="11"/>
      <w:r>
        <w:rPr>
          <w:rFonts w:hint="eastAsia" w:asciiTheme="minorEastAsia" w:hAnsiTheme="minorEastAsia" w:eastAsiaTheme="minorEastAsia" w:cstheme="minorEastAsia"/>
          <w:color w:val="000000" w:themeColor="text1"/>
          <w:sz w:val="24"/>
          <w14:textFill>
            <w14:solidFill>
              <w14:schemeClr w14:val="tx1"/>
            </w14:solidFill>
          </w14:textFill>
        </w:rPr>
        <w:t>的难题。</w:t>
      </w:r>
    </w:p>
    <w:p>
      <w:pPr>
        <w:pStyle w:val="21"/>
        <w:spacing w:before="312"/>
        <w:outlineLvl w:val="0"/>
        <w:rPr>
          <w:rFonts w:hint="eastAsia" w:ascii="黑体" w:hAnsi="黑体" w:eastAsia="黑体" w:cs="黑体"/>
          <w:sz w:val="28"/>
          <w:szCs w:val="28"/>
        </w:rPr>
      </w:pPr>
      <w:bookmarkStart w:id="12" w:name="_Toc7667"/>
      <w:r>
        <w:rPr>
          <w:rFonts w:hint="eastAsia" w:ascii="黑体" w:hAnsi="黑体" w:eastAsia="黑体" w:cs="黑体"/>
          <w:sz w:val="28"/>
          <w:szCs w:val="28"/>
        </w:rPr>
        <w:t>2  研究内容及目的</w:t>
      </w:r>
      <w:bookmarkEnd w:id="12"/>
    </w:p>
    <w:p>
      <w:pPr>
        <w:spacing w:line="360" w:lineRule="auto"/>
        <w:outlineLvl w:val="1"/>
        <w:rPr>
          <w:rFonts w:hint="eastAsia" w:ascii="黑体" w:hAnsi="黑体" w:eastAsia="黑体" w:cs="黑体"/>
          <w:bCs/>
          <w:sz w:val="24"/>
        </w:rPr>
      </w:pPr>
      <w:bookmarkStart w:id="13" w:name="_Toc29882"/>
      <w:r>
        <w:rPr>
          <w:rFonts w:hint="eastAsia" w:ascii="黑体" w:hAnsi="黑体" w:eastAsia="黑体" w:cs="黑体"/>
          <w:bCs/>
          <w:sz w:val="24"/>
        </w:rPr>
        <w:t>2.1 研究内容</w:t>
      </w:r>
      <w:bookmarkEnd w:id="13"/>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项目针对小型基建项目，开展兼顾经济效益与减碳量的协同优化研究。以精准的多目标优化分析为核心技术方法，融合能耗模拟、CFD仿真、绿色建筑节能分析、全生命周期建筑碳排放分析与多目标规划求解等多种技术手段，依托广州供电局南沙供用电实操用房（二期）项目进行验证，最终编制小型基建低碳技术在综合适配性与经济性方面的推荐目录，并建立小型基建低碳、近零碳、零碳的分级评价量化指标体系。具体内容主要包括：</w:t>
      </w: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1）梳理当前国内外打造零碳（近零碳）建筑的主要技术措施</w:t>
      </w: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梳理中国、美国、日本、英国等国家在零碳（近零碳）建筑领域的标准体系、前沿技术与典型案例，结合建筑全生命周期的碳排放特征，从能源供给侧、建筑本体节能和能源智慧管理三个维度，系统归纳与总结实现零碳（近零碳）目标的关键技术。</w:t>
      </w: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2）低碳技术措施对工程造价的影响研究</w:t>
      </w: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明确小型基建项目的建筑类型、功能需求和能源系统特征。通过全生命周期碳足迹分析，识别当前碳排放水平及主要排放源，并结合项目所在地的气候条件、能源供应方式和用户需求等工程特点，初步筛选适用的低碳技术，量化各低碳技术措施的减碳效果，并开展经济性评估，编制适用于小型基建项目的综合适配性与经济性的低碳技术推荐目录。</w:t>
      </w: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3）小型基建零碳（近零碳）建筑评价指引等研究</w:t>
      </w: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结合小型基建的建筑特点、经济性要求及国内外低碳、零碳相关规范，确定小型基建的低碳化建筑技术要求与关键性能指标，建立小型基建低碳、近零碳、零碳的分级评价量化指标体系，形成小型基建零碳（近零碳）建筑评价指引等。</w:t>
      </w:r>
    </w:p>
    <w:p>
      <w:pPr>
        <w:spacing w:line="360" w:lineRule="auto"/>
        <w:outlineLvl w:val="1"/>
        <w:rPr>
          <w:rFonts w:hint="eastAsia" w:asciiTheme="minorEastAsia" w:hAnsiTheme="minorEastAsia" w:eastAsiaTheme="minorEastAsia" w:cstheme="minorEastAsia"/>
          <w:color w:val="000000"/>
          <w:sz w:val="24"/>
        </w:rPr>
      </w:pPr>
      <w:bookmarkStart w:id="14" w:name="_Toc22754"/>
      <w:r>
        <w:rPr>
          <w:rFonts w:hint="eastAsia" w:ascii="黑体" w:hAnsi="黑体" w:eastAsia="黑体" w:cs="黑体"/>
          <w:bCs/>
          <w:sz w:val="24"/>
        </w:rPr>
        <w:t>2.2 研究目的</w:t>
      </w:r>
      <w:bookmarkEnd w:id="14"/>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针对小型基建项目类型多样、功能定位与建筑特点差异显著，且低碳技术种类繁多、适用性各异，减碳目标与成本控制难以协同等问题，导致项目前期难以科学规划和评估低碳技术方案。为此，本研究依托广州供电局南沙供用电实操用房（二期）项目，结合小型基建项目的建筑特点与用能特性分析，以“减碳量最大化”和“成本最小化”为双目标，构建分级评价指标体系，编制兼顾技术适配性与经济性的低碳技术推荐目录，为项目在可行性研究与初步设计阶段合理选用技术措施提供科学依据。</w:t>
      </w:r>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研究成果实现了对不同类型小型基建项目低碳技术的综合评估，为</w:t>
      </w:r>
      <w:r>
        <w:rPr>
          <w:rFonts w:hint="eastAsia"/>
          <w:color w:val="000000" w:themeColor="text1"/>
          <w:sz w:val="24"/>
          <w:lang w:val="en-US" w:eastAsia="zh-CN"/>
          <w14:textFill>
            <w14:solidFill>
              <w14:schemeClr w14:val="tx1"/>
            </w14:solidFill>
          </w14:textFill>
        </w:rPr>
        <w:t>小型基建</w:t>
      </w:r>
      <w:r>
        <w:rPr>
          <w:rFonts w:hint="eastAsia"/>
          <w:color w:val="000000" w:themeColor="text1"/>
          <w:sz w:val="24"/>
          <w14:textFill>
            <w14:solidFill>
              <w14:schemeClr w14:val="tx1"/>
            </w14:solidFill>
          </w14:textFill>
        </w:rPr>
        <w:t>项目的绿色低碳建设提供技术支撑，同时推动低碳技术在工程中的应用落地与提质增效，切实满足本项目建设的实际需求。</w:t>
      </w:r>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拟通过本项目研究，构建一套集减碳成效、适用性与经济性于一体的管理机制，支撑小型基建项目前期的科学决策。预期形成研究报告2份，录用或发表期刊论文3篇，企业标准2部。项目将重点解决当前存在的绿色低碳技术难以系统化、精准化匹配1</w:t>
      </w:r>
      <w:r>
        <w:rPr>
          <w:rFonts w:hint="eastAsia"/>
          <w:color w:val="000000" w:themeColor="text1"/>
          <w:sz w:val="24"/>
          <w:lang w:val="en-US" w:eastAsia="zh-CN"/>
          <w14:textFill>
            <w14:solidFill>
              <w14:schemeClr w14:val="tx1"/>
            </w14:solidFill>
          </w14:textFill>
        </w:rPr>
        <w:t>8</w:t>
      </w:r>
      <w:r>
        <w:rPr>
          <w:rFonts w:hint="eastAsia"/>
          <w:color w:val="000000" w:themeColor="text1"/>
          <w:sz w:val="24"/>
          <w14:textFill>
            <w14:solidFill>
              <w14:schemeClr w14:val="tx1"/>
            </w14:solidFill>
          </w14:textFill>
        </w:rPr>
        <w:t>类小型基建项目，以及减碳目标与成本控制难以协同优化的难题。</w:t>
      </w:r>
    </w:p>
    <w:p>
      <w:pPr>
        <w:pStyle w:val="21"/>
        <w:spacing w:before="312"/>
        <w:outlineLvl w:val="0"/>
        <w:rPr>
          <w:rFonts w:hint="eastAsia" w:ascii="黑体" w:hAnsi="黑体" w:eastAsia="黑体" w:cs="黑体"/>
          <w:sz w:val="28"/>
          <w:szCs w:val="28"/>
        </w:rPr>
      </w:pPr>
      <w:bookmarkStart w:id="15" w:name="_Toc20003"/>
      <w:r>
        <w:rPr>
          <w:rFonts w:hint="eastAsia" w:ascii="黑体" w:hAnsi="黑体" w:eastAsia="黑体" w:cs="黑体"/>
          <w:sz w:val="28"/>
          <w:szCs w:val="28"/>
        </w:rPr>
        <w:t>3  主要技术指标要求</w:t>
      </w:r>
      <w:bookmarkEnd w:id="15"/>
    </w:p>
    <w:p>
      <w:pPr>
        <w:spacing w:line="360" w:lineRule="auto"/>
        <w:ind w:firstLine="480" w:firstLineChars="200"/>
        <w:rPr>
          <w:rFonts w:hint="eastAsia" w:asciiTheme="majorEastAsia" w:hAnsiTheme="majorEastAsia" w:eastAsiaTheme="majorEastAsia" w:cstheme="minorEastAsia"/>
          <w:color w:val="000000" w:themeColor="text1"/>
          <w:sz w:val="24"/>
          <w14:textFill>
            <w14:solidFill>
              <w14:schemeClr w14:val="tx1"/>
            </w14:solidFill>
          </w14:textFill>
        </w:rPr>
      </w:pPr>
      <w:bookmarkStart w:id="16" w:name="_Toc266713650"/>
      <w:bookmarkStart w:id="17" w:name="_Toc14246"/>
      <w:r>
        <w:rPr>
          <w:rFonts w:hint="eastAsia" w:asciiTheme="majorEastAsia" w:hAnsiTheme="majorEastAsia" w:eastAsiaTheme="majorEastAsia" w:cstheme="minorEastAsia"/>
          <w:color w:val="000000" w:themeColor="text1"/>
          <w:sz w:val="24"/>
          <w14:textFill>
            <w14:solidFill>
              <w14:schemeClr w14:val="tx1"/>
            </w14:solidFill>
          </w14:textFill>
        </w:rPr>
        <w:t>（1）指标名称：小型基建低碳技术综合适配性与经济性的推荐目录</w:t>
      </w:r>
    </w:p>
    <w:p>
      <w:pPr>
        <w:spacing w:line="360" w:lineRule="auto"/>
        <w:ind w:firstLine="480" w:firstLineChars="200"/>
        <w:rPr>
          <w:rFonts w:hint="eastAsia" w:asciiTheme="majorEastAsia" w:hAnsiTheme="majorEastAsia" w:eastAsiaTheme="majorEastAsia" w:cstheme="minorEastAsia"/>
          <w:color w:val="000000" w:themeColor="text1"/>
          <w:sz w:val="24"/>
          <w14:textFill>
            <w14:solidFill>
              <w14:schemeClr w14:val="tx1"/>
            </w14:solidFill>
          </w14:textFill>
        </w:rPr>
      </w:pPr>
      <w:r>
        <w:rPr>
          <w:rFonts w:hint="eastAsia" w:asciiTheme="majorEastAsia" w:hAnsiTheme="majorEastAsia" w:eastAsiaTheme="majorEastAsia" w:cstheme="minorEastAsia"/>
          <w:color w:val="000000" w:themeColor="text1"/>
          <w:sz w:val="24"/>
          <w14:textFill>
            <w14:solidFill>
              <w14:schemeClr w14:val="tx1"/>
            </w14:solidFill>
          </w14:textFill>
        </w:rPr>
        <w:t>指标定义：基于对各类小型基建项目的建筑特点、功能需求、气候条件和用能特性的分析，结合低碳技术的减碳效果、适用条件、投资成本、运维费用等多维度指标，通过多目标优化模型，对备选低碳技术进行综合评估，并按其适配性（技术匹配度）和经济性（成本效益）进行加权排序后形成的优先级推荐目录；</w:t>
      </w:r>
    </w:p>
    <w:p>
      <w:pPr>
        <w:spacing w:line="360" w:lineRule="auto"/>
        <w:ind w:firstLine="480" w:firstLineChars="200"/>
        <w:rPr>
          <w:rFonts w:hint="eastAsia" w:asciiTheme="majorEastAsia" w:hAnsiTheme="majorEastAsia" w:eastAsiaTheme="majorEastAsia" w:cstheme="minorEastAsia"/>
          <w:color w:val="000000" w:themeColor="text1"/>
          <w:sz w:val="24"/>
          <w14:textFill>
            <w14:solidFill>
              <w14:schemeClr w14:val="tx1"/>
            </w14:solidFill>
          </w14:textFill>
        </w:rPr>
      </w:pPr>
      <w:r>
        <w:rPr>
          <w:rFonts w:hint="eastAsia" w:asciiTheme="majorEastAsia" w:hAnsiTheme="majorEastAsia" w:eastAsiaTheme="majorEastAsia" w:cstheme="minorEastAsia"/>
          <w:color w:val="000000" w:themeColor="text1"/>
          <w:sz w:val="24"/>
          <w14:textFill>
            <w14:solidFill>
              <w14:schemeClr w14:val="tx1"/>
            </w14:solidFill>
          </w14:textFill>
        </w:rPr>
        <w:t>整体验收应达到的量值：每类小型基建的低碳技术综合适配性与经济性推荐目录应涵盖不少于5项适用技术。</w:t>
      </w:r>
    </w:p>
    <w:p>
      <w:pPr>
        <w:spacing w:line="360" w:lineRule="auto"/>
        <w:ind w:firstLine="480" w:firstLineChars="200"/>
        <w:rPr>
          <w:rFonts w:hint="eastAsia" w:asciiTheme="majorEastAsia" w:hAnsiTheme="majorEastAsia" w:eastAsiaTheme="majorEastAsia" w:cstheme="minorEastAsia"/>
          <w:color w:val="000000" w:themeColor="text1"/>
          <w:sz w:val="24"/>
          <w14:textFill>
            <w14:solidFill>
              <w14:schemeClr w14:val="tx1"/>
            </w14:solidFill>
          </w14:textFill>
        </w:rPr>
      </w:pPr>
      <w:r>
        <w:rPr>
          <w:rFonts w:hint="eastAsia" w:asciiTheme="majorEastAsia" w:hAnsiTheme="majorEastAsia" w:eastAsiaTheme="majorEastAsia" w:cstheme="minorEastAsia"/>
          <w:color w:val="000000" w:themeColor="text1"/>
          <w:sz w:val="24"/>
          <w14:textFill>
            <w14:solidFill>
              <w14:schemeClr w14:val="tx1"/>
            </w14:solidFill>
          </w14:textFill>
        </w:rPr>
        <w:t>（2）指标名称：小型基建建筑降碳率</w:t>
      </w:r>
    </w:p>
    <w:p>
      <w:pPr>
        <w:spacing w:line="360" w:lineRule="auto"/>
        <w:ind w:firstLine="480" w:firstLineChars="200"/>
        <w:rPr>
          <w:rFonts w:hint="eastAsia" w:asciiTheme="majorEastAsia" w:hAnsiTheme="majorEastAsia" w:eastAsiaTheme="majorEastAsia" w:cstheme="minorEastAsia"/>
          <w:color w:val="000000" w:themeColor="text1"/>
          <w:sz w:val="24"/>
          <w14:textFill>
            <w14:solidFill>
              <w14:schemeClr w14:val="tx1"/>
            </w14:solidFill>
          </w14:textFill>
        </w:rPr>
      </w:pPr>
      <w:r>
        <w:rPr>
          <w:rFonts w:hint="eastAsia" w:asciiTheme="majorEastAsia" w:hAnsiTheme="majorEastAsia" w:eastAsiaTheme="majorEastAsia" w:cstheme="minorEastAsia"/>
          <w:color w:val="000000" w:themeColor="text1"/>
          <w:sz w:val="24"/>
          <w14:textFill>
            <w14:solidFill>
              <w14:schemeClr w14:val="tx1"/>
            </w14:solidFill>
          </w14:textFill>
        </w:rPr>
        <w:t>指标定义：在标准碳排放因子取值下，基准建筑碳排放量和设计建筑碳排放量的差值，与基准建筑碳排放量的比值；</w:t>
      </w:r>
    </w:p>
    <w:p>
      <w:pPr>
        <w:spacing w:line="360" w:lineRule="auto"/>
        <w:ind w:firstLine="480" w:firstLineChars="200"/>
        <w:rPr>
          <w:rFonts w:hint="eastAsia" w:asciiTheme="majorEastAsia" w:hAnsiTheme="majorEastAsia" w:eastAsiaTheme="majorEastAsia" w:cstheme="minorEastAsia"/>
          <w:color w:val="000000" w:themeColor="text1"/>
          <w:sz w:val="24"/>
          <w14:textFill>
            <w14:solidFill>
              <w14:schemeClr w14:val="tx1"/>
            </w14:solidFill>
          </w14:textFill>
        </w:rPr>
      </w:pPr>
      <w:r>
        <w:rPr>
          <w:rFonts w:hint="eastAsia" w:asciiTheme="majorEastAsia" w:hAnsiTheme="majorEastAsia" w:eastAsiaTheme="majorEastAsia" w:cstheme="minorEastAsia"/>
          <w:color w:val="000000" w:themeColor="text1"/>
          <w:sz w:val="24"/>
          <w14:textFill>
            <w14:solidFill>
              <w14:schemeClr w14:val="tx1"/>
            </w14:solidFill>
          </w14:textFill>
        </w:rPr>
        <w:t>整体验收应达到的量值：在满足小型基建低碳化建筑技术要求及关键性能指标的前提下，其降碳率不低于45%。</w:t>
      </w:r>
    </w:p>
    <w:p>
      <w:pPr>
        <w:pStyle w:val="21"/>
        <w:spacing w:before="312"/>
        <w:outlineLvl w:val="0"/>
        <w:rPr>
          <w:rFonts w:hint="eastAsia" w:ascii="黑体" w:hAnsi="黑体" w:eastAsia="黑体" w:cs="黑体"/>
          <w:sz w:val="28"/>
          <w:szCs w:val="28"/>
        </w:rPr>
      </w:pPr>
      <w:r>
        <w:rPr>
          <w:rFonts w:hint="eastAsia" w:ascii="黑体" w:hAnsi="黑体" w:eastAsia="黑体" w:cs="黑体"/>
          <w:sz w:val="28"/>
          <w:szCs w:val="28"/>
        </w:rPr>
        <w:t>4  时间进度要求</w:t>
      </w:r>
      <w:bookmarkEnd w:id="16"/>
      <w:bookmarkEnd w:id="17"/>
    </w:p>
    <w:p/>
    <w:tbl>
      <w:tblPr>
        <w:tblStyle w:val="11"/>
        <w:tblW w:w="839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6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91" w:type="dxa"/>
            <w:gridSpan w:val="2"/>
            <w:tcBorders>
              <w:tl2br w:val="nil"/>
              <w:tr2bl w:val="nil"/>
            </w:tcBorders>
            <w:vAlign w:val="center"/>
          </w:tcPr>
          <w:p>
            <w:pPr>
              <w:adjustRightInd w:val="0"/>
              <w:snapToGrid w:val="0"/>
              <w:jc w:val="center"/>
              <w:textAlignment w:val="center"/>
              <w:rPr>
                <w:rFonts w:hint="eastAsia" w:ascii="宋体" w:hAnsi="宋体"/>
                <w:b/>
                <w:color w:val="000000"/>
                <w:szCs w:val="21"/>
              </w:rPr>
            </w:pPr>
            <w:r>
              <w:rPr>
                <w:rFonts w:hint="eastAsia" w:ascii="宋体" w:hAnsi="宋体"/>
                <w:b/>
                <w:color w:val="000000"/>
                <w:szCs w:val="21"/>
              </w:rPr>
              <w:t>进度计划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pPr>
              <w:adjustRightInd w:val="0"/>
              <w:snapToGrid w:val="0"/>
              <w:jc w:val="center"/>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w:t>
            </w:r>
            <w:r>
              <w:rPr>
                <w:rFonts w:ascii="宋体" w:hAnsi="宋体"/>
                <w:b/>
                <w:color w:val="000000" w:themeColor="text1"/>
                <w:szCs w:val="21"/>
                <w14:textFill>
                  <w14:solidFill>
                    <w14:schemeClr w14:val="tx1"/>
                  </w14:solidFill>
                </w14:textFill>
              </w:rPr>
              <w:t>.1</w:t>
            </w:r>
          </w:p>
        </w:tc>
        <w:tc>
          <w:tcPr>
            <w:tcW w:w="7629" w:type="dxa"/>
            <w:tcBorders>
              <w:tl2br w:val="nil"/>
              <w:tr2bl w:val="nil"/>
            </w:tcBorders>
            <w:vAlign w:val="center"/>
          </w:tcPr>
          <w:p>
            <w:pPr>
              <w:adjustRightInd w:val="0"/>
              <w:snapToGrid w:val="0"/>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[202</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年11月1日 -</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2026年2月28日]</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主要内容：</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（1）梳理中国、美国、日本、英国等国家在零碳（近零碳）建筑领域的标准体系、前沿技术与典型案例；</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（2）系统归纳与总结实现零碳（近零碳）目标的关键技术。</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交付物：</w:t>
            </w:r>
          </w:p>
          <w:p>
            <w:pPr>
              <w:rPr>
                <w:b/>
                <w:color w:val="000000" w:themeColor="text1"/>
                <w14:textFill>
                  <w14:solidFill>
                    <w14:schemeClr w14:val="tx1"/>
                  </w14:solidFill>
                </w14:textFill>
              </w:rPr>
            </w:pPr>
            <w:bookmarkStart w:id="18" w:name="_Hlk200135957"/>
            <w:r>
              <w:rPr>
                <w:rFonts w:hint="eastAsia"/>
                <w:b/>
                <w:color w:val="000000" w:themeColor="text1"/>
                <w14:textFill>
                  <w14:solidFill>
                    <w14:schemeClr w14:val="tx1"/>
                  </w14:solidFill>
                </w14:textFill>
              </w:rPr>
              <w:t>（1）</w:t>
            </w:r>
            <w:bookmarkEnd w:id="18"/>
            <w:r>
              <w:rPr>
                <w:rFonts w:hint="eastAsia"/>
                <w:b/>
                <w:color w:val="000000" w:themeColor="text1"/>
                <w14:textFill>
                  <w14:solidFill>
                    <w14:schemeClr w14:val="tx1"/>
                  </w14:solidFill>
                </w14:textFill>
              </w:rPr>
              <w:t>论文初稿1篇。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pPr>
              <w:adjustRightInd w:val="0"/>
              <w:snapToGrid w:val="0"/>
              <w:jc w:val="center"/>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w:t>
            </w:r>
            <w:r>
              <w:rPr>
                <w:rFonts w:ascii="宋体" w:hAns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2</w:t>
            </w:r>
          </w:p>
        </w:tc>
        <w:tc>
          <w:tcPr>
            <w:tcW w:w="7629" w:type="dxa"/>
            <w:tcBorders>
              <w:tl2br w:val="nil"/>
              <w:tr2bl w:val="nil"/>
            </w:tcBorders>
            <w:vAlign w:val="center"/>
          </w:tcPr>
          <w:p>
            <w:pPr>
              <w:adjustRightInd w:val="0"/>
              <w:snapToGrid w:val="0"/>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[2026年3月1日 -</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202</w:t>
            </w:r>
            <w:r>
              <w:rPr>
                <w:rFonts w:ascii="宋体" w:hAnsi="宋体"/>
                <w:b/>
                <w:color w:val="000000" w:themeColor="text1"/>
                <w:szCs w:val="21"/>
                <w14:textFill>
                  <w14:solidFill>
                    <w14:schemeClr w14:val="tx1"/>
                  </w14:solidFill>
                </w14:textFill>
              </w:rPr>
              <w:t>6</w:t>
            </w:r>
            <w:r>
              <w:rPr>
                <w:rFonts w:hint="eastAsia" w:ascii="宋体" w:hAnsi="宋体"/>
                <w:b/>
                <w:color w:val="000000" w:themeColor="text1"/>
                <w:szCs w:val="21"/>
                <w14:textFill>
                  <w14:solidFill>
                    <w14:schemeClr w14:val="tx1"/>
                  </w14:solidFill>
                </w14:textFill>
              </w:rPr>
              <w:t>年6月30日]</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主要内容：</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（1）明确小型基建项目的建筑类型、功能需求和能源系统特征；</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（2）量化各低碳技术措施的减碳效果。</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交付物：</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（1）论文初稿1篇；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pPr>
              <w:adjustRightInd w:val="0"/>
              <w:snapToGrid w:val="0"/>
              <w:jc w:val="center"/>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w:t>
            </w:r>
            <w:r>
              <w:rPr>
                <w:rFonts w:ascii="宋体" w:hAns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3</w:t>
            </w:r>
          </w:p>
        </w:tc>
        <w:tc>
          <w:tcPr>
            <w:tcW w:w="7629" w:type="dxa"/>
            <w:tcBorders>
              <w:tl2br w:val="nil"/>
              <w:tr2bl w:val="nil"/>
            </w:tcBorders>
            <w:vAlign w:val="center"/>
          </w:tcPr>
          <w:p>
            <w:pPr>
              <w:adjustRightInd w:val="0"/>
              <w:snapToGrid w:val="0"/>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[2026年7月1日 -</w:t>
            </w:r>
            <w:r>
              <w:rPr>
                <w:rFonts w:ascii="宋体" w:hAnsi="宋体"/>
                <w:b/>
                <w:color w:val="000000" w:themeColor="text1"/>
                <w:szCs w:val="21"/>
                <w14:textFill>
                  <w14:solidFill>
                    <w14:schemeClr w14:val="tx1"/>
                  </w14:solidFill>
                </w14:textFill>
              </w:rPr>
              <w:t xml:space="preserve"> </w:t>
            </w:r>
            <w:r>
              <w:rPr>
                <w:rFonts w:hint="eastAsia" w:ascii="宋体" w:hAnsi="宋体"/>
                <w:b/>
                <w:color w:val="000000" w:themeColor="text1"/>
                <w:szCs w:val="21"/>
                <w14:textFill>
                  <w14:solidFill>
                    <w14:schemeClr w14:val="tx1"/>
                  </w14:solidFill>
                </w14:textFill>
              </w:rPr>
              <w:t>202</w:t>
            </w:r>
            <w:r>
              <w:rPr>
                <w:rFonts w:ascii="宋体" w:hAnsi="宋体"/>
                <w:b/>
                <w:color w:val="000000" w:themeColor="text1"/>
                <w:szCs w:val="21"/>
                <w14:textFill>
                  <w14:solidFill>
                    <w14:schemeClr w14:val="tx1"/>
                  </w14:solidFill>
                </w14:textFill>
              </w:rPr>
              <w:t>6</w:t>
            </w:r>
            <w:r>
              <w:rPr>
                <w:rFonts w:hint="eastAsia" w:ascii="宋体" w:hAnsi="宋体"/>
                <w:b/>
                <w:color w:val="000000" w:themeColor="text1"/>
                <w:szCs w:val="21"/>
                <w14:textFill>
                  <w14:solidFill>
                    <w14:schemeClr w14:val="tx1"/>
                  </w14:solidFill>
                </w14:textFill>
              </w:rPr>
              <w:t>年10月31日]</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主要内容：</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（1）开展低碳技术的经济性分析；</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（2）编制适用于小型基建项目的综合适配性与经济性的低碳技术推荐目录。</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交付物：</w:t>
            </w:r>
          </w:p>
          <w:p>
            <w:pPr>
              <w:adjustRightInd w:val="0"/>
              <w:snapToGrid w:val="0"/>
              <w:textAlignment w:val="center"/>
              <w:rPr>
                <w:rFonts w:hint="eastAsia" w:ascii="宋体" w:hAnsi="宋体"/>
                <w:b/>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（1）研究报告1份。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pPr>
              <w:adjustRightInd w:val="0"/>
              <w:snapToGrid w:val="0"/>
              <w:jc w:val="center"/>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w:t>
            </w:r>
            <w:r>
              <w:rPr>
                <w:rFonts w:ascii="宋体" w:hAnsi="宋体"/>
                <w:b/>
                <w:color w:val="000000" w:themeColor="text1"/>
                <w:szCs w:val="21"/>
                <w14:textFill>
                  <w14:solidFill>
                    <w14:schemeClr w14:val="tx1"/>
                  </w14:solidFill>
                </w14:textFill>
              </w:rPr>
              <w:t>.4</w:t>
            </w:r>
          </w:p>
        </w:tc>
        <w:tc>
          <w:tcPr>
            <w:tcW w:w="7629" w:type="dxa"/>
            <w:tcBorders>
              <w:tl2br w:val="nil"/>
              <w:tr2bl w:val="nil"/>
            </w:tcBorders>
            <w:vAlign w:val="center"/>
          </w:tcPr>
          <w:p>
            <w:pPr>
              <w:adjustRightInd w:val="0"/>
              <w:snapToGrid w:val="0"/>
              <w:jc w:val="left"/>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[2026年11月1日 - 2027年2月28日]</w:t>
            </w:r>
          </w:p>
          <w:p>
            <w:pPr>
              <w:adjustRightInd w:val="0"/>
              <w:snapToGrid w:val="0"/>
              <w:textAlignment w:val="center"/>
              <w:rPr>
                <w:rFonts w:hint="eastAsia" w:ascii="宋体" w:hAnsi="宋体"/>
                <w:b/>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主要内容：</w:t>
            </w:r>
          </w:p>
          <w:p>
            <w:pPr>
              <w:adjustRightInd w:val="0"/>
              <w:snapToGrid w:val="0"/>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（1）确定小型基建的低碳化建筑技术要求与关键性能指标；</w:t>
            </w:r>
          </w:p>
          <w:p>
            <w:pPr>
              <w:adjustRightInd w:val="0"/>
              <w:snapToGrid w:val="0"/>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（2）建立小型基建低碳、近零碳、零碳的分级评价量化指标体系；</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（3）构建小型基建绿色建筑与低碳一体化评价指标体系。</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交付物：</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（1）《</w:t>
            </w:r>
            <w:r>
              <w:rPr>
                <w:rFonts w:hint="eastAsia" w:ascii="宋体" w:hAnsi="宋体"/>
                <w:b/>
                <w:color w:val="000000" w:themeColor="text1"/>
                <w:szCs w:val="21"/>
                <w14:textFill>
                  <w14:solidFill>
                    <w14:schemeClr w14:val="tx1"/>
                  </w14:solidFill>
                </w14:textFill>
              </w:rPr>
              <w:t>小型基建</w:t>
            </w:r>
            <w:r>
              <w:rPr>
                <w:rFonts w:hint="eastAsia" w:ascii="宋体" w:hAnsi="宋体"/>
                <w:b/>
                <w:color w:val="000000" w:themeColor="text1"/>
                <w:szCs w:val="21"/>
                <w:lang w:val="en-US" w:eastAsia="zh-CN"/>
                <w14:textFill>
                  <w14:solidFill>
                    <w14:schemeClr w14:val="tx1"/>
                  </w14:solidFill>
                </w14:textFill>
              </w:rPr>
              <w:t>项目</w:t>
            </w:r>
            <w:r>
              <w:rPr>
                <w:rFonts w:hint="eastAsia"/>
                <w:b/>
                <w:color w:val="000000" w:themeColor="text1"/>
                <w14:textFill>
                  <w14:solidFill>
                    <w14:schemeClr w14:val="tx1"/>
                  </w14:solidFill>
                </w14:textFill>
              </w:rPr>
              <w:t>零碳（近零碳）建筑评价指引》标准初稿1份；</w:t>
            </w:r>
          </w:p>
          <w:p>
            <w:pPr>
              <w:adjustRightInd w:val="0"/>
              <w:snapToGrid w:val="0"/>
              <w:jc w:val="left"/>
              <w:textAlignment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（2）《</w:t>
            </w:r>
            <w:r>
              <w:rPr>
                <w:rFonts w:hint="eastAsia" w:ascii="宋体" w:hAnsi="宋体"/>
                <w:b/>
                <w:color w:val="000000" w:themeColor="text1"/>
                <w:szCs w:val="21"/>
                <w14:textFill>
                  <w14:solidFill>
                    <w14:schemeClr w14:val="tx1"/>
                  </w14:solidFill>
                </w14:textFill>
              </w:rPr>
              <w:t>小型基建</w:t>
            </w:r>
            <w:r>
              <w:rPr>
                <w:rFonts w:hint="eastAsia" w:ascii="宋体" w:hAnsi="宋体"/>
                <w:b/>
                <w:color w:val="000000" w:themeColor="text1"/>
                <w:szCs w:val="21"/>
                <w:lang w:val="en-US" w:eastAsia="zh-CN"/>
                <w14:textFill>
                  <w14:solidFill>
                    <w14:schemeClr w14:val="tx1"/>
                  </w14:solidFill>
                </w14:textFill>
              </w:rPr>
              <w:t>项目</w:t>
            </w:r>
            <w:r>
              <w:rPr>
                <w:rFonts w:hint="eastAsia"/>
                <w:b/>
                <w:color w:val="000000" w:themeColor="text1"/>
                <w14:textFill>
                  <w14:solidFill>
                    <w14:schemeClr w14:val="tx1"/>
                  </w14:solidFill>
                </w14:textFill>
              </w:rPr>
              <w:t>绿色低碳建筑评价标准》标准初稿1份。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762" w:type="dxa"/>
            <w:tcBorders>
              <w:tl2br w:val="nil"/>
              <w:tr2bl w:val="nil"/>
            </w:tcBorders>
            <w:vAlign w:val="center"/>
          </w:tcPr>
          <w:p>
            <w:pPr>
              <w:widowControl/>
              <w:jc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w:t>
            </w:r>
            <w:r>
              <w:rPr>
                <w:rFonts w:ascii="宋体" w:hAns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5</w:t>
            </w:r>
          </w:p>
        </w:tc>
        <w:tc>
          <w:tcPr>
            <w:tcW w:w="7629" w:type="dxa"/>
            <w:tcBorders>
              <w:tl2br w:val="nil"/>
              <w:tr2bl w:val="nil"/>
            </w:tcBorders>
            <w:vAlign w:val="center"/>
          </w:tcPr>
          <w:p>
            <w:pPr>
              <w:adjustRightInd w:val="0"/>
              <w:snapToGrid w:val="0"/>
              <w:jc w:val="left"/>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[2027年3月1日 - 2027年6月30日]</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主要内容：</w:t>
            </w:r>
          </w:p>
          <w:p>
            <w:pPr>
              <w:adjustRightInd w:val="0"/>
              <w:snapToGrid w:val="0"/>
              <w:jc w:val="left"/>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（1）开展标准试评价工作；</w:t>
            </w:r>
          </w:p>
          <w:p>
            <w:pPr>
              <w:adjustRightInd w:val="0"/>
              <w:snapToGrid w:val="0"/>
              <w:jc w:val="left"/>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（2）调整标准各项条文及得分。</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交付物：</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（1）论文初稿1篇；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51" w:hRule="atLeast"/>
        </w:trPr>
        <w:tc>
          <w:tcPr>
            <w:tcW w:w="762" w:type="dxa"/>
            <w:tcBorders>
              <w:tl2br w:val="nil"/>
              <w:tr2bl w:val="nil"/>
            </w:tcBorders>
            <w:vAlign w:val="center"/>
          </w:tcPr>
          <w:p>
            <w:pPr>
              <w:widowControl/>
              <w:jc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4.6</w:t>
            </w:r>
          </w:p>
        </w:tc>
        <w:tc>
          <w:tcPr>
            <w:tcW w:w="7629" w:type="dxa"/>
            <w:tcBorders>
              <w:tl2br w:val="nil"/>
              <w:tr2bl w:val="nil"/>
            </w:tcBorders>
            <w:vAlign w:val="center"/>
          </w:tcPr>
          <w:p>
            <w:pPr>
              <w:adjustRightInd w:val="0"/>
              <w:snapToGrid w:val="0"/>
              <w:jc w:val="left"/>
              <w:textAlignment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[2027年7月1日 - 2027年12月30日]</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主要内容：</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（1）完善全部研究内容及报告编制；</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（2）进行项目结题验收。</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交付物：</w:t>
            </w:r>
          </w:p>
          <w:p>
            <w:pPr>
              <w:adjustRightInd w:val="0"/>
              <w:snapToGrid w:val="0"/>
              <w:jc w:val="left"/>
              <w:textAlignment w:val="center"/>
              <w:rPr>
                <w:rFonts w:hint="eastAsia" w:ascii="宋体" w:hAnsi="宋体"/>
                <w:b/>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（1）整理并完成结题验收材料。</w:t>
            </w:r>
          </w:p>
        </w:tc>
      </w:tr>
    </w:tbl>
    <w:p>
      <w:pPr>
        <w:pStyle w:val="21"/>
        <w:spacing w:before="312"/>
        <w:outlineLvl w:val="0"/>
        <w:rPr>
          <w:rFonts w:hint="eastAsia" w:ascii="黑体" w:hAnsi="黑体" w:eastAsia="黑体" w:cs="黑体"/>
          <w:sz w:val="28"/>
          <w:szCs w:val="28"/>
        </w:rPr>
      </w:pPr>
      <w:bookmarkStart w:id="19" w:name="_Toc21501"/>
      <w:r>
        <w:rPr>
          <w:rFonts w:hint="eastAsia" w:ascii="黑体" w:hAnsi="黑体" w:eastAsia="黑体" w:cs="黑体"/>
          <w:sz w:val="28"/>
          <w:szCs w:val="28"/>
        </w:rPr>
        <w:t>5  成果交付与验收</w:t>
      </w:r>
      <w:bookmarkEnd w:id="19"/>
    </w:p>
    <w:p>
      <w:pPr>
        <w:spacing w:line="360" w:lineRule="auto"/>
        <w:outlineLvl w:val="1"/>
        <w:rPr>
          <w:rFonts w:hint="eastAsia" w:ascii="黑体" w:hAnsi="黑体" w:eastAsia="黑体" w:cs="黑体"/>
          <w:bCs/>
          <w:color w:val="000000" w:themeColor="text1"/>
          <w:sz w:val="24"/>
          <w14:textFill>
            <w14:solidFill>
              <w14:schemeClr w14:val="tx1"/>
            </w14:solidFill>
          </w14:textFill>
        </w:rPr>
      </w:pPr>
      <w:bookmarkStart w:id="20" w:name="_Toc5704"/>
      <w:r>
        <w:rPr>
          <w:rFonts w:hint="eastAsia" w:ascii="黑体" w:hAnsi="黑体" w:eastAsia="黑体" w:cs="黑体"/>
          <w:bCs/>
          <w:color w:val="000000" w:themeColor="text1"/>
          <w:sz w:val="24"/>
          <w14:textFill>
            <w14:solidFill>
              <w14:schemeClr w14:val="tx1"/>
            </w14:solidFill>
          </w14:textFill>
        </w:rPr>
        <w:t>5.1 成果形式及数量要求</w:t>
      </w:r>
      <w:bookmarkEnd w:id="20"/>
    </w:p>
    <w:p>
      <w:pPr>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bookmarkStart w:id="21" w:name="_Hlk25764254"/>
      <w:r>
        <w:rPr>
          <w:rFonts w:hint="eastAsia" w:asciiTheme="minorEastAsia" w:hAnsiTheme="minorEastAsia" w:eastAsiaTheme="minorEastAsia" w:cstheme="minorEastAsia"/>
          <w:color w:val="000000" w:themeColor="text1"/>
          <w:sz w:val="24"/>
          <w14:textFill>
            <w14:solidFill>
              <w14:schemeClr w14:val="tx1"/>
            </w14:solidFill>
          </w14:textFill>
        </w:rPr>
        <w:t>1、项目形成的成果</w:t>
      </w:r>
    </w:p>
    <w:p>
      <w:pPr>
        <w:spacing w:line="360" w:lineRule="auto"/>
        <w:ind w:firstLine="897" w:firstLineChars="37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专题研究报告：2篇</w:t>
      </w:r>
    </w:p>
    <w:p>
      <w:pPr>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2、项目形成的论文</w:t>
      </w:r>
    </w:p>
    <w:p>
      <w:pPr>
        <w:spacing w:line="360" w:lineRule="auto"/>
        <w:ind w:firstLine="897" w:firstLineChars="37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论文：期刊论文或EI/SCI检索论文3篇</w:t>
      </w:r>
    </w:p>
    <w:p>
      <w:pPr>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3、项目形成的企业标准</w:t>
      </w:r>
    </w:p>
    <w:p>
      <w:pPr>
        <w:spacing w:line="360" w:lineRule="auto"/>
        <w:ind w:firstLine="897" w:firstLineChars="374"/>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标准：2项送审稿</w:t>
      </w:r>
    </w:p>
    <w:p>
      <w:pPr>
        <w:spacing w:line="360" w:lineRule="auto"/>
        <w:outlineLvl w:val="1"/>
        <w:rPr>
          <w:rFonts w:hint="eastAsia" w:ascii="黑体" w:hAnsi="黑体" w:eastAsia="黑体" w:cs="黑体"/>
          <w:bCs/>
          <w:sz w:val="24"/>
        </w:rPr>
      </w:pPr>
      <w:bookmarkStart w:id="22" w:name="_Toc25508"/>
      <w:r>
        <w:rPr>
          <w:rFonts w:hint="eastAsia" w:ascii="黑体" w:hAnsi="黑体" w:eastAsia="黑体" w:cs="黑体"/>
          <w:bCs/>
          <w:sz w:val="24"/>
        </w:rPr>
        <w:t>★5.2 成果的权属要求</w:t>
      </w:r>
      <w:bookmarkEnd w:id="22"/>
    </w:p>
    <w:bookmarkEnd w:id="21"/>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本项目形成的论文、专利等知识产权划分方法如下：</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合同项下研究成果形成的专利、软件著作权等知识产权的申请权利归甲方享有，未经甲方许可，乙方不得单独申请专利或向第三方转让专利申请权。相关知识产权申请人及专利权人不得出现广东电网有限责任公司及乙方以外的其他单位或个人。</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（1）本合同项下的研究成果申请专利的权利归甲方享有，未经甲方许可，乙方不得单独申请专利或向第三方转让专利申请权。乙方取得专利权的，未经甲方许可，不得转让专利权或许可第三方实施该专利。</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（2）甲乙双方均享有本合同项下研究成果的使用权，但乙方仅能在甲方许可的范围内使用该研究成果。因使用该研究成果所产生的效益，由甲乙双方共同协商确定分配方式。</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（3）本合同项下的研究成果的转让权属于甲方，乙方不得向第三方转让，亦不得许可第三方实施使用，乙方擅自转让所产生的利益归甲方所有。</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（4）本合同项下的研究成果申请奖励的权利归甲方享有。未经甲方许可，乙方不得单方申请奖励。</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5）本合同项下的研究成果的发表权由甲乙双方共同享有。未经一方许可，另一方不得单方发表。根据项目研究成果发表论文须注明“南方电网公司科技项目资助(项目编号：*******************)”；项目参加人员个人发表有关项目研究内容的论文须征得甲乙双方的同意。</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（6）使用履行本合同产生的研究成果参与国际标准、国家标准或行业标准等的制定或修订工作的权利属于甲方所有，未经甲方许可，乙方不得单独参与此类工作。</w:t>
      </w:r>
    </w:p>
    <w:p>
      <w:pPr>
        <w:spacing w:line="360" w:lineRule="auto"/>
        <w:outlineLvl w:val="1"/>
        <w:rPr>
          <w:rFonts w:hint="eastAsia" w:ascii="黑体" w:hAnsi="黑体" w:eastAsia="黑体" w:cs="黑体"/>
          <w:bCs/>
          <w:sz w:val="24"/>
        </w:rPr>
      </w:pPr>
      <w:bookmarkStart w:id="23" w:name="_Toc28744"/>
      <w:r>
        <w:rPr>
          <w:rFonts w:hint="eastAsia" w:ascii="黑体" w:hAnsi="黑体" w:eastAsia="黑体" w:cs="黑体"/>
          <w:bCs/>
          <w:sz w:val="24"/>
        </w:rPr>
        <w:t>5.3技术架构要求</w:t>
      </w:r>
      <w:bookmarkEnd w:id="23"/>
    </w:p>
    <w:p>
      <w:pPr>
        <w:spacing w:line="360" w:lineRule="auto"/>
        <w:ind w:firstLine="480" w:firstLineChars="200"/>
      </w:pPr>
      <w:r>
        <w:rPr>
          <w:rFonts w:hint="eastAsia" w:asciiTheme="minorEastAsia" w:hAnsiTheme="minorEastAsia" w:eastAsiaTheme="minorEastAsia" w:cstheme="minorEastAsia"/>
          <w:color w:val="000000"/>
          <w:sz w:val="24"/>
        </w:rPr>
        <w:t>本项目不涉及软硬件开发/试制。</w:t>
      </w:r>
    </w:p>
    <w:p>
      <w:pPr>
        <w:spacing w:line="360" w:lineRule="auto"/>
        <w:outlineLvl w:val="1"/>
        <w:rPr>
          <w:rFonts w:hint="eastAsia" w:ascii="黑体" w:hAnsi="黑体" w:eastAsia="黑体" w:cs="黑体"/>
          <w:bCs/>
          <w:sz w:val="24"/>
        </w:rPr>
      </w:pPr>
      <w:bookmarkStart w:id="24" w:name="_Toc6117"/>
      <w:r>
        <w:rPr>
          <w:rFonts w:hint="eastAsia" w:ascii="黑体" w:hAnsi="黑体" w:eastAsia="黑体" w:cs="黑体"/>
          <w:bCs/>
          <w:sz w:val="24"/>
        </w:rPr>
        <w:t>5.4成果验收</w:t>
      </w:r>
      <w:bookmarkEnd w:id="24"/>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项目完成后，由甲方组织专家组对项目的主要技术指标、成果等进行验收。</w:t>
      </w:r>
    </w:p>
    <w:p>
      <w:pPr>
        <w:numPr>
          <w:ilvl w:val="0"/>
          <w:numId w:val="3"/>
        </w:numPr>
        <w:spacing w:line="360" w:lineRule="auto"/>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技术指标：组织专家评审会评审；</w:t>
      </w:r>
    </w:p>
    <w:p>
      <w:pPr>
        <w:numPr>
          <w:ilvl w:val="0"/>
          <w:numId w:val="3"/>
        </w:numPr>
        <w:spacing w:line="360" w:lineRule="auto"/>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专题成果：项目形成的论文及专利，提供成果入审、录用等相关证明文件。</w:t>
      </w:r>
    </w:p>
    <w:p>
      <w:pPr>
        <w:pStyle w:val="21"/>
        <w:spacing w:before="312"/>
        <w:outlineLvl w:val="0"/>
        <w:rPr>
          <w:rFonts w:hint="eastAsia" w:ascii="黑体" w:hAnsi="黑体" w:eastAsia="黑体" w:cs="黑体"/>
          <w:sz w:val="28"/>
          <w:szCs w:val="28"/>
        </w:rPr>
      </w:pPr>
      <w:bookmarkStart w:id="25" w:name="_Toc30047"/>
      <w:r>
        <w:rPr>
          <w:rFonts w:hint="eastAsia" w:ascii="黑体" w:hAnsi="黑体" w:eastAsia="黑体" w:cs="黑体"/>
          <w:sz w:val="28"/>
          <w:szCs w:val="28"/>
        </w:rPr>
        <w:t>6  投标技术文件要求</w:t>
      </w:r>
      <w:bookmarkEnd w:id="25"/>
    </w:p>
    <w:p>
      <w:pPr>
        <w:spacing w:line="360" w:lineRule="auto"/>
        <w:outlineLvl w:val="1"/>
        <w:rPr>
          <w:rFonts w:hint="eastAsia" w:ascii="黑体" w:hAnsi="黑体" w:eastAsia="黑体" w:cs="黑体"/>
          <w:bCs/>
          <w:sz w:val="24"/>
        </w:rPr>
      </w:pPr>
      <w:bookmarkStart w:id="26" w:name="_Toc26928"/>
      <w:r>
        <w:rPr>
          <w:rFonts w:hint="eastAsia" w:ascii="黑体" w:hAnsi="黑体" w:eastAsia="黑体" w:cs="黑体"/>
          <w:bCs/>
          <w:sz w:val="24"/>
        </w:rPr>
        <w:t>6.1 研究方案</w:t>
      </w:r>
      <w:bookmarkEnd w:id="26"/>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（1）项目技术路线</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项目实施的总体研究思路和总体框架。</w:t>
      </w:r>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（2）技术方案</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投标方应针对每项研究内容提供详尽的技术解决方案。</w:t>
      </w:r>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（3）重点解决的技术难题</w:t>
      </w:r>
    </w:p>
    <w:p>
      <w:pPr>
        <w:spacing w:line="360" w:lineRule="auto"/>
        <w:ind w:firstLine="480" w:firstLineChars="200"/>
        <w:rPr>
          <w:rFonts w:hint="eastAsia" w:ascii="宋体" w:hAnsi="宋体" w:cs="宋体"/>
          <w:color w:val="C00000"/>
          <w:sz w:val="24"/>
          <w:highlight w:val="yellow"/>
        </w:rPr>
      </w:pPr>
      <w:r>
        <w:rPr>
          <w:rFonts w:hint="eastAsia" w:ascii="宋体" w:hAnsi="宋体" w:cs="宋体"/>
          <w:sz w:val="24"/>
        </w:rPr>
        <w:t>描述项目重点技术难题和解决方案。</w:t>
      </w:r>
    </w:p>
    <w:p>
      <w:pPr>
        <w:spacing w:line="360" w:lineRule="auto"/>
        <w:outlineLvl w:val="2"/>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（4）主要技术指标实现的可行性</w:t>
      </w:r>
    </w:p>
    <w:p>
      <w:pPr>
        <w:spacing w:line="360" w:lineRule="auto"/>
        <w:outlineLvl w:val="1"/>
        <w:rPr>
          <w:rFonts w:hint="eastAsia" w:ascii="黑体" w:hAnsi="黑体" w:eastAsia="黑体" w:cs="黑体"/>
          <w:bCs/>
          <w:sz w:val="24"/>
        </w:rPr>
      </w:pPr>
      <w:bookmarkStart w:id="27" w:name="_Toc3443"/>
      <w:bookmarkStart w:id="28" w:name="_Toc12714"/>
      <w:r>
        <w:rPr>
          <w:rFonts w:hint="eastAsia" w:ascii="黑体" w:hAnsi="黑体" w:eastAsia="黑体" w:cs="黑体"/>
          <w:bCs/>
          <w:sz w:val="24"/>
        </w:rPr>
        <w:t>6.2 项目管理实施</w:t>
      </w:r>
      <w:bookmarkEnd w:id="27"/>
      <w:bookmarkEnd w:id="28"/>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（1）项目人员组织</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介绍项目人员组织情况、职责分工。</w:t>
      </w:r>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（2）项目进度</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提交详细的项目实施计划，明确里程碑。</w:t>
      </w:r>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（3）项目交付项</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说明项目阶段任务完成后，投标方根据成果交付与验收要求应提交给招标方的产品、服务以及交接文件等，并附上相应的交付时间计划表。</w:t>
      </w:r>
    </w:p>
    <w:p>
      <w:pPr>
        <w:spacing w:line="360" w:lineRule="auto"/>
        <w:outlineLvl w:val="1"/>
        <w:rPr>
          <w:rFonts w:hint="eastAsia" w:ascii="黑体" w:hAnsi="黑体" w:eastAsia="黑体" w:cs="黑体"/>
          <w:bCs/>
          <w:sz w:val="24"/>
        </w:rPr>
      </w:pPr>
      <w:bookmarkStart w:id="29" w:name="_Toc29755"/>
      <w:r>
        <w:rPr>
          <w:rFonts w:hint="eastAsia" w:ascii="黑体" w:hAnsi="黑体" w:eastAsia="黑体" w:cs="黑体"/>
          <w:bCs/>
          <w:sz w:val="24"/>
        </w:rPr>
        <w:t>6.3 项目技术支撑能力</w:t>
      </w:r>
      <w:bookmarkEnd w:id="29"/>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（1）项目经验</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该部分填写与标的物相关的项目研究经验、合同情况、论文专利和获奖情况。</w:t>
      </w:r>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（2）人员支撑能力</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该部分填写与标的物相关的本项目研究成员详细资料（包括学历、资质、研究方向/工作经验等），提供相关支撑材料。</w:t>
      </w:r>
    </w:p>
    <w:p>
      <w:pPr>
        <w:spacing w:line="360" w:lineRule="auto"/>
        <w:outlineLvl w:val="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（3）设备支撑能力</w:t>
      </w:r>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该部分填写与标的物相关的、支撑该项目研究的设备、平台、实验室等。</w:t>
      </w:r>
    </w:p>
    <w:p>
      <w:pPr>
        <w:spacing w:line="360" w:lineRule="auto"/>
        <w:outlineLvl w:val="1"/>
        <w:rPr>
          <w:rFonts w:hint="eastAsia" w:ascii="黑体" w:hAnsi="黑体" w:eastAsia="黑体" w:cs="黑体"/>
          <w:bCs/>
          <w:sz w:val="24"/>
        </w:rPr>
      </w:pPr>
      <w:bookmarkStart w:id="30" w:name="_Toc3357"/>
      <w:bookmarkStart w:id="31" w:name="_Toc25058"/>
      <w:r>
        <w:rPr>
          <w:rFonts w:hint="eastAsia" w:ascii="黑体" w:hAnsi="黑体" w:eastAsia="黑体" w:cs="黑体"/>
          <w:bCs/>
          <w:sz w:val="24"/>
        </w:rPr>
        <w:t>6.4 技术支持与售后服务</w:t>
      </w:r>
      <w:bookmarkEnd w:id="30"/>
      <w:bookmarkEnd w:id="31"/>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投标方要明确所能提供的服务内容，服务方式，服务承诺和售后服务等情况。</w:t>
      </w:r>
    </w:p>
    <w:p>
      <w:pPr>
        <w:spacing w:line="360" w:lineRule="auto"/>
        <w:outlineLvl w:val="1"/>
        <w:rPr>
          <w:rFonts w:hint="eastAsia" w:ascii="黑体" w:hAnsi="黑体" w:eastAsia="黑体" w:cs="黑体"/>
          <w:bCs/>
          <w:sz w:val="24"/>
        </w:rPr>
      </w:pPr>
      <w:bookmarkStart w:id="32" w:name="_Toc17138"/>
      <w:r>
        <w:rPr>
          <w:rFonts w:hint="eastAsia" w:ascii="黑体" w:hAnsi="黑体" w:eastAsia="黑体" w:cs="黑体"/>
          <w:bCs/>
          <w:sz w:val="24"/>
        </w:rPr>
        <w:t>6.5 技术差异表</w:t>
      </w:r>
      <w:bookmarkEnd w:id="32"/>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投标方应针对主要技术指标要求、成果交付数量要求等填写响应的差异情况。</w:t>
      </w:r>
    </w:p>
    <w:p>
      <w:pPr>
        <w:spacing w:line="360" w:lineRule="auto"/>
        <w:jc w:val="center"/>
        <w:rPr>
          <w:rFonts w:hint="eastAsia" w:ascii="黑体" w:hAnsi="黑体" w:eastAsia="黑体" w:cs="黑体"/>
          <w:bCs/>
          <w:color w:val="000000"/>
          <w:szCs w:val="21"/>
        </w:rPr>
      </w:pPr>
      <w:r>
        <w:rPr>
          <w:rFonts w:hint="eastAsia" w:ascii="黑体" w:hAnsi="黑体" w:eastAsia="黑体" w:cs="黑体"/>
          <w:bCs/>
          <w:color w:val="000000"/>
          <w:szCs w:val="21"/>
        </w:rPr>
        <w:t>表6.1 技术指标差异表（投标方填写）</w:t>
      </w:r>
    </w:p>
    <w:tbl>
      <w:tblPr>
        <w:tblStyle w:val="12"/>
        <w:tblW w:w="8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782"/>
        <w:gridCol w:w="1574"/>
        <w:gridCol w:w="1485"/>
        <w:gridCol w:w="1713"/>
        <w:gridCol w:w="13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86"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序号</w:t>
            </w:r>
          </w:p>
        </w:tc>
        <w:tc>
          <w:tcPr>
            <w:tcW w:w="1782"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名称</w:t>
            </w:r>
          </w:p>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（技术指标/成果要求）</w:t>
            </w:r>
          </w:p>
        </w:tc>
        <w:tc>
          <w:tcPr>
            <w:tcW w:w="1574"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招标方要求值</w:t>
            </w:r>
          </w:p>
        </w:tc>
        <w:tc>
          <w:tcPr>
            <w:tcW w:w="1485"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投标方保证值</w:t>
            </w:r>
          </w:p>
        </w:tc>
        <w:tc>
          <w:tcPr>
            <w:tcW w:w="171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关键指标允许响应情况（正偏差/负偏差/无偏差）</w:t>
            </w:r>
          </w:p>
        </w:tc>
        <w:tc>
          <w:tcPr>
            <w:tcW w:w="1351"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技术方案或保障措施所在的页码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86" w:type="dxa"/>
            <w:tcBorders>
              <w:tl2br w:val="nil"/>
              <w:tr2bl w:val="nil"/>
            </w:tcBorders>
            <w:vAlign w:val="center"/>
          </w:tcPr>
          <w:p>
            <w:pPr>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782" w:type="dxa"/>
            <w:tcBorders>
              <w:tl2br w:val="nil"/>
              <w:tr2bl w:val="nil"/>
            </w:tcBorders>
            <w:vAlign w:val="center"/>
          </w:tcPr>
          <w:p>
            <w:pPr>
              <w:jc w:val="center"/>
              <w:rPr>
                <w:rFonts w:hint="eastAsia" w:asciiTheme="minorEastAsia" w:hAnsiTheme="minorEastAsia" w:eastAsiaTheme="minorEastAsia" w:cstheme="minorEastAsia"/>
                <w:szCs w:val="21"/>
                <w:highlight w:val="yellow"/>
              </w:rPr>
            </w:pPr>
          </w:p>
        </w:tc>
        <w:tc>
          <w:tcPr>
            <w:tcW w:w="1574" w:type="dxa"/>
            <w:tcBorders>
              <w:tl2br w:val="nil"/>
              <w:tr2bl w:val="nil"/>
            </w:tcBorders>
            <w:vAlign w:val="center"/>
          </w:tcPr>
          <w:p>
            <w:pPr>
              <w:jc w:val="center"/>
              <w:rPr>
                <w:rFonts w:hint="eastAsia" w:asciiTheme="minorEastAsia" w:hAnsiTheme="minorEastAsia" w:eastAsiaTheme="minorEastAsia" w:cstheme="minorEastAsia"/>
                <w:szCs w:val="21"/>
                <w:highlight w:val="yellow"/>
              </w:rPr>
            </w:pPr>
          </w:p>
        </w:tc>
        <w:tc>
          <w:tcPr>
            <w:tcW w:w="1485"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6" w:type="dxa"/>
            <w:tcBorders>
              <w:tl2br w:val="nil"/>
              <w:tr2bl w:val="nil"/>
            </w:tcBorders>
            <w:vAlign w:val="center"/>
          </w:tcPr>
          <w:p>
            <w:pPr>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782" w:type="dxa"/>
            <w:tcBorders>
              <w:tl2br w:val="nil"/>
              <w:tr2bl w:val="nil"/>
            </w:tcBorders>
            <w:vAlign w:val="center"/>
          </w:tcPr>
          <w:p>
            <w:pPr>
              <w:jc w:val="center"/>
              <w:rPr>
                <w:rFonts w:hint="eastAsia" w:asciiTheme="minorEastAsia" w:hAnsiTheme="minorEastAsia" w:eastAsiaTheme="minorEastAsia" w:cstheme="minorEastAsia"/>
                <w:szCs w:val="21"/>
                <w:highlight w:val="yellow"/>
              </w:rPr>
            </w:pPr>
          </w:p>
        </w:tc>
        <w:tc>
          <w:tcPr>
            <w:tcW w:w="1574" w:type="dxa"/>
            <w:tcBorders>
              <w:tl2br w:val="nil"/>
              <w:tr2bl w:val="nil"/>
            </w:tcBorders>
            <w:vAlign w:val="center"/>
          </w:tcPr>
          <w:p>
            <w:pPr>
              <w:jc w:val="center"/>
              <w:rPr>
                <w:rFonts w:hint="eastAsia" w:asciiTheme="minorEastAsia" w:hAnsiTheme="minorEastAsia" w:eastAsiaTheme="minorEastAsia" w:cstheme="minorEastAsia"/>
                <w:szCs w:val="21"/>
                <w:highlight w:val="yellow"/>
              </w:rPr>
            </w:pPr>
          </w:p>
        </w:tc>
        <w:tc>
          <w:tcPr>
            <w:tcW w:w="1485"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pPr>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782" w:type="dxa"/>
            <w:tcBorders>
              <w:tl2br w:val="nil"/>
              <w:tr2bl w:val="nil"/>
            </w:tcBorders>
            <w:vAlign w:val="center"/>
          </w:tcPr>
          <w:p>
            <w:pPr>
              <w:jc w:val="center"/>
              <w:rPr>
                <w:rFonts w:hint="eastAsia" w:asciiTheme="minorEastAsia" w:hAnsiTheme="minorEastAsia" w:eastAsiaTheme="minorEastAsia" w:cstheme="minorEastAsia"/>
                <w:szCs w:val="21"/>
                <w:highlight w:val="yellow"/>
              </w:rPr>
            </w:pPr>
          </w:p>
        </w:tc>
        <w:tc>
          <w:tcPr>
            <w:tcW w:w="1574" w:type="dxa"/>
            <w:tcBorders>
              <w:tl2br w:val="nil"/>
              <w:tr2bl w:val="nil"/>
            </w:tcBorders>
            <w:vAlign w:val="center"/>
          </w:tcPr>
          <w:p>
            <w:pPr>
              <w:jc w:val="center"/>
              <w:rPr>
                <w:rFonts w:hint="eastAsia" w:asciiTheme="minorEastAsia" w:hAnsiTheme="minorEastAsia" w:eastAsiaTheme="minorEastAsia" w:cstheme="minorEastAsia"/>
                <w:szCs w:val="21"/>
                <w:highlight w:val="yellow"/>
              </w:rPr>
            </w:pPr>
          </w:p>
        </w:tc>
        <w:tc>
          <w:tcPr>
            <w:tcW w:w="1485"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pPr>
              <w:jc w:val="center"/>
              <w:rPr>
                <w:rFonts w:hint="eastAsia" w:asciiTheme="minorEastAsia" w:hAnsiTheme="minorEastAsia" w:eastAsiaTheme="minorEastAsia" w:cstheme="minorEastAsia"/>
                <w:color w:val="000000"/>
                <w:szCs w:val="21"/>
                <w:highlight w:val="yellow"/>
              </w:rPr>
            </w:pPr>
          </w:p>
        </w:tc>
      </w:tr>
    </w:tbl>
    <w:p>
      <w:pPr>
        <w:spacing w:line="360" w:lineRule="auto"/>
        <w:ind w:firstLine="480" w:firstLineChars="200"/>
        <w:rPr>
          <w:rFonts w:hint="eastAsia" w:asciiTheme="minorEastAsia" w:hAnsiTheme="minorEastAsia" w:eastAsiaTheme="minorEastAsia" w:cstheme="minorEastAsia"/>
          <w:color w:val="000000"/>
          <w:sz w:val="24"/>
        </w:rPr>
      </w:pPr>
      <w:bookmarkStart w:id="33" w:name="_Toc226362579"/>
      <w:r>
        <w:rPr>
          <w:rFonts w:hint="eastAsia" w:asciiTheme="minorEastAsia" w:hAnsiTheme="minorEastAsia" w:eastAsiaTheme="minorEastAsia" w:cstheme="minorEastAsia"/>
          <w:color w:val="000000"/>
          <w:sz w:val="24"/>
        </w:rPr>
        <w:t>投标方应将所提供服务与本技术规范书有差异之处，无论优于或劣于本技术规范书要求，均汇集成下表。</w:t>
      </w:r>
    </w:p>
    <w:p>
      <w:pPr>
        <w:spacing w:line="360" w:lineRule="auto"/>
        <w:jc w:val="center"/>
        <w:rPr>
          <w:rFonts w:hint="eastAsia" w:ascii="黑体" w:hAnsi="黑体" w:eastAsia="黑体" w:cs="黑体"/>
          <w:bCs/>
          <w:color w:val="000000"/>
          <w:szCs w:val="21"/>
        </w:rPr>
      </w:pPr>
      <w:r>
        <w:rPr>
          <w:rFonts w:hint="eastAsia" w:ascii="黑体" w:hAnsi="黑体" w:eastAsia="黑体" w:cs="黑体"/>
          <w:bCs/>
          <w:color w:val="000000"/>
          <w:szCs w:val="21"/>
        </w:rPr>
        <w:t>表6.2 技术差异汇总表</w:t>
      </w:r>
      <w:bookmarkEnd w:id="33"/>
      <w:r>
        <w:rPr>
          <w:rFonts w:hint="eastAsia" w:ascii="黑体" w:hAnsi="黑体" w:eastAsia="黑体" w:cs="黑体"/>
          <w:bCs/>
          <w:color w:val="000000"/>
          <w:szCs w:val="21"/>
        </w:rPr>
        <w:t>（投标方填写）</w:t>
      </w:r>
    </w:p>
    <w:tbl>
      <w:tblPr>
        <w:tblStyle w:val="11"/>
        <w:tblW w:w="83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restart"/>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w:t>
            </w:r>
          </w:p>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号</w:t>
            </w:r>
          </w:p>
        </w:tc>
        <w:tc>
          <w:tcPr>
            <w:tcW w:w="3876" w:type="dxa"/>
            <w:gridSpan w:val="2"/>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招 标 文 件</w:t>
            </w:r>
          </w:p>
        </w:tc>
        <w:tc>
          <w:tcPr>
            <w:tcW w:w="3833" w:type="dxa"/>
            <w:gridSpan w:val="2"/>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投  标  文  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continue"/>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16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71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c>
          <w:tcPr>
            <w:tcW w:w="1258"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575"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1</w:t>
            </w:r>
          </w:p>
        </w:tc>
        <w:tc>
          <w:tcPr>
            <w:tcW w:w="116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2</w:t>
            </w:r>
          </w:p>
        </w:tc>
        <w:tc>
          <w:tcPr>
            <w:tcW w:w="116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3</w:t>
            </w:r>
          </w:p>
        </w:tc>
        <w:tc>
          <w:tcPr>
            <w:tcW w:w="116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4</w:t>
            </w:r>
          </w:p>
        </w:tc>
        <w:tc>
          <w:tcPr>
            <w:tcW w:w="116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pPr>
              <w:widowControl/>
              <w:jc w:val="center"/>
              <w:textAlignment w:val="center"/>
              <w:rPr>
                <w:rFonts w:hint="eastAsia" w:asciiTheme="minorEastAsia" w:hAnsiTheme="minorEastAsia" w:eastAsiaTheme="minorEastAsia" w:cstheme="minorEastAsia"/>
                <w:color w:val="000000"/>
                <w:kern w:val="0"/>
                <w:szCs w:val="21"/>
                <w:lang w:bidi="ar"/>
              </w:rPr>
            </w:pPr>
          </w:p>
        </w:tc>
      </w:tr>
    </w:tbl>
    <w:p>
      <w:pPr>
        <w:spacing w:before="156" w:beforeLines="50" w:line="360" w:lineRule="auto"/>
        <w:outlineLvl w:val="1"/>
        <w:rPr>
          <w:rFonts w:hint="eastAsia" w:ascii="黑体" w:hAnsi="黑体" w:eastAsia="黑体" w:cs="黑体"/>
          <w:sz w:val="24"/>
        </w:rPr>
      </w:pPr>
      <w:bookmarkStart w:id="34" w:name="_Toc10100"/>
      <w:r>
        <w:rPr>
          <w:rFonts w:hint="eastAsia" w:ascii="黑体" w:hAnsi="黑体" w:eastAsia="黑体" w:cs="黑体"/>
          <w:sz w:val="24"/>
        </w:rPr>
        <w:t>6.6 其它补充说明</w:t>
      </w:r>
      <w:bookmarkEnd w:id="34"/>
    </w:p>
    <w:p>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投标方认为实现本文件的相关内容存在技术类或其它类风险，请详细说明，并提供相应的对策。</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altName w:val="微软雅黑"/>
    <w:panose1 w:val="020105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3E4402"/>
    <w:multiLevelType w:val="singleLevel"/>
    <w:tmpl w:val="A23E4402"/>
    <w:lvl w:ilvl="0" w:tentative="0">
      <w:start w:val="1"/>
      <w:numFmt w:val="decimal"/>
      <w:suff w:val="nothing"/>
      <w:lvlText w:val="（%1）"/>
      <w:lvlJc w:val="left"/>
    </w:lvl>
  </w:abstractNum>
  <w:abstractNum w:abstractNumId="1">
    <w:nsid w:val="D12C290B"/>
    <w:multiLevelType w:val="singleLevel"/>
    <w:tmpl w:val="D12C290B"/>
    <w:lvl w:ilvl="0" w:tentative="0">
      <w:start w:val="1"/>
      <w:numFmt w:val="decimal"/>
      <w:pStyle w:val="16"/>
      <w:lvlText w:val="%1."/>
      <w:lvlJc w:val="left"/>
      <w:pPr>
        <w:ind w:left="425" w:hanging="425"/>
      </w:pPr>
      <w:rPr>
        <w:rFonts w:hint="default"/>
      </w:rPr>
    </w:lvl>
  </w:abstractNum>
  <w:abstractNum w:abstractNumId="2">
    <w:nsid w:val="5E537055"/>
    <w:multiLevelType w:val="singleLevel"/>
    <w:tmpl w:val="5E537055"/>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112EA9"/>
    <w:rsid w:val="0000270B"/>
    <w:rsid w:val="00002E61"/>
    <w:rsid w:val="00010179"/>
    <w:rsid w:val="00024972"/>
    <w:rsid w:val="0002776E"/>
    <w:rsid w:val="000304AA"/>
    <w:rsid w:val="00032E12"/>
    <w:rsid w:val="000424DF"/>
    <w:rsid w:val="00061BDE"/>
    <w:rsid w:val="00066788"/>
    <w:rsid w:val="000A1934"/>
    <w:rsid w:val="000D384E"/>
    <w:rsid w:val="000D4F70"/>
    <w:rsid w:val="000D58FE"/>
    <w:rsid w:val="000E6169"/>
    <w:rsid w:val="000F37F8"/>
    <w:rsid w:val="000F4794"/>
    <w:rsid w:val="0010519B"/>
    <w:rsid w:val="00110AD1"/>
    <w:rsid w:val="00112C44"/>
    <w:rsid w:val="00113C97"/>
    <w:rsid w:val="001228E1"/>
    <w:rsid w:val="001244EE"/>
    <w:rsid w:val="0016077B"/>
    <w:rsid w:val="001947D5"/>
    <w:rsid w:val="001A426E"/>
    <w:rsid w:val="001D1D62"/>
    <w:rsid w:val="001D4F45"/>
    <w:rsid w:val="001D6647"/>
    <w:rsid w:val="001E5550"/>
    <w:rsid w:val="00216B41"/>
    <w:rsid w:val="00224C61"/>
    <w:rsid w:val="002906F6"/>
    <w:rsid w:val="00290B44"/>
    <w:rsid w:val="002A7072"/>
    <w:rsid w:val="002B329B"/>
    <w:rsid w:val="002C5CC7"/>
    <w:rsid w:val="002C7FA5"/>
    <w:rsid w:val="002D140B"/>
    <w:rsid w:val="00314193"/>
    <w:rsid w:val="0032198F"/>
    <w:rsid w:val="0032503B"/>
    <w:rsid w:val="00327980"/>
    <w:rsid w:val="00330823"/>
    <w:rsid w:val="00331171"/>
    <w:rsid w:val="003403C5"/>
    <w:rsid w:val="003516F1"/>
    <w:rsid w:val="00363EB0"/>
    <w:rsid w:val="003A13DF"/>
    <w:rsid w:val="003B2B45"/>
    <w:rsid w:val="003F137A"/>
    <w:rsid w:val="003F430E"/>
    <w:rsid w:val="00402A31"/>
    <w:rsid w:val="00427085"/>
    <w:rsid w:val="00452509"/>
    <w:rsid w:val="004544EB"/>
    <w:rsid w:val="00481800"/>
    <w:rsid w:val="004B17DA"/>
    <w:rsid w:val="004E2242"/>
    <w:rsid w:val="004E255C"/>
    <w:rsid w:val="004F4B12"/>
    <w:rsid w:val="00506382"/>
    <w:rsid w:val="00514E52"/>
    <w:rsid w:val="00521065"/>
    <w:rsid w:val="00536F1A"/>
    <w:rsid w:val="005524D6"/>
    <w:rsid w:val="00576251"/>
    <w:rsid w:val="00595E3D"/>
    <w:rsid w:val="005B59EA"/>
    <w:rsid w:val="005D28C0"/>
    <w:rsid w:val="005E71D2"/>
    <w:rsid w:val="00620FBF"/>
    <w:rsid w:val="006223FE"/>
    <w:rsid w:val="006231C3"/>
    <w:rsid w:val="0062486D"/>
    <w:rsid w:val="00650DE7"/>
    <w:rsid w:val="00671D95"/>
    <w:rsid w:val="00692D99"/>
    <w:rsid w:val="006C4DEB"/>
    <w:rsid w:val="006C564D"/>
    <w:rsid w:val="006F7059"/>
    <w:rsid w:val="0070489C"/>
    <w:rsid w:val="00722EC2"/>
    <w:rsid w:val="00731FFB"/>
    <w:rsid w:val="00732808"/>
    <w:rsid w:val="00733B52"/>
    <w:rsid w:val="007379D1"/>
    <w:rsid w:val="0074112C"/>
    <w:rsid w:val="007659D3"/>
    <w:rsid w:val="00765D9F"/>
    <w:rsid w:val="00787908"/>
    <w:rsid w:val="007B048F"/>
    <w:rsid w:val="007C7763"/>
    <w:rsid w:val="007D2883"/>
    <w:rsid w:val="00800D1B"/>
    <w:rsid w:val="0081165C"/>
    <w:rsid w:val="00811F55"/>
    <w:rsid w:val="00855DC4"/>
    <w:rsid w:val="00861BD1"/>
    <w:rsid w:val="00870BD0"/>
    <w:rsid w:val="008751E1"/>
    <w:rsid w:val="0089610E"/>
    <w:rsid w:val="008B0271"/>
    <w:rsid w:val="008B4DCC"/>
    <w:rsid w:val="008C18E5"/>
    <w:rsid w:val="008C325E"/>
    <w:rsid w:val="008D3581"/>
    <w:rsid w:val="008D3E57"/>
    <w:rsid w:val="008E7590"/>
    <w:rsid w:val="008F011E"/>
    <w:rsid w:val="008F351F"/>
    <w:rsid w:val="009170B0"/>
    <w:rsid w:val="00920102"/>
    <w:rsid w:val="0094476A"/>
    <w:rsid w:val="00960E2A"/>
    <w:rsid w:val="00982329"/>
    <w:rsid w:val="009E1291"/>
    <w:rsid w:val="00A20B78"/>
    <w:rsid w:val="00A21CA7"/>
    <w:rsid w:val="00A313F0"/>
    <w:rsid w:val="00A374F8"/>
    <w:rsid w:val="00A4563D"/>
    <w:rsid w:val="00A528A7"/>
    <w:rsid w:val="00A6553B"/>
    <w:rsid w:val="00A7256E"/>
    <w:rsid w:val="00A72F22"/>
    <w:rsid w:val="00A84111"/>
    <w:rsid w:val="00A94483"/>
    <w:rsid w:val="00AA7EF5"/>
    <w:rsid w:val="00AA7FFA"/>
    <w:rsid w:val="00AC4336"/>
    <w:rsid w:val="00AC4EAD"/>
    <w:rsid w:val="00AE79D3"/>
    <w:rsid w:val="00AF0EB8"/>
    <w:rsid w:val="00B11B4D"/>
    <w:rsid w:val="00B23FC9"/>
    <w:rsid w:val="00B6093C"/>
    <w:rsid w:val="00B800C0"/>
    <w:rsid w:val="00B861A8"/>
    <w:rsid w:val="00B969B5"/>
    <w:rsid w:val="00BC7C3D"/>
    <w:rsid w:val="00BE61A6"/>
    <w:rsid w:val="00BF4259"/>
    <w:rsid w:val="00C3223E"/>
    <w:rsid w:val="00C40844"/>
    <w:rsid w:val="00C474D1"/>
    <w:rsid w:val="00C57ECA"/>
    <w:rsid w:val="00C80B3B"/>
    <w:rsid w:val="00C812D2"/>
    <w:rsid w:val="00C820FD"/>
    <w:rsid w:val="00C90744"/>
    <w:rsid w:val="00CA53B7"/>
    <w:rsid w:val="00CB4D42"/>
    <w:rsid w:val="00CD7EBD"/>
    <w:rsid w:val="00CE3CDD"/>
    <w:rsid w:val="00CF0B4C"/>
    <w:rsid w:val="00D01C59"/>
    <w:rsid w:val="00D04A4F"/>
    <w:rsid w:val="00D46648"/>
    <w:rsid w:val="00D5428E"/>
    <w:rsid w:val="00D94653"/>
    <w:rsid w:val="00DC6E99"/>
    <w:rsid w:val="00DC6F6C"/>
    <w:rsid w:val="00DE31E5"/>
    <w:rsid w:val="00DF3A97"/>
    <w:rsid w:val="00E04AEE"/>
    <w:rsid w:val="00E12702"/>
    <w:rsid w:val="00E32D37"/>
    <w:rsid w:val="00E36813"/>
    <w:rsid w:val="00E37197"/>
    <w:rsid w:val="00E531AD"/>
    <w:rsid w:val="00E82757"/>
    <w:rsid w:val="00E92054"/>
    <w:rsid w:val="00EA0CEE"/>
    <w:rsid w:val="00F059B7"/>
    <w:rsid w:val="00F33C96"/>
    <w:rsid w:val="00F577B2"/>
    <w:rsid w:val="00F63DC2"/>
    <w:rsid w:val="00F74F2E"/>
    <w:rsid w:val="00F77CA3"/>
    <w:rsid w:val="00F9054F"/>
    <w:rsid w:val="00FA1A25"/>
    <w:rsid w:val="00FC600F"/>
    <w:rsid w:val="00FD550F"/>
    <w:rsid w:val="00FE2715"/>
    <w:rsid w:val="00FE4684"/>
    <w:rsid w:val="00FF4D4D"/>
    <w:rsid w:val="027C11FC"/>
    <w:rsid w:val="0295401A"/>
    <w:rsid w:val="02F83051"/>
    <w:rsid w:val="0303051E"/>
    <w:rsid w:val="034E11A4"/>
    <w:rsid w:val="047B7BC4"/>
    <w:rsid w:val="04BF0B83"/>
    <w:rsid w:val="04FE4EAD"/>
    <w:rsid w:val="05312146"/>
    <w:rsid w:val="05330E8B"/>
    <w:rsid w:val="056D4E14"/>
    <w:rsid w:val="05FD7391"/>
    <w:rsid w:val="07855C66"/>
    <w:rsid w:val="07DC3C63"/>
    <w:rsid w:val="08115868"/>
    <w:rsid w:val="0900633E"/>
    <w:rsid w:val="09F078C2"/>
    <w:rsid w:val="0A9773AF"/>
    <w:rsid w:val="0B715FA9"/>
    <w:rsid w:val="0BD1033B"/>
    <w:rsid w:val="0BFD7548"/>
    <w:rsid w:val="0C8C1EEF"/>
    <w:rsid w:val="0D0C14ED"/>
    <w:rsid w:val="0D6039E5"/>
    <w:rsid w:val="0DDE0C6E"/>
    <w:rsid w:val="0F573D98"/>
    <w:rsid w:val="0FBF064C"/>
    <w:rsid w:val="10011F66"/>
    <w:rsid w:val="108224D2"/>
    <w:rsid w:val="10972384"/>
    <w:rsid w:val="110F2EEB"/>
    <w:rsid w:val="11402C86"/>
    <w:rsid w:val="13566E57"/>
    <w:rsid w:val="14421D4B"/>
    <w:rsid w:val="147F0C66"/>
    <w:rsid w:val="151D62D4"/>
    <w:rsid w:val="1558413F"/>
    <w:rsid w:val="155E4129"/>
    <w:rsid w:val="15B259A5"/>
    <w:rsid w:val="160351CB"/>
    <w:rsid w:val="16F77748"/>
    <w:rsid w:val="17610576"/>
    <w:rsid w:val="1A316175"/>
    <w:rsid w:val="1A830B36"/>
    <w:rsid w:val="1ADD4B0E"/>
    <w:rsid w:val="1BF021DF"/>
    <w:rsid w:val="1BFA3C82"/>
    <w:rsid w:val="1C672B50"/>
    <w:rsid w:val="1CCE54EB"/>
    <w:rsid w:val="1D7B5A38"/>
    <w:rsid w:val="1DA01B05"/>
    <w:rsid w:val="1DFC3E5E"/>
    <w:rsid w:val="1EA43205"/>
    <w:rsid w:val="1FBD1E67"/>
    <w:rsid w:val="20D855DF"/>
    <w:rsid w:val="22015C0D"/>
    <w:rsid w:val="234277A0"/>
    <w:rsid w:val="234B187D"/>
    <w:rsid w:val="23817433"/>
    <w:rsid w:val="23FC7BFC"/>
    <w:rsid w:val="24663A74"/>
    <w:rsid w:val="24EA7C79"/>
    <w:rsid w:val="250F564D"/>
    <w:rsid w:val="252B1EB7"/>
    <w:rsid w:val="256870E0"/>
    <w:rsid w:val="25BF0C4B"/>
    <w:rsid w:val="25E42BF8"/>
    <w:rsid w:val="265249D6"/>
    <w:rsid w:val="275D5D26"/>
    <w:rsid w:val="275F7D29"/>
    <w:rsid w:val="28403FE5"/>
    <w:rsid w:val="28BE48E2"/>
    <w:rsid w:val="29695A4F"/>
    <w:rsid w:val="2A441357"/>
    <w:rsid w:val="2A4C3073"/>
    <w:rsid w:val="2AFA0631"/>
    <w:rsid w:val="2B6721B0"/>
    <w:rsid w:val="2C191EA0"/>
    <w:rsid w:val="2C6E0BE4"/>
    <w:rsid w:val="2CA3124A"/>
    <w:rsid w:val="2CE51BB8"/>
    <w:rsid w:val="2D8B5047"/>
    <w:rsid w:val="2D8F39A1"/>
    <w:rsid w:val="2DAC4578"/>
    <w:rsid w:val="2DB36870"/>
    <w:rsid w:val="2DEA6350"/>
    <w:rsid w:val="2E260032"/>
    <w:rsid w:val="2E380045"/>
    <w:rsid w:val="2EFA1D2E"/>
    <w:rsid w:val="2F2E6BFF"/>
    <w:rsid w:val="2FC241F2"/>
    <w:rsid w:val="2FEF2882"/>
    <w:rsid w:val="30045C2F"/>
    <w:rsid w:val="30DF2B6C"/>
    <w:rsid w:val="313E1E7A"/>
    <w:rsid w:val="330E4E8B"/>
    <w:rsid w:val="33161353"/>
    <w:rsid w:val="334E3954"/>
    <w:rsid w:val="335E270E"/>
    <w:rsid w:val="33C90CEB"/>
    <w:rsid w:val="34255CC8"/>
    <w:rsid w:val="358A1AD4"/>
    <w:rsid w:val="358B06A1"/>
    <w:rsid w:val="35E41FA9"/>
    <w:rsid w:val="360B40D3"/>
    <w:rsid w:val="3661221B"/>
    <w:rsid w:val="37A433E0"/>
    <w:rsid w:val="37AE0477"/>
    <w:rsid w:val="38004B22"/>
    <w:rsid w:val="39121FB5"/>
    <w:rsid w:val="39140E3A"/>
    <w:rsid w:val="398C2739"/>
    <w:rsid w:val="39E974DB"/>
    <w:rsid w:val="3A8E5AF7"/>
    <w:rsid w:val="3C372EC9"/>
    <w:rsid w:val="3C4C5078"/>
    <w:rsid w:val="3DC862F7"/>
    <w:rsid w:val="3DDE3626"/>
    <w:rsid w:val="3FFF3DFE"/>
    <w:rsid w:val="401C5798"/>
    <w:rsid w:val="40794199"/>
    <w:rsid w:val="408A19B3"/>
    <w:rsid w:val="40CF0453"/>
    <w:rsid w:val="40F0643B"/>
    <w:rsid w:val="41414714"/>
    <w:rsid w:val="419C13AE"/>
    <w:rsid w:val="41A73FEA"/>
    <w:rsid w:val="41B40E40"/>
    <w:rsid w:val="42DF02D2"/>
    <w:rsid w:val="44C917FC"/>
    <w:rsid w:val="45740BC7"/>
    <w:rsid w:val="45AD67D6"/>
    <w:rsid w:val="45CF1EF0"/>
    <w:rsid w:val="45E20A8C"/>
    <w:rsid w:val="47097B32"/>
    <w:rsid w:val="47382C50"/>
    <w:rsid w:val="473A0E5B"/>
    <w:rsid w:val="476617B8"/>
    <w:rsid w:val="48205CF0"/>
    <w:rsid w:val="48AE5D4E"/>
    <w:rsid w:val="49162EBF"/>
    <w:rsid w:val="4A497E41"/>
    <w:rsid w:val="4A4B4604"/>
    <w:rsid w:val="4A566A25"/>
    <w:rsid w:val="4A7A1254"/>
    <w:rsid w:val="4B18258B"/>
    <w:rsid w:val="4B2A3103"/>
    <w:rsid w:val="4B3522B4"/>
    <w:rsid w:val="4B5E6BA8"/>
    <w:rsid w:val="4C3F54C3"/>
    <w:rsid w:val="4CE147A6"/>
    <w:rsid w:val="4CEE40EF"/>
    <w:rsid w:val="4DBF3FC8"/>
    <w:rsid w:val="4E287A4C"/>
    <w:rsid w:val="50E83C80"/>
    <w:rsid w:val="50E84976"/>
    <w:rsid w:val="516B7059"/>
    <w:rsid w:val="52400ADE"/>
    <w:rsid w:val="52AB3BAD"/>
    <w:rsid w:val="52D27864"/>
    <w:rsid w:val="536B3F5C"/>
    <w:rsid w:val="53CD308F"/>
    <w:rsid w:val="54C17E31"/>
    <w:rsid w:val="54E75E4E"/>
    <w:rsid w:val="54EC5F00"/>
    <w:rsid w:val="55BB08CE"/>
    <w:rsid w:val="56112EA9"/>
    <w:rsid w:val="56634F6B"/>
    <w:rsid w:val="56794219"/>
    <w:rsid w:val="56FE5647"/>
    <w:rsid w:val="572004CE"/>
    <w:rsid w:val="576E3E36"/>
    <w:rsid w:val="57BC5768"/>
    <w:rsid w:val="57D62605"/>
    <w:rsid w:val="59BD7DED"/>
    <w:rsid w:val="5AE252E1"/>
    <w:rsid w:val="5CBC1717"/>
    <w:rsid w:val="5D196F37"/>
    <w:rsid w:val="5D560B25"/>
    <w:rsid w:val="5E0B23A4"/>
    <w:rsid w:val="5E311346"/>
    <w:rsid w:val="5E7F2B1D"/>
    <w:rsid w:val="5E9479C8"/>
    <w:rsid w:val="5EFF55AD"/>
    <w:rsid w:val="5FFA163D"/>
    <w:rsid w:val="60446F8A"/>
    <w:rsid w:val="60A8111F"/>
    <w:rsid w:val="60B802FB"/>
    <w:rsid w:val="61633BDA"/>
    <w:rsid w:val="61B23647"/>
    <w:rsid w:val="61E33B45"/>
    <w:rsid w:val="63FE5340"/>
    <w:rsid w:val="64132F2C"/>
    <w:rsid w:val="64F92069"/>
    <w:rsid w:val="650664D0"/>
    <w:rsid w:val="652A6814"/>
    <w:rsid w:val="65355760"/>
    <w:rsid w:val="673113AB"/>
    <w:rsid w:val="67593ED7"/>
    <w:rsid w:val="678C7059"/>
    <w:rsid w:val="68AC152E"/>
    <w:rsid w:val="695323C7"/>
    <w:rsid w:val="69EA7D86"/>
    <w:rsid w:val="6B023115"/>
    <w:rsid w:val="6D401C96"/>
    <w:rsid w:val="6E06100F"/>
    <w:rsid w:val="6E5B1FD7"/>
    <w:rsid w:val="6E734BB3"/>
    <w:rsid w:val="708F1B04"/>
    <w:rsid w:val="70E237AF"/>
    <w:rsid w:val="710C1A65"/>
    <w:rsid w:val="71FF19B7"/>
    <w:rsid w:val="731458B8"/>
    <w:rsid w:val="739211D2"/>
    <w:rsid w:val="73FA6E86"/>
    <w:rsid w:val="74572EAA"/>
    <w:rsid w:val="74AA7C9D"/>
    <w:rsid w:val="74E106B7"/>
    <w:rsid w:val="75700D85"/>
    <w:rsid w:val="75715F41"/>
    <w:rsid w:val="76497732"/>
    <w:rsid w:val="76890F73"/>
    <w:rsid w:val="770F4753"/>
    <w:rsid w:val="795E2CE3"/>
    <w:rsid w:val="79EB43CD"/>
    <w:rsid w:val="7A126AE1"/>
    <w:rsid w:val="7ABE2378"/>
    <w:rsid w:val="7AFB3926"/>
    <w:rsid w:val="7B45286E"/>
    <w:rsid w:val="7BA41111"/>
    <w:rsid w:val="7BFC3589"/>
    <w:rsid w:val="7C185614"/>
    <w:rsid w:val="7CD02D3B"/>
    <w:rsid w:val="7D2B397D"/>
    <w:rsid w:val="7E352FE9"/>
    <w:rsid w:val="7EB61EE5"/>
    <w:rsid w:val="7FCE0606"/>
    <w:rsid w:val="7FF13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tabs>
        <w:tab w:val="left" w:pos="720"/>
      </w:tabs>
      <w:adjustRightInd w:val="0"/>
      <w:spacing w:line="320" w:lineRule="atLeast"/>
      <w:ind w:left="720" w:hanging="720"/>
      <w:outlineLvl w:val="1"/>
    </w:pPr>
    <w:rPr>
      <w:rFonts w:ascii="黑体" w:hAnsi="Arial" w:eastAsia="黑体" w:cs="宋体"/>
      <w:kern w:val="0"/>
      <w:sz w:val="28"/>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pPr>
      <w:jc w:val="left"/>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toc 2"/>
    <w:basedOn w:val="1"/>
    <w:next w:val="1"/>
    <w:qFormat/>
    <w:uiPriority w:val="0"/>
    <w:pPr>
      <w:tabs>
        <w:tab w:val="right" w:leader="dot" w:pos="8302"/>
      </w:tabs>
      <w:snapToGrid w:val="0"/>
      <w:spacing w:line="360" w:lineRule="auto"/>
      <w:ind w:left="525" w:hanging="4"/>
    </w:pPr>
    <w:rPr>
      <w:sz w:val="24"/>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qFormat/>
    <w:uiPriority w:val="0"/>
  </w:style>
  <w:style w:type="character" w:styleId="15">
    <w:name w:val="annotation reference"/>
    <w:basedOn w:val="13"/>
    <w:qFormat/>
    <w:uiPriority w:val="0"/>
    <w:rPr>
      <w:sz w:val="21"/>
      <w:szCs w:val="21"/>
    </w:rPr>
  </w:style>
  <w:style w:type="paragraph" w:customStyle="1" w:styleId="16">
    <w:name w:val="标题1"/>
    <w:basedOn w:val="3"/>
    <w:next w:val="1"/>
    <w:qFormat/>
    <w:uiPriority w:val="0"/>
    <w:pPr>
      <w:numPr>
        <w:ilvl w:val="0"/>
        <w:numId w:val="1"/>
      </w:numPr>
    </w:pPr>
    <w:rPr>
      <w:rFonts w:hAnsi="黑体"/>
    </w:rPr>
  </w:style>
  <w:style w:type="paragraph" w:customStyle="1" w:styleId="17">
    <w:name w:val="首页项目名称"/>
    <w:link w:val="19"/>
    <w:qFormat/>
    <w:uiPriority w:val="0"/>
    <w:pPr>
      <w:jc w:val="center"/>
    </w:pPr>
    <w:rPr>
      <w:rFonts w:ascii="Times New Roman" w:hAnsi="Times New Roman" w:eastAsia="隶书" w:cs="Times New Roman"/>
      <w:sz w:val="52"/>
      <w:lang w:val="en-US" w:eastAsia="zh-CN" w:bidi="ar-SA"/>
    </w:rPr>
  </w:style>
  <w:style w:type="paragraph" w:customStyle="1" w:styleId="18">
    <w:name w:val="首页日期"/>
    <w:basedOn w:val="1"/>
    <w:link w:val="20"/>
    <w:qFormat/>
    <w:uiPriority w:val="0"/>
    <w:pPr>
      <w:jc w:val="center"/>
    </w:pPr>
    <w:rPr>
      <w:rFonts w:eastAsia="楷体"/>
      <w:sz w:val="32"/>
    </w:rPr>
  </w:style>
  <w:style w:type="character" w:customStyle="1" w:styleId="19">
    <w:name w:val="首页项目名称 Char"/>
    <w:link w:val="17"/>
    <w:qFormat/>
    <w:uiPriority w:val="0"/>
    <w:rPr>
      <w:rFonts w:ascii="Times New Roman" w:hAnsi="Times New Roman" w:eastAsia="隶书"/>
      <w:sz w:val="52"/>
    </w:rPr>
  </w:style>
  <w:style w:type="character" w:customStyle="1" w:styleId="20">
    <w:name w:val="首页日期 Char"/>
    <w:link w:val="18"/>
    <w:qFormat/>
    <w:uiPriority w:val="0"/>
    <w:rPr>
      <w:rFonts w:ascii="Times New Roman" w:hAnsi="Times New Roman" w:eastAsia="楷体"/>
      <w:sz w:val="32"/>
    </w:rPr>
  </w:style>
  <w:style w:type="paragraph" w:customStyle="1" w:styleId="21">
    <w:name w:val="一标题"/>
    <w:link w:val="22"/>
    <w:qFormat/>
    <w:uiPriority w:val="0"/>
    <w:pPr>
      <w:spacing w:before="100" w:beforeLines="100" w:line="360" w:lineRule="auto"/>
    </w:pPr>
    <w:rPr>
      <w:rFonts w:ascii="宋体" w:hAnsi="宋体" w:eastAsia="宋体" w:cs="Times New Roman"/>
      <w:b/>
      <w:sz w:val="24"/>
      <w:lang w:val="en-US" w:eastAsia="zh-CN" w:bidi="ar-SA"/>
    </w:rPr>
  </w:style>
  <w:style w:type="character" w:customStyle="1" w:styleId="22">
    <w:name w:val="一标题 Char"/>
    <w:link w:val="21"/>
    <w:qFormat/>
    <w:uiPriority w:val="0"/>
    <w:rPr>
      <w:rFonts w:ascii="宋体" w:hAnsi="宋体" w:eastAsia="宋体" w:cs="Times New Roman"/>
      <w:b/>
      <w:sz w:val="24"/>
    </w:rPr>
  </w:style>
  <w:style w:type="paragraph" w:customStyle="1" w:styleId="23">
    <w:name w:val="_Style 0"/>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4">
    <w:name w:val="List Paragraph"/>
    <w:basedOn w:val="1"/>
    <w:qFormat/>
    <w:uiPriority w:val="99"/>
    <w:pPr>
      <w:ind w:firstLine="420"/>
    </w:pPr>
  </w:style>
  <w:style w:type="character" w:customStyle="1" w:styleId="25">
    <w:name w:val="批注文字 字符"/>
    <w:basedOn w:val="13"/>
    <w:link w:val="5"/>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1571E-D522-4003-AA97-B5DAE56DE445}">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916</Words>
  <Characters>5222</Characters>
  <Lines>43</Lines>
  <Paragraphs>12</Paragraphs>
  <TotalTime>7</TotalTime>
  <ScaleCrop>false</ScaleCrop>
  <LinksUpToDate>false</LinksUpToDate>
  <CharactersWithSpaces>6126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2025-09-02T03:12:00Z</dcterms:created>
  <dc:creator>shenpeiyi</dc:creator>
  <cp:lastModifiedBy>Administrator</cp:lastModifiedBy>
  <dcterms:modified xsi:type="dcterms:W3CDTF">2025-11-06T07:19:42Z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0924573360344DE8894CA8EF5E2EBFE7</vt:lpwstr>
  </property>
</Properties>
</file>