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附件A.项目信息清单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>广州供电局2025-2026年随轨随道路建设电力廊道规划及多回路共模风险分析项目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）</w:t>
      </w:r>
    </w:p>
    <w:bookmarkEnd w:id="0"/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项目信息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招标前期资料</w:t>
      </w:r>
    </w:p>
    <w:tbl>
      <w:tblPr>
        <w:tblStyle w:val="12"/>
        <w:tblW w:w="98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3187"/>
        <w:gridCol w:w="5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776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187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文件名称</w:t>
            </w:r>
          </w:p>
        </w:tc>
        <w:tc>
          <w:tcPr>
            <w:tcW w:w="5846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1" w:hRule="exac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187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项目立项(可研批复)文号</w:t>
            </w:r>
          </w:p>
        </w:tc>
        <w:tc>
          <w:tcPr>
            <w:tcW w:w="5846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《关于下达公司 2025 年依托工程基建新技术研究项目的通知》办输配电〔2025〕68 号;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《广州供电局规划研究中心关于广州供电局2025 年依托基建工程技术创新专题可行性研究报告评审意见的报告》广供电规划〔</w:t>
            </w: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2025〕136号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5" w:hRule="exac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187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  <w:t>资金落实情况</w:t>
            </w:r>
          </w:p>
        </w:tc>
        <w:tc>
          <w:tcPr>
            <w:tcW w:w="5846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《广州供电局规划研究中心关于广州供电局2025 年依托基建工程技术创新专题可行性研究报告评审意见的报告》广供电规划〔</w:t>
            </w: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2025〕136号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;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《广州供电局规划研究中心关于220千伏白鹅潭输变电工程（第一分册）施工图设计及预算评审意见的报告》广供电规划〔</w:t>
            </w: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2025〕1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47</w:t>
            </w: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;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《关于220千伏白鹅潭输变电工程（第一分册）施工图设计及预算的批复》广供电基〔</w:t>
            </w: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2025〕152 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187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5846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广东电网有限责任公司广州供电局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3187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5846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广州市 荔湾 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5" w:hRule="exac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3187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服务期</w:t>
            </w:r>
          </w:p>
        </w:tc>
        <w:tc>
          <w:tcPr>
            <w:tcW w:w="5846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合同签订之日起至2026年12月31日，实际服务期以委托函上载明的时间为准。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57" w:beforeLines="50" w:after="157" w:afterLines="50" w:line="48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一、项目概况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本项目以2024年广州电网廊道规划为基础，结合广州范围内地铁轨道、道路规划建设情况，按照地铁轨道及道路的建设时序，建设难度、投资效益等因素，确定电力廊道规划优先级，调整廊道规划。同时，按照电压等级、系统运行安全进行重要线路梳理，对于同一廊道的风险进行分析，指定应对措施，按规划层面、措施层面、调度层面提出多维度解决方案，着重对规划层面提出分路径方案。廊道规划考虑对现状地铁站点进行避让，对相交叉的在建地铁线路站点提出电力互通廊道需求，对规划地铁线路结合廊道规划考虑随轨需求。廊道规划与国土空间规划深度融合，将规划的主干路作为电力隧道主通道，结合百村旧改项目三年实施计划相关配套道路建设计划，廊道规划走廊优先考虑近期有建设计划道路，并提出中断道路、碎片化道路的连通建议，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>并对可能出线的廊道中断情况，提出架空线行接续的规划方案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实现电力廊道的互联互通。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0" w:firstLineChars="200"/>
        <w:textAlignment w:val="auto"/>
        <w:rPr>
          <w:rFonts w:hint="eastAsia" w:ascii="Wingdings" w:hAnsi="Wingdings" w:cs="Wingdings" w:eastAsia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本项目主要完成全市2035年、饱和年广州市随地铁轨道随道路建设电力廊道规划全市一张图、各区一张图，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>对多回线路的共模风险进行分析，提出化解风险的措施及建议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>形成随轨随道路建设电力廊道规划及多回路共模风险分析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val="en-US" w:eastAsia="zh-CN"/>
        </w:rPr>
        <w:t>报告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>1份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二、采购范围</w:t>
      </w:r>
    </w:p>
    <w:p>
      <w:pPr>
        <w:pStyle w:val="1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执行《南方电网公司基建工程设计管理控制文件》及广州供电局有限公司相关文件要求，满足国家、南方电网公司的质量标准、控制标准和验收规范，在质量管理过程中达到或超过质量标准。</w:t>
      </w:r>
    </w:p>
    <w:p>
      <w:pPr>
        <w:pStyle w:val="1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1.收集现状、在建、上报规自局的规划地铁线路，廊道规划考虑对现状地铁站点进行避让，对相交叉的在建地铁线路站点提出电力互通廊道需求，对规划地铁线路结合廊道规划考虑随轨需求。</w:t>
      </w:r>
    </w:p>
    <w:p>
      <w:pPr>
        <w:pStyle w:val="1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2.与国土空间规划深度融合，将规划的主干路作为电力隧道主通道，结合百村旧改项目三年实施计划相关配套道路建设计划，廊道规划走廊优先考虑近期有建设计划道路，并提出中断道路、碎片化道路的连通建议，实现电力廊道的互联互通。</w:t>
      </w:r>
    </w:p>
    <w:p>
      <w:pPr>
        <w:pStyle w:val="1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3.以2024年版广州电网廊道规划为基础，按照地铁轨道及道路的建设时序，建设难度、投资效益等因素，确定电力廊道规划优先级，调整廊道规划。</w:t>
      </w:r>
    </w:p>
    <w:p>
      <w:pPr>
        <w:pStyle w:val="1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4.按照电压等级、系统运行安全进行重要线路梳理，对于同一廊道的风险进行分析，指定应对措施，按规划层面、措施层面、调度层面提出多维度解决方案，着重对规划层面提出分路径方案。</w:t>
      </w:r>
    </w:p>
    <w:p>
      <w:pPr>
        <w:pStyle w:val="1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5.广州市随地铁轨道建设电力廊道规划，提出全市2035年、饱和年随轨道规划路径，管容需求，建设时序配合，与地铁交叉地下空间集约化建议、与地铁车站互通廊道预留。</w:t>
      </w:r>
    </w:p>
    <w:p>
      <w:pPr>
        <w:pStyle w:val="1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6.根据道路建设计划，开展广州市随道路同步建设电力廊道规划，提出全市2035年随道路同步建设规划路径，管容需求，建设时序配合。提出中断道路、碎片化道路的连通建议，并对可能出线的廊道中断情况，提出架空线行接续的规划方案。</w:t>
      </w:r>
    </w:p>
    <w:p>
      <w:pPr>
        <w:pStyle w:val="1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7.对多回线路的共模风险进行分析，提出化解风险的措施及建议。</w:t>
      </w:r>
    </w:p>
    <w:p>
      <w:pPr>
        <w:pStyle w:val="2"/>
        <w:rPr>
          <w:rFonts w:hint="eastAsia"/>
          <w:b w:val="0"/>
          <w:bCs w:val="0"/>
          <w:lang w:val="en-US" w:eastAsia="zh-CN"/>
        </w:rPr>
      </w:pPr>
    </w:p>
    <w:p>
      <w:pPr>
        <w:pStyle w:val="4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outlineLvl w:val="1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报价表及报价要求</w:t>
      </w:r>
    </w:p>
    <w:p>
      <w:pPr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jc w:val="both"/>
        <w:rPr>
          <w:rFonts w:hint="eastAsia"/>
          <w:lang w:val="en-US" w:eastAsia="zh-CN"/>
        </w:rPr>
      </w:pPr>
    </w:p>
    <w:tbl>
      <w:tblPr>
        <w:tblStyle w:val="11"/>
        <w:tblpPr w:leftFromText="180" w:rightFromText="180" w:vertAnchor="text" w:horzAnchor="page" w:tblpX="1352" w:tblpY="66"/>
        <w:tblOverlap w:val="never"/>
        <w:tblW w:w="929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2232"/>
        <w:gridCol w:w="825"/>
        <w:gridCol w:w="936"/>
        <w:gridCol w:w="826"/>
        <w:gridCol w:w="694"/>
        <w:gridCol w:w="1024"/>
        <w:gridCol w:w="1049"/>
        <w:gridCol w:w="10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6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2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工程或费用名称</w:t>
            </w: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7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最高投标限价</w:t>
            </w:r>
          </w:p>
        </w:tc>
        <w:tc>
          <w:tcPr>
            <w:tcW w:w="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投标下浮率</w:t>
            </w:r>
          </w:p>
        </w:tc>
        <w:tc>
          <w:tcPr>
            <w:tcW w:w="20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投标报价</w:t>
            </w:r>
          </w:p>
        </w:tc>
        <w:tc>
          <w:tcPr>
            <w:tcW w:w="1056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备 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</w:p>
        </w:tc>
        <w:tc>
          <w:tcPr>
            <w:tcW w:w="2232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</w:p>
        </w:tc>
        <w:tc>
          <w:tcPr>
            <w:tcW w:w="8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05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广州供电局2025-202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年随轨随道路建设电力廊道规划及多回路共模风险分析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1100000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1100000</w:t>
            </w:r>
          </w:p>
        </w:tc>
        <w:tc>
          <w:tcPr>
            <w:tcW w:w="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%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合计（小写）：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1100000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1100000</w:t>
            </w:r>
          </w:p>
        </w:tc>
        <w:tc>
          <w:tcPr>
            <w:tcW w:w="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</w:tbl>
    <w:p>
      <w:pPr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jc w:val="both"/>
        <w:rPr>
          <w:rFonts w:hint="eastAsia"/>
          <w:highlight w:val="none"/>
          <w:lang w:val="en-US" w:eastAsia="zh-CN"/>
        </w:rPr>
      </w:pPr>
    </w:p>
    <w:p>
      <w:pPr>
        <w:pStyle w:val="7"/>
        <w:ind w:firstLine="240" w:firstLineChars="1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报价要求：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按下浮率报价（保留两位小数，如8.88%），同时填报投标报价（投标报价=最高投标限价*（1-投标下浮率），四舍五入保留两位小数）。当投标报价与投标下浮率计算结果不一致时，以投标下浮率为准，按上述公式修订投标报价，如单项报价与投标下浮率不对应的也需按投标下浮率修正单项报价。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投标下浮率不低于0%为有效报价；当投标下浮率＞15%时应附成本分析报告，充分说明单价和费用的组成、降低成本的合理措施及在其他工程中应用过的经验等，经评审通过后方可视为有效报价。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价格分计算时，投标人评标价按（100-投标人填写的下浮数值）参与计算。如：下浮率为1.88％时，评标价按（100-1.88）参与计算。</w:t>
      </w:r>
    </w:p>
    <w:p>
      <w:pPr>
        <w:numPr>
          <w:ilvl w:val="0"/>
          <w:numId w:val="0"/>
        </w:numPr>
        <w:rPr>
          <w:rFonts w:hint="default"/>
          <w:highlight w:val="none"/>
          <w:lang w:val="en-US" w:eastAsia="zh-CN"/>
        </w:rPr>
      </w:pPr>
    </w:p>
    <w:p>
      <w:pPr>
        <w:rPr>
          <w:rFonts w:hint="eastAsia"/>
          <w:highlight w:val="none"/>
          <w:lang w:val="en-US" w:eastAsia="zh-CN"/>
        </w:rPr>
      </w:pP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auto"/>
        <w:ind w:leftChars="0"/>
        <w:outlineLvl w:val="1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四、结算方式</w:t>
      </w:r>
    </w:p>
    <w:p>
      <w:pPr>
        <w:pStyle w:val="2"/>
        <w:numPr>
          <w:ilvl w:val="0"/>
          <w:numId w:val="0"/>
        </w:numPr>
        <w:adjustRightInd w:val="0"/>
        <w:snapToGrid w:val="0"/>
        <w:spacing w:line="560" w:lineRule="exact"/>
        <w:ind w:leftChars="0" w:firstLine="480" w:firstLineChars="200"/>
        <w:rPr>
          <w:rFonts w:hint="eastAsia" w:asciiTheme="minorEastAsia" w:hAnsiTheme="minorEastAsia" w:eastAsiaTheme="minorEastAsia" w:cstheme="minorEastAsia"/>
          <w:color w:val="00000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color w:val="000000"/>
          <w:kern w:val="2"/>
          <w:sz w:val="24"/>
          <w:szCs w:val="24"/>
          <w:u w:val="single"/>
          <w:lang w:val="en-US" w:eastAsia="zh-CN" w:bidi="ar-SA"/>
        </w:rPr>
        <w:t>相应阶段结算价=最高投标限价 ×（1-中标下浮率）。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default" w:asciiTheme="minorEastAsia" w:hAnsiTheme="minorEastAsia" w:eastAsiaTheme="minorEastAsia" w:cs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五、分包要求</w:t>
      </w:r>
    </w:p>
    <w:p>
      <w:pPr>
        <w:pStyle w:val="10"/>
        <w:numPr>
          <w:ilvl w:val="0"/>
          <w:numId w:val="0"/>
        </w:numPr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default" w:ascii="Wingdings" w:hAnsi="Wingdings" w:cs="Wingdings"/>
          <w:sz w:val="24"/>
          <w:szCs w:val="24"/>
          <w:highlight w:val="none"/>
        </w:rPr>
        <w:sym w:font="Wingdings" w:char="00FE"/>
      </w:r>
      <w:r>
        <w:rPr>
          <w:rFonts w:hint="eastAsia"/>
          <w:sz w:val="24"/>
          <w:szCs w:val="24"/>
          <w:highlight w:val="none"/>
          <w:lang w:eastAsia="zh-CN"/>
        </w:rPr>
        <w:t>不允许分包</w:t>
      </w:r>
    </w:p>
    <w:p>
      <w:pPr>
        <w:pStyle w:val="10"/>
        <w:numPr>
          <w:ilvl w:val="0"/>
          <w:numId w:val="0"/>
        </w:numPr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default" w:ascii="Wingdings" w:hAnsi="Wingdings" w:cs="Wingdings"/>
          <w:sz w:val="24"/>
          <w:szCs w:val="24"/>
          <w:highlight w:val="none"/>
          <w:lang w:eastAsia="zh-CN"/>
        </w:rPr>
        <w:sym w:font="Wingdings" w:char="00A8"/>
      </w:r>
      <w:r>
        <w:rPr>
          <w:rFonts w:hint="eastAsia"/>
          <w:sz w:val="24"/>
          <w:szCs w:val="24"/>
          <w:highlight w:val="none"/>
          <w:lang w:eastAsia="zh-CN"/>
        </w:rPr>
        <w:t>允许分包，但必须符合以下要求：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157" w:beforeLines="50" w:after="157" w:afterLines="50" w:line="480" w:lineRule="auto"/>
        <w:textAlignment w:val="auto"/>
        <w:rPr>
          <w:rFonts w:hint="eastAsia" w:ascii="Wingdings" w:hAnsi="Wingdings" w:cs="Wingdings" w:eastAsia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Wingdings" w:hAnsi="Wingdings" w:cs="Wingdings" w:eastAsia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      </w:t>
      </w:r>
    </w:p>
    <w:p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br w:type="page"/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技术标准、要求及图纸（对应招标文件 第五章）</w:t>
      </w:r>
    </w:p>
    <w:p>
      <w:pPr>
        <w:pStyle w:val="4"/>
        <w:spacing w:before="0" w:after="0" w:line="240" w:lineRule="auto"/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 xml:space="preserve"> 管理规范和技术（规范）标准（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eastAsia="zh-CN"/>
        </w:rPr>
        <w:t>详见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合同附件）</w:t>
      </w:r>
    </w:p>
    <w:p>
      <w:pPr>
        <w:pStyle w:val="2"/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</w:p>
    <w:p>
      <w:pPr>
        <w:pStyle w:val="4"/>
        <w:spacing w:before="0" w:after="0" w:line="240" w:lineRule="auto"/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技术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val="en-US" w:eastAsia="zh-CN"/>
        </w:rPr>
        <w:t>及管理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要求</w:t>
      </w:r>
    </w:p>
    <w:p>
      <w:pPr>
        <w:autoSpaceDE w:val="0"/>
        <w:autoSpaceDN w:val="0"/>
        <w:adjustRightInd w:val="0"/>
        <w:rPr>
          <w:rFonts w:hint="eastAsia" w:asciiTheme="minorEastAsia" w:hAnsiTheme="minorEastAsia" w:eastAsiaTheme="minorEastAsia" w:cstheme="minorEastAsia"/>
          <w:i w:val="0"/>
          <w:iCs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kern w:val="0"/>
          <w:sz w:val="24"/>
          <w:szCs w:val="24"/>
          <w:highlight w:val="none"/>
          <w:lang w:val="zh-CN"/>
        </w:rPr>
        <w:t>（一）满足南方电网公司基建管理制度、建设单位的质量、环境和职业健康安全管理体系文件、其他有关制度和规定。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leftChars="0"/>
        <w:textAlignment w:val="auto"/>
        <w:outlineLvl w:val="1"/>
        <w:rPr>
          <w:rFonts w:hint="eastAsia" w:asciiTheme="minorEastAsia" w:hAnsiTheme="minorEastAsia" w:eastAsiaTheme="minorEastAsia" w:cstheme="minorEastAsia"/>
          <w:b w:val="0"/>
          <w:bCs/>
          <w:i w:val="0"/>
          <w:iCs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i w:val="0"/>
          <w:iCs/>
          <w:color w:val="auto"/>
          <w:kern w:val="0"/>
          <w:sz w:val="24"/>
          <w:szCs w:val="24"/>
          <w:highlight w:val="none"/>
          <w:lang w:val="zh-CN"/>
        </w:rPr>
        <w:t>（二）符合图纸及技术文件的要求（如有，详见招标文件附件）。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vertAlign w:val="baseli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tLeas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bookmarkStart w:id="1" w:name="_GoBack"/>
      <w:bookmarkEnd w:id="1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6993E1"/>
    <w:multiLevelType w:val="singleLevel"/>
    <w:tmpl w:val="EA6993E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AEE20F8"/>
    <w:multiLevelType w:val="singleLevel"/>
    <w:tmpl w:val="EAEE20F8"/>
    <w:lvl w:ilvl="0" w:tentative="0">
      <w:start w:val="2"/>
      <w:numFmt w:val="chineseCounting"/>
      <w:suff w:val="nothing"/>
      <w:lvlText w:val="第%1部分."/>
      <w:lvlJc w:val="left"/>
      <w:rPr>
        <w:rFonts w:hint="eastAsia"/>
      </w:rPr>
    </w:lvl>
  </w:abstractNum>
  <w:abstractNum w:abstractNumId="2">
    <w:nsid w:val="0D7920FF"/>
    <w:multiLevelType w:val="singleLevel"/>
    <w:tmpl w:val="0D7920FF"/>
    <w:lvl w:ilvl="0" w:tentative="0">
      <w:start w:val="1"/>
      <w:numFmt w:val="chineseCounting"/>
      <w:suff w:val="nothing"/>
      <w:lvlText w:val="第%1部分."/>
      <w:lvlJc w:val="left"/>
      <w:rPr>
        <w:rFonts w:hint="eastAsia"/>
      </w:rPr>
    </w:lvl>
  </w:abstractNum>
  <w:abstractNum w:abstractNumId="3">
    <w:nsid w:val="12846F37"/>
    <w:multiLevelType w:val="singleLevel"/>
    <w:tmpl w:val="12846F3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737D8"/>
    <w:rsid w:val="001270A5"/>
    <w:rsid w:val="007A4AD7"/>
    <w:rsid w:val="04A24F71"/>
    <w:rsid w:val="076F3B3B"/>
    <w:rsid w:val="07CA37DF"/>
    <w:rsid w:val="08AD3B95"/>
    <w:rsid w:val="0A950901"/>
    <w:rsid w:val="0B4A6210"/>
    <w:rsid w:val="0BC07002"/>
    <w:rsid w:val="0E2F4C02"/>
    <w:rsid w:val="0E3616E0"/>
    <w:rsid w:val="0E394169"/>
    <w:rsid w:val="0F81532F"/>
    <w:rsid w:val="107144D2"/>
    <w:rsid w:val="116419AD"/>
    <w:rsid w:val="11DF6CFE"/>
    <w:rsid w:val="12A5526C"/>
    <w:rsid w:val="13383335"/>
    <w:rsid w:val="14440D4B"/>
    <w:rsid w:val="14781EB9"/>
    <w:rsid w:val="14B666F3"/>
    <w:rsid w:val="15056A61"/>
    <w:rsid w:val="17722603"/>
    <w:rsid w:val="18E57496"/>
    <w:rsid w:val="1A386933"/>
    <w:rsid w:val="1A4F176B"/>
    <w:rsid w:val="1B663F82"/>
    <w:rsid w:val="1C2D4629"/>
    <w:rsid w:val="1C43636C"/>
    <w:rsid w:val="1C8618B6"/>
    <w:rsid w:val="1D904223"/>
    <w:rsid w:val="1ECF19DA"/>
    <w:rsid w:val="1F653C49"/>
    <w:rsid w:val="1FF914D4"/>
    <w:rsid w:val="20735046"/>
    <w:rsid w:val="216F4D5B"/>
    <w:rsid w:val="21C11DC8"/>
    <w:rsid w:val="23B738BA"/>
    <w:rsid w:val="24E67795"/>
    <w:rsid w:val="24F737D8"/>
    <w:rsid w:val="2525523D"/>
    <w:rsid w:val="25990992"/>
    <w:rsid w:val="26EB3B6A"/>
    <w:rsid w:val="28A97D87"/>
    <w:rsid w:val="28C43A7C"/>
    <w:rsid w:val="291D5E51"/>
    <w:rsid w:val="2BE07E0A"/>
    <w:rsid w:val="2CA17C08"/>
    <w:rsid w:val="2DDF66E3"/>
    <w:rsid w:val="2FF65FF8"/>
    <w:rsid w:val="300D195C"/>
    <w:rsid w:val="30BF37B5"/>
    <w:rsid w:val="313B0851"/>
    <w:rsid w:val="31A1649A"/>
    <w:rsid w:val="31C955A9"/>
    <w:rsid w:val="33B200AF"/>
    <w:rsid w:val="33C75702"/>
    <w:rsid w:val="33E61BE2"/>
    <w:rsid w:val="361736AD"/>
    <w:rsid w:val="36D200CF"/>
    <w:rsid w:val="379951F8"/>
    <w:rsid w:val="38382DC3"/>
    <w:rsid w:val="38DE045C"/>
    <w:rsid w:val="3987396D"/>
    <w:rsid w:val="3B595AEE"/>
    <w:rsid w:val="3BF24D81"/>
    <w:rsid w:val="3BFE7BEA"/>
    <w:rsid w:val="3C4750A3"/>
    <w:rsid w:val="3C4A35F1"/>
    <w:rsid w:val="420455E6"/>
    <w:rsid w:val="42E73C50"/>
    <w:rsid w:val="44982260"/>
    <w:rsid w:val="44D414C9"/>
    <w:rsid w:val="451343A0"/>
    <w:rsid w:val="46472D5E"/>
    <w:rsid w:val="469B0CD2"/>
    <w:rsid w:val="485D3F87"/>
    <w:rsid w:val="496A657E"/>
    <w:rsid w:val="49843C09"/>
    <w:rsid w:val="4B3A1BDA"/>
    <w:rsid w:val="4BF83760"/>
    <w:rsid w:val="4C5B4768"/>
    <w:rsid w:val="4C8349B8"/>
    <w:rsid w:val="504766FD"/>
    <w:rsid w:val="54471B54"/>
    <w:rsid w:val="552A0C96"/>
    <w:rsid w:val="55641C53"/>
    <w:rsid w:val="55BB16B6"/>
    <w:rsid w:val="55C3156A"/>
    <w:rsid w:val="560A4CB8"/>
    <w:rsid w:val="578178F5"/>
    <w:rsid w:val="5782183A"/>
    <w:rsid w:val="57BD355E"/>
    <w:rsid w:val="585A2248"/>
    <w:rsid w:val="58D21C48"/>
    <w:rsid w:val="5B0320E2"/>
    <w:rsid w:val="5B8B11A7"/>
    <w:rsid w:val="5B9E2EC4"/>
    <w:rsid w:val="5CD10D7E"/>
    <w:rsid w:val="60002310"/>
    <w:rsid w:val="608606DE"/>
    <w:rsid w:val="610E324A"/>
    <w:rsid w:val="61F31EFD"/>
    <w:rsid w:val="62D868AC"/>
    <w:rsid w:val="63066BC7"/>
    <w:rsid w:val="63D0487B"/>
    <w:rsid w:val="64672037"/>
    <w:rsid w:val="64911DA0"/>
    <w:rsid w:val="65945D8D"/>
    <w:rsid w:val="661A56F4"/>
    <w:rsid w:val="66C35559"/>
    <w:rsid w:val="67D57489"/>
    <w:rsid w:val="68570F93"/>
    <w:rsid w:val="68EE188F"/>
    <w:rsid w:val="6A287B5E"/>
    <w:rsid w:val="6AEE3745"/>
    <w:rsid w:val="6B303A1A"/>
    <w:rsid w:val="6C704794"/>
    <w:rsid w:val="6DAA2FDF"/>
    <w:rsid w:val="6DF95579"/>
    <w:rsid w:val="6E121228"/>
    <w:rsid w:val="6EE7250B"/>
    <w:rsid w:val="6F8447F5"/>
    <w:rsid w:val="70D1495F"/>
    <w:rsid w:val="70ED510D"/>
    <w:rsid w:val="712F63C0"/>
    <w:rsid w:val="71933077"/>
    <w:rsid w:val="72717CD1"/>
    <w:rsid w:val="729E3B65"/>
    <w:rsid w:val="743E1546"/>
    <w:rsid w:val="74614F7E"/>
    <w:rsid w:val="74695E39"/>
    <w:rsid w:val="754C6F3B"/>
    <w:rsid w:val="75B11AFF"/>
    <w:rsid w:val="75D32619"/>
    <w:rsid w:val="76307412"/>
    <w:rsid w:val="768D126A"/>
    <w:rsid w:val="780B6A75"/>
    <w:rsid w:val="79A4538B"/>
    <w:rsid w:val="79F83E18"/>
    <w:rsid w:val="7CED7DC5"/>
    <w:rsid w:val="7D0F76D8"/>
    <w:rsid w:val="7E3420E0"/>
    <w:rsid w:val="7F1B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4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5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8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8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9">
    <w:name w:val="Body Text Indent"/>
    <w:basedOn w:val="1"/>
    <w:qFormat/>
    <w:uiPriority w:val="0"/>
    <w:pPr>
      <w:spacing w:after="120"/>
      <w:ind w:left="420" w:leftChars="200"/>
    </w:pPr>
  </w:style>
  <w:style w:type="paragraph" w:styleId="10">
    <w:name w:val="Body Text First Indent"/>
    <w:basedOn w:val="7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Lines="50" w:beforeAutospacing="0" w:afterLines="50" w:afterAutospacing="0" w:line="360" w:lineRule="auto"/>
      <w:ind w:firstLine="200" w:firstLineChars="200"/>
      <w:jc w:val="both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5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  <w:style w:type="character" w:customStyle="1" w:styleId="16">
    <w:name w:val="font1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17">
    <w:name w:val="文字"/>
    <w:basedOn w:val="1"/>
    <w:qFormat/>
    <w:uiPriority w:val="0"/>
    <w:pPr>
      <w:spacing w:line="440" w:lineRule="exact"/>
      <w:ind w:firstLine="480" w:firstLineChars="200"/>
    </w:pPr>
    <w:rPr>
      <w:rFonts w:ascii="Times New Roman" w:hAnsi="Times New Roman"/>
      <w:sz w:val="24"/>
    </w:r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Administrator</cp:lastModifiedBy>
  <dcterms:modified xsi:type="dcterms:W3CDTF">2025-11-06T07:35:27Z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14A451484A724BEFA25794CF18667C62_13</vt:lpwstr>
  </property>
</Properties>
</file>