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hint="eastAsia" w:ascii="Times New Roman" w:hAnsi="Times New Roman" w:eastAsia="宋体" w:cs="Times New Roman"/>
          <w:color w:val="auto"/>
        </w:rPr>
      </w:pPr>
      <w:bookmarkStart w:id="0" w:name="_Toc309593186"/>
      <w:bookmarkStart w:id="1" w:name="_Toc309593257"/>
      <w:bookmarkStart w:id="2" w:name="_Toc309805581"/>
      <w:bookmarkStart w:id="3" w:name="_Toc307577976"/>
      <w:r>
        <w:rPr>
          <w:rFonts w:hint="eastAsia" w:ascii="Times New Roman" w:hAnsi="Times New Roman" w:eastAsia="宋体" w:cs="Times New Roman"/>
          <w:color w:val="auto"/>
        </w:rPr>
        <w:drawing>
          <wp:anchor distT="0" distB="0" distL="114300" distR="114300" simplePos="0" relativeHeight="251659264" behindDoc="1" locked="0" layoutInCell="1" allowOverlap="1">
            <wp:simplePos x="0" y="0"/>
            <wp:positionH relativeFrom="column">
              <wp:posOffset>-1776095</wp:posOffset>
            </wp:positionH>
            <wp:positionV relativeFrom="paragraph">
              <wp:posOffset>-904240</wp:posOffset>
            </wp:positionV>
            <wp:extent cx="8467725" cy="254762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8467725" cy="2547620"/>
                    </a:xfrm>
                    <a:prstGeom prst="rect">
                      <a:avLst/>
                    </a:prstGeom>
                    <a:noFill/>
                    <a:ln>
                      <a:noFill/>
                    </a:ln>
                  </pic:spPr>
                </pic:pic>
              </a:graphicData>
            </a:graphic>
          </wp:anchor>
        </w:drawing>
      </w:r>
    </w:p>
    <w:p>
      <w:pPr>
        <w:tabs>
          <w:tab w:val="left" w:pos="0"/>
        </w:tabs>
        <w:ind w:firstLine="480"/>
        <w:jc w:val="center"/>
        <w:rPr>
          <w:rFonts w:hint="eastAsia" w:ascii="Times New Roman" w:hAnsi="Times New Roman" w:eastAsia="宋体" w:cs="Times New Roman"/>
          <w:color w:val="auto"/>
          <w:sz w:val="44"/>
        </w:rPr>
      </w:pPr>
      <w:r>
        <w:rPr>
          <w:rFonts w:hint="eastAsia" w:ascii="Times New Roman" w:hAnsi="Times New Roman" w:eastAsia="宋体" w:cs="Times New Roman"/>
          <w:color w:val="auto"/>
        </w:rPr>
        <w:drawing>
          <wp:anchor distT="0" distB="0" distL="114300" distR="114300" simplePos="0" relativeHeight="251660288" behindDoc="0" locked="0" layoutInCell="1" allowOverlap="1">
            <wp:simplePos x="0" y="0"/>
            <wp:positionH relativeFrom="column">
              <wp:posOffset>-685800</wp:posOffset>
            </wp:positionH>
            <wp:positionV relativeFrom="paragraph">
              <wp:posOffset>0</wp:posOffset>
            </wp:positionV>
            <wp:extent cx="2971800" cy="752475"/>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971800" cy="752475"/>
                    </a:xfrm>
                    <a:prstGeom prst="rect">
                      <a:avLst/>
                    </a:prstGeom>
                    <a:noFill/>
                    <a:ln>
                      <a:noFill/>
                    </a:ln>
                  </pic:spPr>
                </pic:pic>
              </a:graphicData>
            </a:graphic>
          </wp:anchor>
        </w:drawing>
      </w:r>
    </w:p>
    <w:p>
      <w:pPr>
        <w:tabs>
          <w:tab w:val="left" w:pos="0"/>
        </w:tabs>
        <w:ind w:firstLine="964"/>
        <w:jc w:val="center"/>
        <w:rPr>
          <w:rFonts w:hint="eastAsia" w:ascii="Times New Roman" w:hAnsi="Times New Roman" w:eastAsia="宋体" w:cs="Times New Roman"/>
          <w:b/>
          <w:color w:val="auto"/>
          <w:sz w:val="48"/>
          <w:szCs w:val="48"/>
        </w:rPr>
      </w:pPr>
    </w:p>
    <w:p>
      <w:pPr>
        <w:tabs>
          <w:tab w:val="left" w:pos="0"/>
        </w:tabs>
        <w:ind w:firstLine="964"/>
        <w:jc w:val="center"/>
        <w:rPr>
          <w:rFonts w:hint="eastAsia" w:ascii="Times New Roman" w:hAnsi="Times New Roman" w:eastAsia="宋体" w:cs="Times New Roman"/>
          <w:b/>
          <w:color w:val="auto"/>
          <w:sz w:val="48"/>
          <w:szCs w:val="48"/>
        </w:rPr>
      </w:pPr>
    </w:p>
    <w:p>
      <w:pPr>
        <w:tabs>
          <w:tab w:val="left" w:pos="0"/>
        </w:tabs>
        <w:spacing w:line="240" w:lineRule="auto"/>
        <w:ind w:firstLine="964"/>
        <w:jc w:val="center"/>
        <w:rPr>
          <w:rFonts w:hint="eastAsia" w:ascii="Times New Roman" w:hAnsi="Times New Roman" w:eastAsia="宋体" w:cs="Times New Roman"/>
          <w:b/>
          <w:color w:val="auto"/>
          <w:sz w:val="48"/>
          <w:szCs w:val="48"/>
        </w:rPr>
      </w:pPr>
    </w:p>
    <w:p>
      <w:pPr>
        <w:tabs>
          <w:tab w:val="left" w:pos="0"/>
        </w:tabs>
        <w:spacing w:line="720" w:lineRule="auto"/>
        <w:ind w:firstLine="0" w:firstLineChars="0"/>
        <w:jc w:val="center"/>
        <w:rPr>
          <w:rFonts w:hint="eastAsia" w:ascii="Times New Roman" w:hAnsi="Times New Roman" w:eastAsia="宋体" w:cs="Times New Roman"/>
          <w:b/>
          <w:bCs/>
          <w:color w:val="auto"/>
          <w:sz w:val="48"/>
          <w:u w:color="000000"/>
          <w:lang w:val="en-US" w:eastAsia="zh-CN"/>
        </w:rPr>
      </w:pPr>
      <w:r>
        <w:rPr>
          <w:rFonts w:hint="eastAsia" w:ascii="Times New Roman" w:hAnsi="Times New Roman" w:eastAsia="宋体" w:cs="Times New Roman"/>
          <w:b/>
          <w:bCs/>
          <w:color w:val="auto"/>
          <w:sz w:val="48"/>
          <w:u w:color="000000"/>
        </w:rPr>
        <w:t>主动支撑型柔性直流系统集成与工程示范项目：主动支撑型柔性直流系统交直流宽频阻抗量测技术</w:t>
      </w:r>
      <w:r>
        <w:rPr>
          <w:rFonts w:hint="eastAsia" w:ascii="Times New Roman" w:hAnsi="Times New Roman" w:eastAsia="宋体" w:cs="Times New Roman"/>
          <w:b/>
          <w:bCs/>
          <w:color w:val="auto"/>
          <w:sz w:val="48"/>
          <w:u w:color="000000"/>
          <w:lang w:val="en-US" w:eastAsia="zh-CN"/>
        </w:rPr>
        <w:t>研究</w:t>
      </w:r>
    </w:p>
    <w:p>
      <w:pPr>
        <w:tabs>
          <w:tab w:val="left" w:pos="0"/>
        </w:tabs>
        <w:spacing w:line="720" w:lineRule="auto"/>
        <w:ind w:firstLine="0" w:firstLineChars="0"/>
        <w:jc w:val="center"/>
        <w:rPr>
          <w:rFonts w:hint="eastAsia" w:ascii="Times New Roman" w:hAnsi="Times New Roman" w:eastAsia="宋体" w:cs="Times New Roman"/>
          <w:b/>
          <w:color w:val="auto"/>
          <w:sz w:val="48"/>
          <w:szCs w:val="48"/>
        </w:rPr>
      </w:pPr>
      <w:r>
        <w:rPr>
          <w:rFonts w:hint="eastAsia" w:ascii="Times New Roman" w:hAnsi="Times New Roman" w:eastAsia="宋体" w:cs="Times New Roman"/>
          <w:b/>
          <w:bCs/>
          <w:color w:val="auto"/>
          <w:sz w:val="48"/>
          <w:u w:color="000000"/>
        </w:rPr>
        <w:t>技术服务规范书</w:t>
      </w:r>
    </w:p>
    <w:p>
      <w:pPr>
        <w:ind w:firstLine="600"/>
        <w:rPr>
          <w:rFonts w:hint="eastAsia" w:ascii="Times New Roman" w:hAnsi="Times New Roman" w:eastAsia="宋体" w:cs="Times New Roman"/>
          <w:color w:val="auto"/>
          <w:sz w:val="30"/>
          <w:szCs w:val="30"/>
        </w:rPr>
      </w:pPr>
    </w:p>
    <w:p>
      <w:pPr>
        <w:ind w:firstLine="1800" w:firstLineChars="600"/>
        <w:rPr>
          <w:rFonts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批准：</w:t>
      </w:r>
      <w:r>
        <w:rPr>
          <w:rFonts w:ascii="Times New Roman" w:hAnsi="Times New Roman" w:eastAsia="宋体" w:cs="Times New Roman"/>
          <w:color w:val="auto"/>
          <w:sz w:val="30"/>
          <w:szCs w:val="30"/>
        </w:rPr>
        <w:t xml:space="preserve"> </w:t>
      </w:r>
    </w:p>
    <w:p>
      <w:pPr>
        <w:ind w:firstLine="1800" w:firstLineChars="600"/>
        <w:rPr>
          <w:rFonts w:ascii="Times New Roman" w:hAnsi="Times New Roman" w:eastAsia="宋体" w:cs="Times New Roman"/>
          <w:color w:val="auto"/>
          <w:sz w:val="30"/>
          <w:szCs w:val="30"/>
        </w:rPr>
      </w:pPr>
    </w:p>
    <w:p>
      <w:pPr>
        <w:ind w:firstLine="1800" w:firstLineChars="600"/>
        <w:rPr>
          <w:rFonts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审定：</w:t>
      </w:r>
    </w:p>
    <w:p>
      <w:pPr>
        <w:ind w:firstLine="1800" w:firstLineChars="600"/>
        <w:rPr>
          <w:rFonts w:ascii="Times New Roman" w:hAnsi="Times New Roman" w:eastAsia="宋体" w:cs="Times New Roman"/>
          <w:color w:val="auto"/>
          <w:sz w:val="30"/>
          <w:szCs w:val="30"/>
        </w:rPr>
      </w:pPr>
    </w:p>
    <w:p>
      <w:pPr>
        <w:ind w:firstLine="1800" w:firstLineChars="600"/>
        <w:rPr>
          <w:rFonts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审核：</w:t>
      </w:r>
      <w:r>
        <w:rPr>
          <w:rFonts w:ascii="Times New Roman" w:hAnsi="Times New Roman" w:eastAsia="宋体" w:cs="Times New Roman"/>
          <w:color w:val="auto"/>
          <w:sz w:val="30"/>
          <w:szCs w:val="30"/>
        </w:rPr>
        <w:t xml:space="preserve"> </w:t>
      </w:r>
    </w:p>
    <w:p>
      <w:pPr>
        <w:ind w:firstLine="1800" w:firstLineChars="600"/>
        <w:rPr>
          <w:rFonts w:ascii="Times New Roman" w:hAnsi="Times New Roman" w:eastAsia="宋体" w:cs="Times New Roman"/>
          <w:color w:val="auto"/>
          <w:sz w:val="30"/>
          <w:szCs w:val="30"/>
        </w:rPr>
      </w:pPr>
    </w:p>
    <w:p>
      <w:pPr>
        <w:ind w:firstLine="1800" w:firstLineChars="600"/>
        <w:jc w:val="both"/>
        <w:rPr>
          <w:rFonts w:hint="eastAsia" w:ascii="Times New Roman" w:hAnsi="Times New Roman" w:eastAsia="宋体" w:cs="Times New Roman"/>
          <w:b/>
          <w:color w:val="auto"/>
          <w:sz w:val="36"/>
        </w:rPr>
      </w:pPr>
      <w:r>
        <w:rPr>
          <w:rFonts w:hint="eastAsia" w:ascii="Times New Roman" w:hAnsi="Times New Roman" w:eastAsia="宋体" w:cs="Times New Roman"/>
          <w:color w:val="auto"/>
          <w:sz w:val="30"/>
          <w:szCs w:val="30"/>
        </w:rPr>
        <w:t>编写：</w:t>
      </w:r>
    </w:p>
    <w:p>
      <w:pPr>
        <w:ind w:firstLine="723"/>
        <w:jc w:val="center"/>
        <w:rPr>
          <w:rFonts w:hint="eastAsia" w:ascii="Times New Roman" w:hAnsi="Times New Roman" w:eastAsia="宋体" w:cs="Times New Roman"/>
          <w:b/>
          <w:color w:val="auto"/>
          <w:sz w:val="36"/>
        </w:rPr>
      </w:pPr>
    </w:p>
    <w:p>
      <w:pPr>
        <w:ind w:firstLine="723"/>
        <w:jc w:val="center"/>
        <w:rPr>
          <w:rFonts w:hint="eastAsia" w:ascii="Times New Roman" w:hAnsi="Times New Roman" w:eastAsia="宋体" w:cs="Times New Roman"/>
          <w:b/>
          <w:color w:val="auto"/>
          <w:sz w:val="36"/>
        </w:rPr>
      </w:pPr>
      <w:r>
        <w:rPr>
          <w:rFonts w:hint="eastAsia" w:ascii="Times New Roman" w:hAnsi="Times New Roman" w:eastAsia="宋体" w:cs="Times New Roman"/>
          <w:b/>
          <w:color w:val="auto"/>
          <w:sz w:val="36"/>
        </w:rPr>
        <w:t>超高压输电公司电力科研院</w:t>
      </w:r>
    </w:p>
    <w:p>
      <w:pPr>
        <w:ind w:firstLine="723"/>
        <w:jc w:val="center"/>
        <w:rPr>
          <w:rFonts w:hint="eastAsia" w:ascii="Times New Roman" w:hAnsi="Times New Roman" w:eastAsia="宋体" w:cs="Times New Roman"/>
          <w:b/>
          <w:color w:val="auto"/>
          <w:sz w:val="36"/>
        </w:rPr>
      </w:pPr>
      <w:r>
        <w:rPr>
          <w:rFonts w:hint="default" w:ascii="Times New Roman" w:hAnsi="Times New Roman" w:eastAsia="宋体" w:cs="Times New Roman"/>
          <w:b/>
          <w:color w:val="auto"/>
          <w:sz w:val="36"/>
          <w:shd w:val="clear" w:color="auto" w:fill="auto"/>
        </w:rPr>
        <w:t>2025</w:t>
      </w:r>
      <w:r>
        <w:rPr>
          <w:rFonts w:hint="eastAsia" w:ascii="Times New Roman" w:hAnsi="Times New Roman" w:eastAsia="宋体" w:cs="Times New Roman"/>
          <w:b/>
          <w:color w:val="auto"/>
          <w:sz w:val="36"/>
          <w:shd w:val="clear" w:color="auto" w:fill="auto"/>
        </w:rPr>
        <w:t>年</w:t>
      </w:r>
      <w:r>
        <w:rPr>
          <w:rFonts w:hint="default" w:ascii="Times New Roman" w:hAnsi="Times New Roman" w:eastAsia="宋体" w:cs="Times New Roman"/>
          <w:b/>
          <w:color w:val="auto"/>
          <w:sz w:val="36"/>
          <w:shd w:val="clear" w:color="auto" w:fill="auto"/>
          <w:lang w:val="en-US" w:eastAsia="zh-CN"/>
        </w:rPr>
        <w:t>6</w:t>
      </w:r>
      <w:r>
        <w:rPr>
          <w:rFonts w:hint="eastAsia" w:ascii="Times New Roman" w:hAnsi="Times New Roman" w:eastAsia="宋体" w:cs="Times New Roman"/>
          <w:b/>
          <w:color w:val="auto"/>
          <w:sz w:val="36"/>
        </w:rPr>
        <w:t>月</w:t>
      </w:r>
    </w:p>
    <w:p>
      <w:pPr>
        <w:ind w:firstLine="0" w:firstLineChars="0"/>
        <w:jc w:val="center"/>
        <w:rPr>
          <w:rFonts w:hint="eastAsia" w:ascii="Times New Roman" w:hAnsi="Times New Roman" w:eastAsia="宋体" w:cs="Times New Roman"/>
          <w:b/>
          <w:color w:val="auto"/>
          <w:spacing w:val="100"/>
          <w:sz w:val="32"/>
          <w:szCs w:val="30"/>
        </w:rPr>
      </w:pPr>
      <w:r>
        <w:rPr>
          <w:rFonts w:hint="eastAsia" w:ascii="Times New Roman" w:hAnsi="Times New Roman" w:eastAsia="宋体" w:cs="Times New Roman"/>
          <w:color w:val="auto"/>
          <w:sz w:val="48"/>
          <w:u w:color="000000"/>
        </w:rPr>
        <w:br w:type="page"/>
      </w:r>
      <w:r>
        <w:rPr>
          <w:rFonts w:hint="eastAsia" w:ascii="Times New Roman" w:hAnsi="Times New Roman" w:eastAsia="宋体" w:cs="Times New Roman"/>
          <w:b/>
          <w:color w:val="auto"/>
          <w:spacing w:val="100"/>
          <w:sz w:val="32"/>
          <w:szCs w:val="30"/>
        </w:rPr>
        <w:t>目录</w:t>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 w:val="32"/>
          <w:szCs w:val="30"/>
        </w:rPr>
        <w:fldChar w:fldCharType="begin"/>
      </w:r>
      <w:r>
        <w:rPr>
          <w:rFonts w:hint="eastAsia" w:ascii="Times New Roman" w:hAnsi="Times New Roman" w:eastAsia="宋体" w:cs="Times New Roman"/>
          <w:b/>
          <w:bCs/>
          <w:color w:val="auto"/>
          <w:spacing w:val="100"/>
          <w:sz w:val="32"/>
          <w:szCs w:val="30"/>
        </w:rPr>
        <w:instrText xml:space="preserve">TOC \o "1-1" \h \z \u</w:instrText>
      </w:r>
      <w:r>
        <w:rPr>
          <w:rFonts w:hint="eastAsia" w:ascii="Times New Roman" w:hAnsi="Times New Roman" w:eastAsia="宋体" w:cs="Times New Roman"/>
          <w:b/>
          <w:bCs/>
          <w:color w:val="auto"/>
          <w:spacing w:val="100"/>
          <w:sz w:val="32"/>
          <w:szCs w:val="30"/>
        </w:rPr>
        <w:fldChar w:fldCharType="separate"/>
      </w: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_Toc11440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1. 总则</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_Toc11440 \h </w:instrText>
      </w:r>
      <w:r>
        <w:rPr>
          <w:rFonts w:ascii="Times New Roman" w:hAnsi="Times New Roman" w:eastAsia="宋体" w:cs="Times New Roman"/>
          <w:b/>
          <w:bCs/>
        </w:rPr>
        <w:fldChar w:fldCharType="separate"/>
      </w:r>
      <w:r>
        <w:rPr>
          <w:rFonts w:ascii="Times New Roman" w:hAnsi="Times New Roman" w:eastAsia="宋体" w:cs="Times New Roman"/>
          <w:b/>
          <w:bCs/>
        </w:rPr>
        <w:t>1</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_Toc10011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2. 项目有关内容</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_Toc10011 \h </w:instrText>
      </w:r>
      <w:r>
        <w:rPr>
          <w:rFonts w:ascii="Times New Roman" w:hAnsi="Times New Roman" w:eastAsia="宋体" w:cs="Times New Roman"/>
          <w:b/>
          <w:bCs/>
        </w:rPr>
        <w:fldChar w:fldCharType="separate"/>
      </w:r>
      <w:r>
        <w:rPr>
          <w:rFonts w:ascii="Times New Roman" w:hAnsi="Times New Roman" w:eastAsia="宋体" w:cs="Times New Roman"/>
          <w:b/>
          <w:bCs/>
        </w:rPr>
        <w:t>1</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_Toc17576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3. 总体要求</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_Toc17576 \h </w:instrText>
      </w:r>
      <w:r>
        <w:rPr>
          <w:rFonts w:ascii="Times New Roman" w:hAnsi="Times New Roman" w:eastAsia="宋体" w:cs="Times New Roman"/>
          <w:b/>
          <w:bCs/>
        </w:rPr>
        <w:fldChar w:fldCharType="separate"/>
      </w:r>
      <w:r>
        <w:rPr>
          <w:rFonts w:ascii="Times New Roman" w:hAnsi="Times New Roman" w:eastAsia="宋体" w:cs="Times New Roman"/>
          <w:b/>
          <w:bCs/>
        </w:rPr>
        <w:t>3</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_Toc26120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4. 引用标准</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_Toc26120 \h </w:instrText>
      </w:r>
      <w:r>
        <w:rPr>
          <w:rFonts w:ascii="Times New Roman" w:hAnsi="Times New Roman" w:eastAsia="宋体" w:cs="Times New Roman"/>
          <w:b/>
          <w:bCs/>
        </w:rPr>
        <w:fldChar w:fldCharType="separate"/>
      </w:r>
      <w:r>
        <w:rPr>
          <w:rFonts w:ascii="Times New Roman" w:hAnsi="Times New Roman" w:eastAsia="宋体" w:cs="Times New Roman"/>
          <w:b/>
          <w:bCs/>
        </w:rPr>
        <w:t>4</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_Toc29311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5. 技术要求</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_Toc29311 \h </w:instrText>
      </w:r>
      <w:r>
        <w:rPr>
          <w:rFonts w:ascii="Times New Roman" w:hAnsi="Times New Roman" w:eastAsia="宋体" w:cs="Times New Roman"/>
          <w:b/>
          <w:bCs/>
        </w:rPr>
        <w:fldChar w:fldCharType="separate"/>
      </w:r>
      <w:r>
        <w:rPr>
          <w:rFonts w:ascii="Times New Roman" w:hAnsi="Times New Roman" w:eastAsia="宋体" w:cs="Times New Roman"/>
          <w:b/>
          <w:bCs/>
        </w:rPr>
        <w:t>4</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_Toc8002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6. 工期进度要求</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_Toc8002 \h </w:instrText>
      </w:r>
      <w:r>
        <w:rPr>
          <w:rFonts w:ascii="Times New Roman" w:hAnsi="Times New Roman" w:eastAsia="宋体" w:cs="Times New Roman"/>
          <w:b/>
          <w:bCs/>
        </w:rPr>
        <w:fldChar w:fldCharType="separate"/>
      </w:r>
      <w:r>
        <w:rPr>
          <w:rFonts w:ascii="Times New Roman" w:hAnsi="Times New Roman" w:eastAsia="宋体" w:cs="Times New Roman"/>
          <w:b/>
          <w:bCs/>
        </w:rPr>
        <w:t>6</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_Toc30388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 xml:space="preserve">7. </w:t>
      </w:r>
      <w:r>
        <w:rPr>
          <w:rFonts w:hint="eastAsia" w:ascii="Times New Roman" w:hAnsi="Times New Roman" w:eastAsia="宋体" w:cs="Times New Roman"/>
          <w:b/>
          <w:bCs/>
          <w:lang w:val="en-US" w:eastAsia="zh-CN"/>
        </w:rPr>
        <w:t>合同</w:t>
      </w:r>
      <w:r>
        <w:rPr>
          <w:rFonts w:hint="eastAsia" w:ascii="Times New Roman" w:hAnsi="Times New Roman" w:eastAsia="宋体" w:cs="Times New Roman"/>
          <w:b/>
          <w:bCs/>
        </w:rPr>
        <w:t>验收、交付和技术服务</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_Toc30388 \h </w:instrText>
      </w:r>
      <w:r>
        <w:rPr>
          <w:rFonts w:ascii="Times New Roman" w:hAnsi="Times New Roman" w:eastAsia="宋体" w:cs="Times New Roman"/>
          <w:b/>
          <w:bCs/>
        </w:rPr>
        <w:fldChar w:fldCharType="separate"/>
      </w:r>
      <w:r>
        <w:rPr>
          <w:rFonts w:ascii="Times New Roman" w:hAnsi="Times New Roman" w:eastAsia="宋体" w:cs="Times New Roman"/>
          <w:b/>
          <w:bCs/>
        </w:rPr>
        <w:t>7</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Times New Roman" w:hAnsi="Times New Roman" w:eastAsia="宋体" w:cs="Times New Roman"/>
          <w:b/>
          <w:bCs/>
        </w:rPr>
      </w:pPr>
      <w:r>
        <w:rPr>
          <w:rFonts w:hint="eastAsia" w:ascii="Times New Roman" w:hAnsi="Times New Roman" w:eastAsia="宋体" w:cs="Times New Roman"/>
          <w:b/>
          <w:bCs/>
          <w:color w:val="auto"/>
          <w:spacing w:val="100"/>
          <w:szCs w:val="30"/>
        </w:rPr>
        <w:fldChar w:fldCharType="begin"/>
      </w:r>
      <w:r>
        <w:rPr>
          <w:rFonts w:hint="eastAsia" w:ascii="Times New Roman" w:hAnsi="Times New Roman" w:eastAsia="宋体" w:cs="Times New Roman"/>
          <w:b/>
          <w:bCs/>
          <w:spacing w:val="100"/>
          <w:szCs w:val="30"/>
        </w:rPr>
        <w:instrText xml:space="preserve"> HYPERLINK \l _Toc6815 </w:instrText>
      </w:r>
      <w:r>
        <w:rPr>
          <w:rFonts w:hint="eastAsia" w:ascii="Times New Roman" w:hAnsi="Times New Roman" w:eastAsia="宋体" w:cs="Times New Roman"/>
          <w:b/>
          <w:bCs/>
          <w:spacing w:val="100"/>
          <w:szCs w:val="30"/>
        </w:rPr>
        <w:fldChar w:fldCharType="separate"/>
      </w:r>
      <w:r>
        <w:rPr>
          <w:rFonts w:hint="eastAsia" w:ascii="Times New Roman" w:hAnsi="Times New Roman" w:eastAsia="宋体" w:cs="Times New Roman"/>
          <w:b/>
          <w:bCs/>
        </w:rPr>
        <w:t>8. 其他</w:t>
      </w:r>
      <w:r>
        <w:rPr>
          <w:rFonts w:ascii="Times New Roman" w:hAnsi="Times New Roman" w:eastAsia="宋体" w:cs="Times New Roman"/>
          <w:b/>
          <w:bCs/>
        </w:rPr>
        <w:tab/>
      </w:r>
      <w:r>
        <w:rPr>
          <w:rFonts w:ascii="Times New Roman" w:hAnsi="Times New Roman" w:eastAsia="宋体" w:cs="Times New Roman"/>
          <w:b/>
          <w:bCs/>
        </w:rPr>
        <w:fldChar w:fldCharType="begin"/>
      </w:r>
      <w:r>
        <w:rPr>
          <w:rFonts w:ascii="Times New Roman" w:hAnsi="Times New Roman" w:eastAsia="宋体" w:cs="Times New Roman"/>
          <w:b/>
          <w:bCs/>
        </w:rPr>
        <w:instrText xml:space="preserve"> PAGEREF _Toc6815 \h </w:instrText>
      </w:r>
      <w:r>
        <w:rPr>
          <w:rFonts w:ascii="Times New Roman" w:hAnsi="Times New Roman" w:eastAsia="宋体" w:cs="Times New Roman"/>
          <w:b/>
          <w:bCs/>
        </w:rPr>
        <w:fldChar w:fldCharType="separate"/>
      </w:r>
      <w:r>
        <w:rPr>
          <w:rFonts w:ascii="Times New Roman" w:hAnsi="Times New Roman" w:eastAsia="宋体" w:cs="Times New Roman"/>
          <w:b/>
          <w:bCs/>
        </w:rPr>
        <w:t>8</w:t>
      </w:r>
      <w:r>
        <w:rPr>
          <w:rFonts w:ascii="Times New Roman" w:hAnsi="Times New Roman" w:eastAsia="宋体" w:cs="Times New Roman"/>
          <w:b/>
          <w:bCs/>
        </w:rPr>
        <w:fldChar w:fldCharType="end"/>
      </w:r>
      <w:r>
        <w:rPr>
          <w:rFonts w:hint="eastAsia" w:ascii="Times New Roman" w:hAnsi="Times New Roman" w:eastAsia="宋体" w:cs="Times New Roman"/>
          <w:b/>
          <w:bCs/>
          <w:color w:val="auto"/>
          <w:spacing w:val="100"/>
          <w:szCs w:val="30"/>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宋体" w:cs="Times New Roman"/>
          <w:b/>
          <w:color w:val="auto"/>
          <w:spacing w:val="100"/>
          <w:sz w:val="32"/>
          <w:szCs w:val="30"/>
        </w:rPr>
      </w:pPr>
      <w:r>
        <w:rPr>
          <w:rFonts w:hint="eastAsia" w:ascii="Times New Roman" w:hAnsi="Times New Roman" w:eastAsia="宋体" w:cs="Times New Roman"/>
          <w:b/>
          <w:bCs/>
          <w:color w:val="auto"/>
          <w:spacing w:val="100"/>
          <w:szCs w:val="30"/>
        </w:rPr>
        <w:fldChar w:fldCharType="end"/>
      </w:r>
    </w:p>
    <w:p>
      <w:pPr>
        <w:ind w:firstLine="600"/>
        <w:jc w:val="center"/>
        <w:rPr>
          <w:rFonts w:hint="eastAsia" w:ascii="Times New Roman" w:hAnsi="Times New Roman" w:eastAsia="宋体" w:cs="Times New Roman"/>
          <w:color w:val="auto"/>
          <w:sz w:val="30"/>
          <w:u w:color="00000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hint="eastAsia" w:ascii="Times New Roman" w:hAnsi="Times New Roman" w:eastAsia="宋体" w:cs="Times New Roman"/>
          <w:color w:val="auto"/>
          <w:sz w:val="30"/>
          <w:u w:color="000000"/>
        </w:rPr>
        <w:br w:type="page"/>
      </w:r>
    </w:p>
    <w:p>
      <w:pPr>
        <w:pStyle w:val="2"/>
        <w:spacing w:before="312" w:after="156"/>
        <w:rPr>
          <w:rFonts w:hint="eastAsia" w:ascii="Times New Roman" w:hAnsi="Times New Roman" w:eastAsia="宋体" w:cs="Times New Roman"/>
          <w:color w:val="auto"/>
        </w:rPr>
      </w:pPr>
      <w:bookmarkStart w:id="4" w:name="_Toc531004209"/>
      <w:bookmarkStart w:id="5" w:name="_Toc441483963"/>
      <w:bookmarkStart w:id="6" w:name="_Toc11440"/>
      <w:bookmarkStart w:id="7" w:name="_Toc312827017"/>
      <w:r>
        <w:rPr>
          <w:rFonts w:hint="eastAsia" w:ascii="Times New Roman" w:hAnsi="Times New Roman" w:eastAsia="宋体" w:cs="Times New Roman"/>
          <w:color w:val="auto"/>
        </w:rPr>
        <w:t>总则</w:t>
      </w:r>
      <w:bookmarkEnd w:id="0"/>
      <w:bookmarkEnd w:id="1"/>
      <w:bookmarkEnd w:id="2"/>
      <w:bookmarkEnd w:id="3"/>
      <w:bookmarkEnd w:id="4"/>
      <w:bookmarkEnd w:id="5"/>
      <w:bookmarkEnd w:id="6"/>
      <w:bookmarkEnd w:id="7"/>
    </w:p>
    <w:p>
      <w:pPr>
        <w:numPr>
          <w:ilvl w:val="0"/>
          <w:numId w:val="0"/>
        </w:numPr>
        <w:ind w:leftChars="0"/>
        <w:rPr>
          <w:rFonts w:hint="eastAsia" w:ascii="Times New Roman" w:hAnsi="Times New Roman" w:eastAsia="宋体" w:cs="Times New Roman"/>
          <w:color w:val="auto"/>
        </w:rPr>
      </w:pPr>
      <w:bookmarkStart w:id="8" w:name="_Toc307577979"/>
      <w:bookmarkStart w:id="9" w:name="_Toc309805582"/>
      <w:bookmarkStart w:id="10" w:name="_Toc312827018"/>
      <w:bookmarkStart w:id="11" w:name="_Toc309593187"/>
      <w:bookmarkStart w:id="12" w:name="_Toc309593258"/>
      <w:r>
        <w:rPr>
          <w:rFonts w:hint="eastAsia" w:ascii="Times New Roman" w:hAnsi="Times New Roman" w:eastAsia="宋体" w:cs="Times New Roman"/>
          <w:color w:val="auto"/>
          <w:highlight w:val="none"/>
          <w:lang w:val="en-US" w:eastAsia="zh-CN"/>
        </w:rPr>
        <w:t>1.1</w:t>
      </w:r>
      <w:r>
        <w:rPr>
          <w:rFonts w:hint="eastAsia" w:ascii="Times New Roman" w:hAnsi="Times New Roman" w:eastAsia="宋体" w:cs="Times New Roman"/>
          <w:color w:val="auto"/>
        </w:rPr>
        <w:t>本技术规范书适用于中国南方电网超高压公司电力科研院</w:t>
      </w:r>
      <w:r>
        <w:rPr>
          <w:rFonts w:hint="eastAsia" w:ascii="Times New Roman" w:hAnsi="Times New Roman" w:eastAsia="宋体" w:cs="Times New Roman"/>
          <w:b/>
          <w:bCs/>
          <w:color w:val="auto"/>
          <w:u w:color="000000"/>
        </w:rPr>
        <w:t>“</w:t>
      </w:r>
      <w:r>
        <w:rPr>
          <w:rFonts w:hint="eastAsia" w:ascii="Times New Roman" w:hAnsi="Times New Roman" w:eastAsia="宋体" w:cs="Times New Roman"/>
          <w:b/>
          <w:bCs/>
          <w:color w:val="auto"/>
          <w:highlight w:val="none"/>
        </w:rPr>
        <w:t>主动支撑型柔性直流系统集成与工程示范</w:t>
      </w:r>
      <w:r>
        <w:rPr>
          <w:rFonts w:hint="eastAsia" w:ascii="Times New Roman" w:hAnsi="Times New Roman" w:eastAsia="宋体" w:cs="Times New Roman"/>
          <w:b/>
          <w:bCs/>
          <w:color w:val="auto"/>
          <w:highlight w:val="none"/>
          <w:lang w:val="en-US" w:eastAsia="zh-CN"/>
        </w:rPr>
        <w:t>项目：</w:t>
      </w:r>
      <w:r>
        <w:rPr>
          <w:rFonts w:hint="eastAsia" w:ascii="Times New Roman" w:hAnsi="Times New Roman" w:eastAsia="宋体" w:cs="Times New Roman"/>
          <w:b/>
          <w:bCs/>
          <w:color w:val="auto"/>
          <w:u w:color="000000"/>
        </w:rPr>
        <w:t>主动支撑型柔性直流系统交直流宽频阻抗量测技术</w:t>
      </w:r>
      <w:r>
        <w:rPr>
          <w:rFonts w:hint="eastAsia" w:ascii="Times New Roman" w:hAnsi="Times New Roman" w:eastAsia="宋体" w:cs="Times New Roman"/>
          <w:b/>
          <w:bCs/>
          <w:color w:val="auto"/>
          <w:u w:color="000000"/>
          <w:lang w:val="en-US" w:eastAsia="zh-CN"/>
        </w:rPr>
        <w:t>研究</w:t>
      </w:r>
      <w:r>
        <w:rPr>
          <w:rFonts w:hint="eastAsia" w:ascii="Times New Roman" w:hAnsi="Times New Roman" w:eastAsia="宋体" w:cs="Times New Roman"/>
          <w:b/>
          <w:bCs/>
          <w:color w:val="auto"/>
          <w:u w:color="000000"/>
        </w:rPr>
        <w:t>技术服务采购”</w:t>
      </w:r>
      <w:r>
        <w:rPr>
          <w:rFonts w:hint="eastAsia" w:ascii="Times New Roman" w:hAnsi="Times New Roman" w:eastAsia="宋体" w:cs="Times New Roman"/>
          <w:color w:val="auto"/>
        </w:rPr>
        <w:t>项目</w:t>
      </w:r>
      <w:r>
        <w:rPr>
          <w:rFonts w:hint="eastAsia" w:ascii="Times New Roman" w:hAnsi="Times New Roman" w:eastAsia="宋体" w:cs="Times New Roman"/>
          <w:color w:val="auto"/>
          <w:highlight w:val="none"/>
          <w:lang w:val="en-US" w:eastAsia="zh-CN"/>
        </w:rPr>
        <w:t>(以下简称“项目”)</w:t>
      </w:r>
      <w:r>
        <w:rPr>
          <w:rFonts w:hint="eastAsia" w:ascii="Times New Roman" w:hAnsi="Times New Roman" w:eastAsia="宋体" w:cs="Times New Roman"/>
          <w:color w:val="auto"/>
        </w:rPr>
        <w:t>。</w:t>
      </w:r>
    </w:p>
    <w:p>
      <w:pPr>
        <w:numPr>
          <w:ilvl w:val="0"/>
          <w:numId w:val="0"/>
        </w:numPr>
        <w:ind w:leftChars="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1.2</w:t>
      </w:r>
      <w:r>
        <w:rPr>
          <w:rFonts w:hint="eastAsia" w:ascii="Times New Roman" w:hAnsi="Times New Roman" w:eastAsia="宋体" w:cs="Times New Roman"/>
          <w:color w:val="auto"/>
          <w:highlight w:val="none"/>
        </w:rPr>
        <w:t>本技术规范书提出了项目的技术内容、工期进度等要求，规范书的所有解释权归中国南方电网超高压输电公司</w:t>
      </w:r>
      <w:r>
        <w:rPr>
          <w:rFonts w:hint="eastAsia" w:ascii="Times New Roman" w:hAnsi="Times New Roman" w:eastAsia="宋体" w:cs="Times New Roman"/>
          <w:color w:val="auto"/>
          <w:highlight w:val="none"/>
          <w:lang w:val="en-US" w:eastAsia="zh-CN"/>
        </w:rPr>
        <w:t>电力科研院</w:t>
      </w:r>
      <w:r>
        <w:rPr>
          <w:rFonts w:hint="eastAsia" w:ascii="Times New Roman" w:hAnsi="Times New Roman" w:eastAsia="宋体" w:cs="Times New Roman"/>
          <w:color w:val="auto"/>
          <w:highlight w:val="none"/>
        </w:rPr>
        <w:t>所有。</w:t>
      </w:r>
    </w:p>
    <w:p>
      <w:pPr>
        <w:ind w:firstLine="0" w:firstLineChars="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w:t>
      </w: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rPr>
        <w:t xml:space="preserve"> 本技术规范书提出的是最低限度的技术要求，并未对一切技术细节做出规定，投标方应提供符合本规范书的项目成果。</w:t>
      </w:r>
    </w:p>
    <w:p>
      <w:pPr>
        <w:ind w:firstLine="0" w:firstLineChars="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w:t>
      </w:r>
      <w:r>
        <w:rPr>
          <w:rFonts w:hint="eastAsia" w:ascii="Times New Roman" w:hAnsi="Times New Roman" w:eastAsia="宋体" w:cs="Times New Roman"/>
          <w:color w:val="auto"/>
          <w:highlight w:val="none"/>
          <w:lang w:val="en-US" w:eastAsia="zh-CN"/>
        </w:rPr>
        <w:t>4</w:t>
      </w:r>
      <w:r>
        <w:rPr>
          <w:rFonts w:hint="eastAsia" w:ascii="Times New Roman" w:hAnsi="Times New Roman" w:eastAsia="宋体" w:cs="Times New Roman"/>
          <w:color w:val="auto"/>
          <w:highlight w:val="none"/>
        </w:rPr>
        <w:t xml:space="preserve">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ind w:firstLine="0" w:firstLineChars="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w:t>
      </w: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rPr>
        <w:t xml:space="preserve"> 在根据本技术规范书签订协议之后，招标方有权提出因标准或规程规范发生变化而产生的一些补充，具体项目由招、投标双方共同商定。</w:t>
      </w:r>
    </w:p>
    <w:p>
      <w:pPr>
        <w:ind w:firstLine="0" w:firstLineChars="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w:t>
      </w:r>
      <w:r>
        <w:rPr>
          <w:rFonts w:hint="eastAsia" w:ascii="Times New Roman" w:hAnsi="Times New Roman" w:eastAsia="宋体" w:cs="Times New Roman"/>
          <w:color w:val="auto"/>
          <w:highlight w:val="none"/>
          <w:lang w:val="en-US" w:eastAsia="zh-CN"/>
        </w:rPr>
        <w:t>6</w:t>
      </w:r>
      <w:r>
        <w:rPr>
          <w:rFonts w:hint="eastAsia" w:ascii="Times New Roman" w:hAnsi="Times New Roman" w:eastAsia="宋体" w:cs="Times New Roman"/>
          <w:color w:val="auto"/>
          <w:highlight w:val="none"/>
        </w:rPr>
        <w:t xml:space="preserve"> 本技术规范书所使用的标准如遇与投标方所执行的标准发生矛盾时，按较高标准执行，本技术规范书未全部引用应用标准，凡是本技术规范书牵涉的各项内容均按最新标准实施。</w:t>
      </w:r>
    </w:p>
    <w:p>
      <w:pPr>
        <w:ind w:firstLine="0" w:firstLineChars="0"/>
        <w:rPr>
          <w:rFonts w:hint="eastAsia" w:ascii="Times New Roman" w:hAnsi="Times New Roman" w:eastAsia="宋体" w:cs="Times New Roman"/>
          <w:color w:val="auto"/>
        </w:rPr>
      </w:pPr>
      <w:r>
        <w:rPr>
          <w:rFonts w:hint="eastAsia" w:ascii="Times New Roman" w:hAnsi="Times New Roman" w:eastAsia="宋体" w:cs="Times New Roman"/>
          <w:color w:val="auto"/>
          <w:highlight w:val="none"/>
        </w:rPr>
        <w:t>1.</w:t>
      </w:r>
      <w:r>
        <w:rPr>
          <w:rFonts w:hint="eastAsia" w:ascii="Times New Roman" w:hAnsi="Times New Roman" w:eastAsia="宋体" w:cs="Times New Roman"/>
          <w:color w:val="auto"/>
          <w:highlight w:val="none"/>
          <w:lang w:val="en-US" w:eastAsia="zh-CN"/>
        </w:rPr>
        <w:t>7</w:t>
      </w:r>
      <w:r>
        <w:rPr>
          <w:rFonts w:hint="eastAsia" w:ascii="Times New Roman" w:hAnsi="Times New Roman" w:eastAsia="宋体" w:cs="Times New Roman"/>
          <w:color w:val="auto"/>
          <w:highlight w:val="none"/>
        </w:rPr>
        <w:t>本技术规范书经招、投标双方确认后作为签订合同的技术附件，与合同正文具有同等法律效力。同时，技术规范书未尽事宜，由招、投标双方协商确定</w:t>
      </w:r>
      <w:r>
        <w:rPr>
          <w:rFonts w:hint="eastAsia" w:ascii="Times New Roman" w:hAnsi="Times New Roman" w:eastAsia="宋体" w:cs="Times New Roman"/>
          <w:color w:val="auto"/>
        </w:rPr>
        <w:t>。</w:t>
      </w:r>
    </w:p>
    <w:p>
      <w:pPr>
        <w:pStyle w:val="2"/>
        <w:spacing w:before="312" w:after="156"/>
        <w:rPr>
          <w:rFonts w:hint="eastAsia" w:ascii="Times New Roman" w:hAnsi="Times New Roman" w:eastAsia="宋体" w:cs="Times New Roman"/>
          <w:color w:val="auto"/>
        </w:rPr>
      </w:pPr>
      <w:bookmarkStart w:id="13" w:name="_Toc441483964"/>
      <w:bookmarkStart w:id="14" w:name="_Toc10011"/>
      <w:bookmarkStart w:id="15" w:name="_Toc531004210"/>
      <w:r>
        <w:rPr>
          <w:rFonts w:hint="eastAsia" w:ascii="Times New Roman" w:hAnsi="Times New Roman" w:eastAsia="宋体" w:cs="Times New Roman"/>
          <w:color w:val="auto"/>
        </w:rPr>
        <w:t>项目</w:t>
      </w:r>
      <w:bookmarkEnd w:id="8"/>
      <w:r>
        <w:rPr>
          <w:rFonts w:hint="eastAsia" w:ascii="Times New Roman" w:hAnsi="Times New Roman" w:eastAsia="宋体" w:cs="Times New Roman"/>
          <w:color w:val="auto"/>
        </w:rPr>
        <w:t>有关内容</w:t>
      </w:r>
      <w:bookmarkEnd w:id="9"/>
      <w:bookmarkEnd w:id="10"/>
      <w:bookmarkEnd w:id="11"/>
      <w:bookmarkEnd w:id="12"/>
      <w:bookmarkEnd w:id="13"/>
      <w:bookmarkEnd w:id="14"/>
      <w:bookmarkEnd w:id="15"/>
    </w:p>
    <w:p>
      <w:pPr>
        <w:tabs>
          <w:tab w:val="left" w:pos="851"/>
        </w:tabs>
        <w:ind w:firstLine="0" w:firstLineChars="0"/>
        <w:rPr>
          <w:rFonts w:hint="eastAsia" w:ascii="Times New Roman" w:hAnsi="Times New Roman" w:eastAsia="宋体" w:cs="Times New Roman"/>
          <w:color w:val="auto"/>
        </w:rPr>
      </w:pPr>
      <w:bookmarkStart w:id="16" w:name="_Toc309593268"/>
      <w:bookmarkStart w:id="17" w:name="_Toc309805592"/>
      <w:bookmarkStart w:id="18" w:name="_Toc312827028"/>
      <w:bookmarkStart w:id="19" w:name="_Toc296355589"/>
      <w:bookmarkStart w:id="20" w:name="_Toc309593197"/>
      <w:r>
        <w:rPr>
          <w:rFonts w:hint="eastAsia" w:ascii="Times New Roman" w:hAnsi="Times New Roman" w:eastAsia="宋体" w:cs="Times New Roman"/>
          <w:color w:val="auto"/>
        </w:rPr>
        <w:t xml:space="preserve">2.1 </w:t>
      </w:r>
      <w:r>
        <w:rPr>
          <w:rFonts w:hint="eastAsia" w:ascii="Times New Roman" w:hAnsi="Times New Roman" w:eastAsia="宋体" w:cs="Times New Roman"/>
          <w:b/>
          <w:color w:val="auto"/>
        </w:rPr>
        <w:t>项目名称</w:t>
      </w:r>
      <w:r>
        <w:rPr>
          <w:rFonts w:hint="eastAsia" w:ascii="Times New Roman" w:hAnsi="Times New Roman" w:eastAsia="宋体" w:cs="Times New Roman"/>
          <w:color w:val="auto"/>
        </w:rPr>
        <w:t>：</w:t>
      </w:r>
      <w:r>
        <w:rPr>
          <w:rFonts w:hint="eastAsia" w:ascii="Times New Roman" w:hAnsi="Times New Roman" w:eastAsia="宋体" w:cs="Times New Roman"/>
          <w:b/>
          <w:bCs/>
          <w:color w:val="auto"/>
          <w:highlight w:val="none"/>
        </w:rPr>
        <w:t>主动支撑型柔性直流系统集成与工程示范</w:t>
      </w:r>
      <w:r>
        <w:rPr>
          <w:rFonts w:hint="eastAsia" w:ascii="Times New Roman" w:hAnsi="Times New Roman" w:eastAsia="宋体" w:cs="Times New Roman"/>
          <w:b/>
          <w:bCs/>
          <w:color w:val="auto"/>
          <w:highlight w:val="none"/>
          <w:lang w:val="en-US" w:eastAsia="zh-CN"/>
        </w:rPr>
        <w:t>项目：</w:t>
      </w:r>
      <w:r>
        <w:rPr>
          <w:rFonts w:hint="eastAsia" w:ascii="Times New Roman" w:hAnsi="Times New Roman" w:eastAsia="宋体" w:cs="Times New Roman"/>
          <w:b/>
          <w:bCs/>
          <w:color w:val="auto"/>
        </w:rPr>
        <w:t>主动支撑型柔性直流系统交直流宽频阻抗量测技术</w:t>
      </w:r>
      <w:r>
        <w:rPr>
          <w:rFonts w:hint="eastAsia" w:ascii="Times New Roman" w:hAnsi="Times New Roman" w:eastAsia="宋体" w:cs="Times New Roman"/>
          <w:b/>
          <w:bCs/>
          <w:color w:val="auto"/>
          <w:lang w:val="en-US" w:eastAsia="zh-CN"/>
        </w:rPr>
        <w:t>研究技术服务</w:t>
      </w:r>
    </w:p>
    <w:p>
      <w:pPr>
        <w:tabs>
          <w:tab w:val="left" w:pos="851"/>
        </w:tabs>
        <w:ind w:firstLine="0" w:firstLineChars="0"/>
        <w:rPr>
          <w:rFonts w:hint="eastAsia" w:ascii="Times New Roman" w:hAnsi="Times New Roman" w:eastAsia="宋体" w:cs="Times New Roman"/>
          <w:b/>
          <w:bCs/>
          <w:color w:val="auto"/>
        </w:rPr>
      </w:pPr>
      <w:r>
        <w:rPr>
          <w:rFonts w:hint="eastAsia" w:ascii="Times New Roman" w:hAnsi="Times New Roman" w:eastAsia="宋体" w:cs="Times New Roman"/>
          <w:color w:val="auto"/>
        </w:rPr>
        <w:t>2.2</w:t>
      </w:r>
      <w:r>
        <w:rPr>
          <w:rFonts w:hint="eastAsia" w:ascii="Times New Roman" w:hAnsi="Times New Roman" w:eastAsia="宋体" w:cs="Times New Roman"/>
          <w:b/>
          <w:bCs/>
          <w:color w:val="auto"/>
        </w:rPr>
        <w:t>项目背景</w:t>
      </w:r>
    </w:p>
    <w:p>
      <w:pPr>
        <w:ind w:firstLine="480" w:firstLineChars="200"/>
        <w:jc w:val="both"/>
        <w:rPr>
          <w:rFonts w:hint="eastAsia" w:ascii="Times New Roman" w:hAnsi="Times New Roman" w:eastAsia="宋体" w:cs="Times New Roman"/>
          <w:color w:val="auto"/>
        </w:rPr>
      </w:pPr>
      <w:r>
        <w:rPr>
          <w:rFonts w:hint="eastAsia" w:ascii="Times New Roman" w:hAnsi="Times New Roman" w:eastAsia="宋体" w:cs="Times New Roman"/>
          <w:color w:val="auto"/>
        </w:rPr>
        <w:t>目前电力电子设备阻抗测量现有方法较为成熟，其采用时域仿真、硬件在环、35kV等级现场测试等可得到准确的结果。其中，现场测试具有精度高、工程指导性强的特点，但成本高。阻抗测量中具体的扰动(激励)方式包括：在现场附加一次设备扰动源直接对电网阻抗进行测量；控制系统扰动信号注入法，通过分析响应情况，间接评估电网阻抗；数模驱动法，电压电流参数数据集与电网阻抗模型结合，实现阻抗辨识。其中，附加一次设备扰动装置的测量准确度最高，但高电压等级下实施难度大；非介入式测量的数模驱动法稳定性强，但准确度受数据集与模型精度影响。控制系统扰动注入法成本低且测量准确度较高，不足是可能影响电能质量。</w:t>
      </w:r>
    </w:p>
    <w:p>
      <w:pPr>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柔性直流具有控制速度快、运行方式灵活、供电可靠性高等优势，是大规模新能源集中送出、异步电网互联、弱电网以及孤岛供电等的重要载体。对于主动支撑型柔性直流系统，由于功率等级高，缺乏500kV等级扰动源，现场阻抗测量存在一定技术难度，需从扰动注入方法上进行突破。有待通过探究扰动信号注入方式、谐波扰动信号选取方法、提升数据采集系统量测精度等方面的研究，实现多工况、场景下柔性直流系统交直流宽频阻抗精确量测，为电网振荡风险分析提供数据基础</w:t>
      </w:r>
      <w:r>
        <w:rPr>
          <w:rFonts w:ascii="Times New Roman" w:hAnsi="Times New Roman" w:eastAsia="宋体" w:cs="Times New Roman"/>
          <w:color w:val="auto"/>
        </w:rPr>
        <w:t>。</w:t>
      </w:r>
    </w:p>
    <w:p>
      <w:pPr>
        <w:tabs>
          <w:tab w:val="left" w:pos="851"/>
        </w:tabs>
        <w:ind w:firstLine="0" w:firstLineChars="0"/>
        <w:rPr>
          <w:rFonts w:hint="eastAsia" w:ascii="Times New Roman" w:hAnsi="Times New Roman" w:eastAsia="宋体" w:cs="Times New Roman"/>
          <w:color w:val="auto"/>
        </w:rPr>
      </w:pPr>
      <w:r>
        <w:rPr>
          <w:rFonts w:hint="eastAsia" w:ascii="Times New Roman" w:hAnsi="Times New Roman" w:eastAsia="宋体" w:cs="Times New Roman"/>
          <w:color w:val="auto"/>
        </w:rPr>
        <w:t>2.3</w:t>
      </w:r>
      <w:r>
        <w:rPr>
          <w:rFonts w:hint="eastAsia" w:ascii="Times New Roman" w:hAnsi="Times New Roman" w:eastAsia="宋体" w:cs="Times New Roman"/>
          <w:b/>
          <w:color w:val="auto"/>
        </w:rPr>
        <w:t>项目内容</w:t>
      </w:r>
    </w:p>
    <w:p>
      <w:pPr>
        <w:tabs>
          <w:tab w:val="left" w:pos="851"/>
        </w:tabs>
        <w:ind w:firstLine="480"/>
        <w:rPr>
          <w:rFonts w:hint="eastAsia" w:ascii="Times New Roman" w:hAnsi="Times New Roman" w:eastAsia="宋体" w:cs="Times New Roman"/>
          <w:bCs/>
          <w:color w:val="auto"/>
        </w:rPr>
      </w:pPr>
      <w:r>
        <w:rPr>
          <w:rFonts w:hint="eastAsia" w:ascii="Times New Roman" w:hAnsi="Times New Roman" w:eastAsia="宋体" w:cs="Times New Roman"/>
          <w:bCs/>
          <w:color w:val="auto"/>
        </w:rPr>
        <w:t>本项目拟开展</w:t>
      </w:r>
      <w:r>
        <w:rPr>
          <w:rFonts w:hint="eastAsia" w:ascii="Times New Roman" w:hAnsi="Times New Roman" w:eastAsia="宋体" w:cs="Times New Roman"/>
          <w:bCs w:val="0"/>
          <w:color w:val="auto"/>
        </w:rPr>
        <w:t>主动支撑型柔性直流系统交直流宽频阻抗量测技术</w:t>
      </w:r>
      <w:r>
        <w:rPr>
          <w:rFonts w:hint="eastAsia" w:ascii="Times New Roman" w:hAnsi="Times New Roman" w:eastAsia="宋体" w:cs="Times New Roman"/>
          <w:bCs/>
          <w:color w:val="auto"/>
        </w:rPr>
        <w:t>研究，明确柔性直流扰动注入及信号选择方式，提出适用于多工况及不同测量频率步长的柔性直流宽频阻抗量测方法。具体内容包括：</w:t>
      </w:r>
    </w:p>
    <w:p>
      <w:pPr>
        <w:tabs>
          <w:tab w:val="left" w:pos="851"/>
        </w:tabs>
        <w:ind w:firstLine="480"/>
        <w:rPr>
          <w:rFonts w:hint="eastAsia" w:ascii="Times New Roman" w:hAnsi="Times New Roman" w:eastAsia="宋体" w:cs="Times New Roman"/>
          <w:bCs/>
          <w:color w:val="auto"/>
          <w:lang w:eastAsia="zh-CN"/>
        </w:rPr>
      </w:pPr>
      <w:r>
        <w:rPr>
          <w:rFonts w:hint="eastAsia" w:ascii="Times New Roman" w:hAnsi="Times New Roman" w:eastAsia="宋体" w:cs="Times New Roman"/>
          <w:bCs/>
          <w:color w:val="auto"/>
          <w:lang w:eastAsia="zh-CN"/>
        </w:rPr>
        <w:t>1)研究宽频扰动信号注入方法；</w:t>
      </w:r>
    </w:p>
    <w:p>
      <w:pPr>
        <w:tabs>
          <w:tab w:val="left" w:pos="851"/>
        </w:tabs>
        <w:ind w:firstLine="480"/>
        <w:rPr>
          <w:rFonts w:hint="eastAsia" w:ascii="Times New Roman" w:hAnsi="Times New Roman" w:eastAsia="宋体" w:cs="Times New Roman"/>
          <w:bCs/>
          <w:color w:val="auto"/>
          <w:lang w:eastAsia="zh-CN"/>
        </w:rPr>
      </w:pPr>
      <w:r>
        <w:rPr>
          <w:rFonts w:hint="eastAsia" w:ascii="Times New Roman" w:hAnsi="Times New Roman" w:eastAsia="宋体" w:cs="Times New Roman"/>
          <w:bCs/>
          <w:color w:val="auto"/>
          <w:lang w:eastAsia="zh-CN"/>
        </w:rPr>
        <w:t>2)分析不同扰动信号下柔性直流换流器阻抗的可观测性；</w:t>
      </w:r>
    </w:p>
    <w:p>
      <w:pPr>
        <w:tabs>
          <w:tab w:val="left" w:pos="851"/>
        </w:tabs>
        <w:ind w:firstLine="480"/>
        <w:rPr>
          <w:rFonts w:hint="eastAsia" w:ascii="Times New Roman" w:hAnsi="Times New Roman" w:eastAsia="宋体" w:cs="Times New Roman"/>
          <w:bCs/>
          <w:color w:val="auto"/>
          <w:lang w:eastAsia="zh-CN"/>
        </w:rPr>
      </w:pPr>
      <w:r>
        <w:rPr>
          <w:rFonts w:hint="eastAsia" w:ascii="Times New Roman" w:hAnsi="Times New Roman" w:eastAsia="宋体" w:cs="Times New Roman"/>
          <w:bCs/>
          <w:color w:val="auto"/>
          <w:lang w:eastAsia="zh-CN"/>
        </w:rPr>
        <w:t>3)分析测量误差、噪声对测量结果的影响；</w:t>
      </w:r>
    </w:p>
    <w:p>
      <w:pPr>
        <w:tabs>
          <w:tab w:val="left" w:pos="851"/>
        </w:tabs>
        <w:ind w:firstLine="480"/>
        <w:rPr>
          <w:rFonts w:hint="eastAsia" w:ascii="Times New Roman" w:hAnsi="Times New Roman" w:eastAsia="宋体" w:cs="Times New Roman"/>
          <w:bCs/>
          <w:color w:val="auto"/>
          <w:lang w:eastAsia="zh-CN"/>
        </w:rPr>
      </w:pPr>
      <w:r>
        <w:rPr>
          <w:rFonts w:hint="eastAsia" w:ascii="Times New Roman" w:hAnsi="Times New Roman" w:eastAsia="宋体" w:cs="Times New Roman"/>
          <w:bCs/>
          <w:color w:val="auto"/>
          <w:lang w:eastAsia="zh-CN"/>
        </w:rPr>
        <w:t>4)提出谐波信号提取与宽频阻抗计算方法；</w:t>
      </w:r>
    </w:p>
    <w:p>
      <w:pPr>
        <w:tabs>
          <w:tab w:val="left" w:pos="851"/>
        </w:tabs>
        <w:ind w:firstLine="480"/>
        <w:rPr>
          <w:rFonts w:hint="eastAsia" w:ascii="Times New Roman" w:hAnsi="Times New Roman" w:eastAsia="宋体" w:cs="Times New Roman"/>
          <w:bCs/>
          <w:color w:val="auto"/>
          <w:lang w:eastAsia="zh-CN"/>
        </w:rPr>
      </w:pPr>
      <w:r>
        <w:rPr>
          <w:rFonts w:hint="eastAsia" w:ascii="Times New Roman" w:hAnsi="Times New Roman" w:eastAsia="宋体" w:cs="Times New Roman"/>
          <w:bCs/>
          <w:color w:val="auto"/>
          <w:lang w:eastAsia="zh-CN"/>
        </w:rPr>
        <w:t>5)搭建实时仿真模型，验证所提出的特高压柔性直流换流器阻抗测量方法</w:t>
      </w:r>
      <w:r>
        <w:rPr>
          <w:rFonts w:hint="eastAsia" w:ascii="Times New Roman" w:hAnsi="Times New Roman" w:eastAsia="宋体" w:cs="Times New Roman"/>
          <w:bCs/>
          <w:color w:val="auto"/>
          <w:lang w:val="en-US" w:eastAsia="zh-CN"/>
        </w:rPr>
        <w:t>的</w:t>
      </w:r>
      <w:r>
        <w:rPr>
          <w:rFonts w:hint="eastAsia" w:ascii="Times New Roman" w:hAnsi="Times New Roman" w:eastAsia="宋体" w:cs="Times New Roman"/>
          <w:bCs/>
          <w:color w:val="auto"/>
          <w:lang w:eastAsia="zh-CN"/>
        </w:rPr>
        <w:t>准确性；</w:t>
      </w:r>
    </w:p>
    <w:p>
      <w:pPr>
        <w:tabs>
          <w:tab w:val="left" w:pos="851"/>
        </w:tabs>
        <w:ind w:firstLine="480"/>
        <w:rPr>
          <w:rFonts w:hint="eastAsia" w:ascii="Times New Roman" w:hAnsi="Times New Roman" w:eastAsia="宋体" w:cs="Times New Roman"/>
          <w:bCs/>
          <w:color w:val="auto"/>
          <w:lang w:eastAsia="zh-CN"/>
        </w:rPr>
      </w:pPr>
      <w:r>
        <w:rPr>
          <w:rFonts w:hint="eastAsia" w:ascii="Times New Roman" w:hAnsi="Times New Roman" w:eastAsia="宋体" w:cs="Times New Roman"/>
          <w:bCs/>
          <w:color w:val="auto"/>
          <w:lang w:eastAsia="zh-CN"/>
        </w:rPr>
        <w:t>6)研究并提出特高压柔性直流换流器宽频阻抗量测技术工程应用方案。</w:t>
      </w:r>
    </w:p>
    <w:p>
      <w:pPr>
        <w:tabs>
          <w:tab w:val="left" w:pos="851"/>
        </w:tabs>
        <w:ind w:firstLine="0" w:firstLineChars="0"/>
        <w:rPr>
          <w:rFonts w:hint="eastAsia" w:ascii="Times New Roman" w:hAnsi="Times New Roman" w:eastAsia="宋体" w:cs="Times New Roman"/>
          <w:b/>
          <w:bCs/>
          <w:color w:val="auto"/>
        </w:rPr>
      </w:pPr>
      <w:r>
        <w:rPr>
          <w:rFonts w:hint="eastAsia" w:ascii="Times New Roman" w:hAnsi="Times New Roman" w:eastAsia="宋体" w:cs="Times New Roman"/>
          <w:color w:val="auto"/>
        </w:rPr>
        <w:t xml:space="preserve">2.4 </w:t>
      </w:r>
      <w:r>
        <w:rPr>
          <w:rFonts w:hint="eastAsia" w:ascii="Times New Roman" w:hAnsi="Times New Roman" w:eastAsia="宋体" w:cs="Times New Roman"/>
          <w:b/>
          <w:bCs/>
          <w:color w:val="auto"/>
        </w:rPr>
        <w:t>拟解决的主要技术难点</w:t>
      </w:r>
    </w:p>
    <w:p>
      <w:pPr>
        <w:tabs>
          <w:tab w:val="left" w:pos="851"/>
        </w:tabs>
        <w:ind w:firstLine="480"/>
        <w:rPr>
          <w:rFonts w:hint="eastAsia" w:ascii="Times New Roman" w:hAnsi="Times New Roman" w:eastAsia="宋体" w:cs="Times New Roman"/>
          <w:bCs/>
          <w:color w:val="auto"/>
        </w:rPr>
      </w:pPr>
      <w:r>
        <w:rPr>
          <w:rFonts w:hint="eastAsia" w:ascii="Times New Roman" w:hAnsi="Times New Roman" w:eastAsia="宋体" w:cs="Times New Roman"/>
          <w:bCs/>
          <w:color w:val="auto"/>
        </w:rPr>
        <w:t>阻抗量测作为分析交直流系统谐振现象的有力工具，在学术界和工程界得到了广泛应用，然而目前对柔性直流换流器宽频阻抗特性的认识停留在实验室数据层面，仅能通过扫描仿真模型对柔性直流换流器的阻抗特性进行分析，尚无开展特高压柔性直流换流器宽频阻抗测试的技术方案与装备，无法对比仿真数据与测量数据的差异，也无法通过辨识全频段误差来源优化换流器模型，因此需开展柔性直流换流器交直流宽频阻抗</w:t>
      </w:r>
      <w:r>
        <w:rPr>
          <w:rFonts w:hint="eastAsia" w:ascii="Times New Roman" w:hAnsi="Times New Roman" w:eastAsia="宋体" w:cs="Times New Roman"/>
          <w:bCs/>
          <w:color w:val="auto"/>
          <w:lang w:val="en-US" w:eastAsia="zh-CN"/>
        </w:rPr>
        <w:t>现场</w:t>
      </w:r>
      <w:r>
        <w:rPr>
          <w:rFonts w:hint="eastAsia" w:ascii="Times New Roman" w:hAnsi="Times New Roman" w:eastAsia="宋体" w:cs="Times New Roman"/>
          <w:bCs/>
          <w:color w:val="auto"/>
        </w:rPr>
        <w:t>测量技术研究。</w:t>
      </w:r>
    </w:p>
    <w:p>
      <w:pPr>
        <w:pStyle w:val="2"/>
        <w:spacing w:before="312" w:after="156"/>
        <w:rPr>
          <w:rFonts w:hint="eastAsia" w:ascii="Times New Roman" w:hAnsi="Times New Roman" w:eastAsia="宋体" w:cs="Times New Roman"/>
          <w:color w:val="auto"/>
        </w:rPr>
      </w:pPr>
      <w:bookmarkStart w:id="21" w:name="_Toc441483965"/>
      <w:bookmarkStart w:id="22" w:name="_Toc17576"/>
      <w:bookmarkStart w:id="23" w:name="_Toc531004211"/>
      <w:r>
        <w:rPr>
          <w:rFonts w:hint="eastAsia" w:ascii="Times New Roman" w:hAnsi="Times New Roman" w:eastAsia="宋体" w:cs="Times New Roman"/>
          <w:color w:val="auto"/>
        </w:rPr>
        <w:t>总体要求</w:t>
      </w:r>
      <w:bookmarkEnd w:id="21"/>
      <w:bookmarkEnd w:id="22"/>
      <w:bookmarkEnd w:id="23"/>
    </w:p>
    <w:p>
      <w:pPr>
        <w:ind w:firstLine="480"/>
        <w:rPr>
          <w:rFonts w:ascii="Times New Roman" w:hAnsi="Times New Roman" w:eastAsia="宋体" w:cs="Times New Roman"/>
          <w:color w:val="auto"/>
        </w:rPr>
      </w:pPr>
      <w:r>
        <w:rPr>
          <w:rFonts w:ascii="Times New Roman" w:hAnsi="Times New Roman" w:eastAsia="宋体" w:cs="Times New Roman"/>
          <w:color w:val="auto"/>
        </w:rPr>
        <w:t>投标方应详细描述项目的整体方案，包括项目技术方案、进度计划、项目</w:t>
      </w:r>
      <w:r>
        <w:rPr>
          <w:rFonts w:hint="eastAsia" w:ascii="Times New Roman" w:hAnsi="Times New Roman" w:eastAsia="宋体" w:cs="Times New Roman"/>
          <w:color w:val="auto"/>
        </w:rPr>
        <w:t>工作量及</w:t>
      </w:r>
      <w:r>
        <w:rPr>
          <w:rFonts w:ascii="Times New Roman" w:hAnsi="Times New Roman" w:eastAsia="宋体" w:cs="Times New Roman"/>
          <w:color w:val="auto"/>
        </w:rPr>
        <w:t>费用安排、人员组织安排、培训计划</w:t>
      </w:r>
      <w:r>
        <w:rPr>
          <w:rFonts w:hint="eastAsia" w:ascii="Times New Roman" w:hAnsi="Times New Roman" w:eastAsia="宋体" w:cs="Times New Roman"/>
          <w:color w:val="auto"/>
        </w:rPr>
        <w:t>、</w:t>
      </w:r>
      <w:r>
        <w:rPr>
          <w:rFonts w:ascii="Times New Roman" w:hAnsi="Times New Roman" w:eastAsia="宋体" w:cs="Times New Roman"/>
          <w:color w:val="auto"/>
        </w:rPr>
        <w:t>预期目标</w:t>
      </w:r>
      <w:r>
        <w:rPr>
          <w:rFonts w:hint="eastAsia" w:ascii="Times New Roman" w:hAnsi="Times New Roman" w:eastAsia="宋体" w:cs="Times New Roman"/>
          <w:color w:val="auto"/>
        </w:rPr>
        <w:t>和</w:t>
      </w:r>
      <w:r>
        <w:rPr>
          <w:rFonts w:ascii="Times New Roman" w:hAnsi="Times New Roman" w:eastAsia="宋体" w:cs="Times New Roman"/>
          <w:color w:val="auto"/>
        </w:rPr>
        <w:t>主要技术经济指标、成果形式等</w:t>
      </w:r>
      <w:r>
        <w:rPr>
          <w:rFonts w:hint="eastAsia" w:ascii="Times New Roman" w:hAnsi="Times New Roman" w:eastAsia="宋体" w:cs="Times New Roman"/>
          <w:color w:val="auto"/>
        </w:rPr>
        <w:t>，同时应在方案中明确</w:t>
      </w:r>
      <w:r>
        <w:rPr>
          <w:rFonts w:ascii="Times New Roman" w:hAnsi="Times New Roman" w:eastAsia="宋体" w:cs="Times New Roman"/>
          <w:color w:val="auto"/>
        </w:rPr>
        <w:t>需招标方</w:t>
      </w:r>
      <w:r>
        <w:rPr>
          <w:rFonts w:hint="eastAsia" w:ascii="Times New Roman" w:hAnsi="Times New Roman" w:eastAsia="宋体" w:cs="Times New Roman"/>
          <w:color w:val="auto"/>
        </w:rPr>
        <w:t>协调</w:t>
      </w:r>
      <w:r>
        <w:rPr>
          <w:rFonts w:ascii="Times New Roman" w:hAnsi="Times New Roman" w:eastAsia="宋体" w:cs="Times New Roman"/>
          <w:color w:val="auto"/>
        </w:rPr>
        <w:t>配合的</w:t>
      </w:r>
      <w:r>
        <w:rPr>
          <w:rFonts w:hint="eastAsia" w:ascii="Times New Roman" w:hAnsi="Times New Roman" w:eastAsia="宋体" w:cs="Times New Roman"/>
          <w:color w:val="auto"/>
        </w:rPr>
        <w:t>工作。</w:t>
      </w:r>
    </w:p>
    <w:p>
      <w:pPr>
        <w:numPr>
          <w:ilvl w:val="255"/>
          <w:numId w:val="0"/>
        </w:numPr>
        <w:ind w:firstLine="480" w:firstLineChars="200"/>
        <w:rPr>
          <w:rFonts w:ascii="Times New Roman" w:hAnsi="Times New Roman" w:eastAsia="宋体" w:cs="Times New Roman"/>
          <w:color w:val="auto"/>
        </w:rPr>
      </w:pPr>
      <w:r>
        <w:rPr>
          <w:rFonts w:ascii="Times New Roman" w:hAnsi="Times New Roman" w:eastAsia="宋体" w:cs="Times New Roman"/>
          <w:color w:val="auto"/>
        </w:rPr>
        <w:t>（1）投标方应按照本规范书要求完成项目，项目研究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numPr>
          <w:ilvl w:val="255"/>
          <w:numId w:val="0"/>
        </w:numPr>
        <w:ind w:firstLine="480" w:firstLineChars="200"/>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2</w:t>
      </w:r>
      <w:r>
        <w:rPr>
          <w:rFonts w:ascii="Times New Roman" w:hAnsi="Times New Roman" w:eastAsia="宋体" w:cs="Times New Roman"/>
          <w:color w:val="auto"/>
        </w:rPr>
        <w:t>）投标方应向招标方交付与项目技术成果相关的所有资料，确保交付的技术资料未遗漏技术点，且载有完整的技术内容（技术内容不限于阶段性技术成果和最终成果）。</w:t>
      </w:r>
    </w:p>
    <w:p>
      <w:pPr>
        <w:numPr>
          <w:ilvl w:val="255"/>
          <w:numId w:val="0"/>
        </w:numPr>
        <w:ind w:firstLine="480" w:firstLineChars="200"/>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3</w:t>
      </w:r>
      <w:r>
        <w:rPr>
          <w:rFonts w:ascii="Times New Roman" w:hAnsi="Times New Roman" w:eastAsia="宋体" w:cs="Times New Roman"/>
          <w:color w:val="auto"/>
        </w:rPr>
        <w:t>）</w:t>
      </w:r>
      <w:r>
        <w:rPr>
          <w:rFonts w:hint="eastAsia" w:ascii="Times New Roman" w:hAnsi="Times New Roman" w:eastAsia="宋体" w:cs="Times New Roman"/>
          <w:color w:val="auto"/>
          <w:highlight w:val="none"/>
          <w:lang w:val="en-US" w:eastAsia="zh-CN"/>
        </w:rPr>
        <w:t>针对知识产权后续改进，中标方需征得业主方同意，利用本项目所完成的技术成果进行后续改进所产生的技术成果及其相关知识产权，归</w:t>
      </w:r>
      <w:r>
        <w:rPr>
          <w:rFonts w:hint="eastAsia" w:ascii="Times New Roman" w:hAnsi="Times New Roman" w:eastAsia="宋体" w:cs="Times New Roman"/>
          <w:color w:val="auto"/>
          <w:highlight w:val="none"/>
          <w:u w:val="single"/>
          <w:lang w:val="en-US" w:eastAsia="zh-CN"/>
        </w:rPr>
        <w:t>双方</w:t>
      </w:r>
      <w:r>
        <w:rPr>
          <w:rFonts w:hint="eastAsia" w:ascii="Times New Roman" w:hAnsi="Times New Roman" w:eastAsia="宋体" w:cs="Times New Roman"/>
          <w:color w:val="auto"/>
          <w:highlight w:val="none"/>
          <w:lang w:val="en-US" w:eastAsia="zh-CN"/>
        </w:rPr>
        <w:t>共有。</w:t>
      </w:r>
      <w:r>
        <w:rPr>
          <w:rFonts w:hint="eastAsia" w:ascii="Times New Roman" w:hAnsi="Times New Roman" w:eastAsia="宋体" w:cs="Times New Roman"/>
          <w:color w:val="auto"/>
          <w:highlight w:val="none"/>
          <w:u w:val="single"/>
          <w:lang w:val="en-US" w:eastAsia="zh-CN"/>
        </w:rPr>
        <w:t>双方</w:t>
      </w:r>
      <w:r>
        <w:rPr>
          <w:rFonts w:hint="eastAsia" w:ascii="Times New Roman" w:hAnsi="Times New Roman" w:eastAsia="宋体" w:cs="Times New Roman"/>
          <w:color w:val="auto"/>
          <w:highlight w:val="none"/>
          <w:lang w:val="en-US" w:eastAsia="zh-CN"/>
        </w:rPr>
        <w:t>是该等成果的著作权、专利申请权、专利权、技术秘密及其他相关知识产权的共有人，知识产权维护费用由双方平摊。</w:t>
      </w:r>
    </w:p>
    <w:p>
      <w:pPr>
        <w:numPr>
          <w:ilvl w:val="255"/>
          <w:numId w:val="0"/>
        </w:numPr>
        <w:ind w:firstLine="480" w:firstLineChars="200"/>
        <w:rPr>
          <w:rFonts w:ascii="Times New Roman" w:hAnsi="Times New Roman" w:eastAsia="宋体" w:cs="Times New Roman"/>
          <w:color w:val="auto"/>
        </w:rPr>
      </w:pPr>
      <w:r>
        <w:rPr>
          <w:rFonts w:ascii="Times New Roman" w:hAnsi="Times New Roman" w:eastAsia="宋体" w:cs="Times New Roman"/>
          <w:color w:val="auto"/>
        </w:rPr>
        <w:t>（</w:t>
      </w:r>
      <w:r>
        <w:rPr>
          <w:rFonts w:hint="eastAsia" w:cs="Times New Roman"/>
          <w:color w:val="auto"/>
          <w:lang w:val="en-US" w:eastAsia="zh-CN"/>
        </w:rPr>
        <w:t>4</w:t>
      </w:r>
      <w:r>
        <w:rPr>
          <w:rFonts w:ascii="Times New Roman" w:hAnsi="Times New Roman" w:eastAsia="宋体" w:cs="Times New Roman"/>
          <w:color w:val="auto"/>
        </w:rPr>
        <w:t>）招标方有权指派技术人员组成技术团队参与项目实施。投标方应指派本单位主要技术负责人配合招标方技术团队的工作。</w:t>
      </w:r>
    </w:p>
    <w:p>
      <w:pPr>
        <w:numPr>
          <w:ilvl w:val="255"/>
          <w:numId w:val="0"/>
        </w:numPr>
        <w:ind w:firstLine="480" w:firstLineChars="200"/>
        <w:rPr>
          <w:rFonts w:ascii="Times New Roman" w:hAnsi="Times New Roman" w:eastAsia="宋体" w:cs="Times New Roman"/>
          <w:color w:val="auto"/>
        </w:rPr>
      </w:pPr>
      <w:r>
        <w:rPr>
          <w:rFonts w:ascii="Times New Roman" w:hAnsi="Times New Roman" w:eastAsia="宋体" w:cs="Times New Roman"/>
          <w:color w:val="auto"/>
        </w:rPr>
        <w:t>（</w:t>
      </w:r>
      <w:r>
        <w:rPr>
          <w:rFonts w:hint="eastAsia" w:cs="Times New Roman"/>
          <w:color w:val="auto"/>
          <w:lang w:val="en-US" w:eastAsia="zh-CN"/>
        </w:rPr>
        <w:t>5</w:t>
      </w:r>
      <w:r>
        <w:rPr>
          <w:rFonts w:ascii="Times New Roman" w:hAnsi="Times New Roman" w:eastAsia="宋体" w:cs="Times New Roman"/>
          <w:color w:val="auto"/>
        </w:rPr>
        <w:t>）招标方技术团队有权对投标方项目实施过程进行检查监督，有权参与设技术路线选用、备图纸设计和审核、主要原材料选用、重大技术变更等技术环节工作。投标方应在主要项目技术节点通知招标方技术团队参与。</w:t>
      </w:r>
    </w:p>
    <w:p>
      <w:pPr>
        <w:numPr>
          <w:ilvl w:val="255"/>
          <w:numId w:val="0"/>
        </w:numPr>
        <w:ind w:firstLine="480" w:firstLineChars="200"/>
        <w:rPr>
          <w:rFonts w:ascii="Times New Roman" w:hAnsi="Times New Roman" w:eastAsia="宋体" w:cs="Times New Roman"/>
          <w:color w:val="auto"/>
        </w:rPr>
      </w:pPr>
      <w:r>
        <w:rPr>
          <w:rFonts w:ascii="Times New Roman" w:hAnsi="Times New Roman" w:eastAsia="宋体" w:cs="Times New Roman"/>
          <w:color w:val="auto"/>
        </w:rPr>
        <w:t>（</w:t>
      </w:r>
      <w:r>
        <w:rPr>
          <w:rFonts w:hint="eastAsia" w:cs="Times New Roman"/>
          <w:color w:val="auto"/>
          <w:lang w:val="en-US" w:eastAsia="zh-CN"/>
        </w:rPr>
        <w:t>6</w:t>
      </w:r>
      <w:bookmarkStart w:id="60" w:name="_GoBack"/>
      <w:bookmarkEnd w:id="60"/>
      <w:r>
        <w:rPr>
          <w:rFonts w:ascii="Times New Roman" w:hAnsi="Times New Roman" w:eastAsia="宋体" w:cs="Times New Roman"/>
          <w:color w:val="auto"/>
        </w:rPr>
        <w:t>）投标方承担</w:t>
      </w:r>
      <w:r>
        <w:rPr>
          <w:rFonts w:hint="eastAsia" w:ascii="Times New Roman" w:hAnsi="Times New Roman" w:eastAsia="宋体" w:cs="Times New Roman"/>
          <w:color w:val="auto"/>
        </w:rPr>
        <w:t>中期和验收评审及至少3</w:t>
      </w:r>
      <w:r>
        <w:rPr>
          <w:rFonts w:ascii="Times New Roman" w:hAnsi="Times New Roman" w:eastAsia="宋体" w:cs="Times New Roman"/>
          <w:color w:val="auto"/>
        </w:rPr>
        <w:t>次专家讨论会的会议费、专家咨询费、专家差旅费等相关费用，并根据招标方要求承担相关会务工作。</w:t>
      </w:r>
    </w:p>
    <w:p>
      <w:pPr>
        <w:pStyle w:val="2"/>
        <w:spacing w:before="312" w:after="156"/>
        <w:rPr>
          <w:rFonts w:hint="eastAsia" w:ascii="Times New Roman" w:hAnsi="Times New Roman" w:eastAsia="宋体" w:cs="Times New Roman"/>
          <w:color w:val="auto"/>
        </w:rPr>
      </w:pPr>
      <w:bookmarkStart w:id="24" w:name="_Toc531004212"/>
      <w:bookmarkStart w:id="25" w:name="_Toc26120"/>
      <w:bookmarkStart w:id="26" w:name="_Toc441483966"/>
      <w:r>
        <w:rPr>
          <w:rFonts w:hint="eastAsia" w:ascii="Times New Roman" w:hAnsi="Times New Roman" w:eastAsia="宋体" w:cs="Times New Roman"/>
          <w:color w:val="auto"/>
        </w:rPr>
        <w:t>引用标准</w:t>
      </w:r>
      <w:bookmarkEnd w:id="24"/>
      <w:bookmarkEnd w:id="25"/>
      <w:bookmarkEnd w:id="26"/>
    </w:p>
    <w:p>
      <w:pPr>
        <w:ind w:left="7" w:leftChars="3" w:firstLine="48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项目研究过程及成果须满足IEC标准、国家行业标准、南方电网企业标准（规范）。若已颁布的相关技术标准或规范被修订，使用本技术规范书的各方应探讨使用最新版本的可能性。</w:t>
      </w:r>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highlight w:val="none"/>
        </w:rPr>
        <w:t>本项目实施过程中所应用到的各种标准，由投标方推荐，经招标方确认后由投标方提供并在项目中使用</w:t>
      </w:r>
      <w:r>
        <w:rPr>
          <w:rFonts w:hint="eastAsia" w:ascii="Times New Roman" w:hAnsi="Times New Roman" w:eastAsia="宋体" w:cs="Times New Roman"/>
          <w:color w:val="auto"/>
        </w:rPr>
        <w:t>。</w:t>
      </w:r>
    </w:p>
    <w:p>
      <w:pPr>
        <w:spacing w:before="156" w:beforeLines="50" w:after="156" w:afterLines="50"/>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推荐使用但不限于以下标准：</w:t>
      </w:r>
    </w:p>
    <w:tbl>
      <w:tblPr>
        <w:tblStyle w:val="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40"/>
        <w:gridCol w:w="61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default" w:ascii="Times New Roman" w:hAnsi="Times New Roman" w:eastAsia="宋体" w:cs="Times New Roman"/>
                <w:color w:val="auto"/>
              </w:rPr>
              <w:t>GB/T 20994</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高压直流输电系统用并联电容器及交流滤波电容器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default" w:ascii="Times New Roman" w:hAnsi="Times New Roman" w:eastAsia="宋体" w:cs="Times New Roman"/>
                <w:color w:val="auto"/>
              </w:rPr>
              <w:t>GB/T</w:t>
            </w:r>
            <w:r>
              <w:rPr>
                <w:rFonts w:hint="eastAsia" w:ascii="Times New Roman" w:hAnsi="Times New Roman" w:eastAsia="宋体" w:cs="Times New Roman"/>
                <w:color w:val="auto"/>
              </w:rPr>
              <w:t xml:space="preserve"> </w:t>
            </w:r>
            <w:r>
              <w:rPr>
                <w:rFonts w:hint="default" w:ascii="Times New Roman" w:hAnsi="Times New Roman" w:eastAsia="宋体" w:cs="Times New Roman"/>
                <w:color w:val="auto"/>
              </w:rPr>
              <w:t>18494.2</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变流变压器 第2部分：高压直流输电用换流变压器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bookmarkStart w:id="27" w:name="_Toc531004213"/>
            <w:bookmarkStart w:id="28" w:name="_Toc309593269"/>
            <w:bookmarkStart w:id="29" w:name="_Toc441483967"/>
            <w:bookmarkStart w:id="30" w:name="_Toc312827029"/>
            <w:bookmarkStart w:id="31" w:name="_Toc307213989"/>
            <w:bookmarkStart w:id="32" w:name="_Toc309805593"/>
            <w:bookmarkStart w:id="33" w:name="_Toc309593198"/>
            <w:r>
              <w:rPr>
                <w:rFonts w:hint="default" w:ascii="Times New Roman" w:hAnsi="Times New Roman" w:eastAsia="宋体" w:cs="Times New Roman"/>
                <w:color w:val="auto"/>
              </w:rPr>
              <w:t>GB/T 36559</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高压直流输电用晶闸管阀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r>
              <w:rPr>
                <w:rFonts w:hint="default" w:ascii="Times New Roman" w:hAnsi="Times New Roman" w:eastAsia="宋体" w:cs="Times New Roman"/>
                <w:color w:val="auto"/>
              </w:rPr>
              <w:t>GB/T 13498</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高压直流输电术语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r>
              <w:rPr>
                <w:rFonts w:hint="default" w:ascii="Times New Roman" w:hAnsi="Times New Roman" w:eastAsia="宋体" w:cs="Times New Roman"/>
                <w:color w:val="auto"/>
              </w:rPr>
              <w:t>GB/T 35711</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高压直流输电系统直流侧谐波分析、抑制与测量导则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r>
              <w:rPr>
                <w:rFonts w:hint="eastAsia" w:ascii="Times New Roman" w:hAnsi="Times New Roman" w:eastAsia="宋体" w:cs="Times New Roman"/>
                <w:color w:val="auto"/>
              </w:rPr>
              <w:t>GB/T 20996.1</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采用电网换相换流器的高压直流系统的性能 第1部分:稳态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r>
              <w:rPr>
                <w:rFonts w:hint="eastAsia" w:ascii="Times New Roman" w:hAnsi="Times New Roman" w:eastAsia="宋体" w:cs="Times New Roman"/>
                <w:color w:val="auto"/>
              </w:rPr>
              <w:t>GB/T 40580</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高压直流输电系统机电暂态仿真建模技术导则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r>
              <w:rPr>
                <w:rFonts w:hint="eastAsia" w:ascii="Times New Roman" w:hAnsi="Times New Roman" w:eastAsia="宋体" w:cs="Times New Roman"/>
                <w:color w:val="auto"/>
              </w:rPr>
              <w:t>GB/T 40605</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高压直流工程数模混合仿真建模及试验导则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373"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b/>
                <w:bCs/>
                <w:color w:val="auto"/>
              </w:rPr>
            </w:pPr>
            <w:r>
              <w:rPr>
                <w:rFonts w:hint="eastAsia" w:ascii="Times New Roman" w:hAnsi="Times New Roman" w:eastAsia="宋体" w:cs="Times New Roman"/>
                <w:color w:val="auto"/>
              </w:rPr>
              <w:t>GB/T 31460</w:t>
            </w:r>
          </w:p>
        </w:tc>
        <w:tc>
          <w:tcPr>
            <w:tcW w:w="3626" w:type="pct"/>
          </w:tcPr>
          <w:p>
            <w:pPr>
              <w:keepNext w:val="0"/>
              <w:keepLines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rPr>
            </w:pPr>
            <w:r>
              <w:rPr>
                <w:rFonts w:hint="eastAsia" w:ascii="Times New Roman" w:hAnsi="Times New Roman" w:eastAsia="宋体" w:cs="Times New Roman"/>
                <w:color w:val="auto"/>
              </w:rPr>
              <w:t>高压直流换流站无功补偿与配置技术导则</w:t>
            </w:r>
          </w:p>
        </w:tc>
      </w:tr>
      <w:bookmarkEnd w:id="16"/>
      <w:bookmarkEnd w:id="17"/>
      <w:bookmarkEnd w:id="18"/>
      <w:bookmarkEnd w:id="19"/>
      <w:bookmarkEnd w:id="20"/>
    </w:tbl>
    <w:p>
      <w:pPr>
        <w:pStyle w:val="2"/>
        <w:spacing w:before="312" w:after="156"/>
        <w:rPr>
          <w:rFonts w:hint="eastAsia" w:ascii="Times New Roman" w:hAnsi="Times New Roman" w:eastAsia="宋体" w:cs="Times New Roman"/>
          <w:color w:val="auto"/>
        </w:rPr>
      </w:pPr>
      <w:bookmarkStart w:id="34" w:name="_Toc29311"/>
      <w:r>
        <w:rPr>
          <w:rFonts w:hint="eastAsia" w:ascii="Times New Roman" w:hAnsi="Times New Roman" w:eastAsia="宋体" w:cs="Times New Roman"/>
          <w:color w:val="auto"/>
        </w:rPr>
        <w:t>技术要求</w:t>
      </w:r>
      <w:bookmarkEnd w:id="27"/>
      <w:bookmarkEnd w:id="28"/>
      <w:bookmarkEnd w:id="29"/>
      <w:bookmarkEnd w:id="30"/>
      <w:bookmarkEnd w:id="31"/>
      <w:bookmarkEnd w:id="32"/>
      <w:bookmarkEnd w:id="33"/>
      <w:bookmarkEnd w:id="34"/>
    </w:p>
    <w:p>
      <w:pPr>
        <w:pStyle w:val="28"/>
        <w:spacing w:before="156" w:after="156"/>
        <w:rPr>
          <w:rFonts w:hint="eastAsia" w:ascii="Times New Roman" w:hAnsi="Times New Roman" w:eastAsia="宋体" w:cs="Times New Roman"/>
          <w:color w:val="auto"/>
        </w:rPr>
      </w:pPr>
      <w:r>
        <w:rPr>
          <w:rFonts w:hint="default" w:ascii="Times New Roman" w:hAnsi="Times New Roman" w:eastAsia="宋体" w:cs="Times New Roman"/>
          <w:color w:val="auto"/>
        </w:rPr>
        <w:t>5.1</w:t>
      </w:r>
      <w:r>
        <w:rPr>
          <w:rFonts w:hint="eastAsia" w:ascii="Times New Roman" w:hAnsi="Times New Roman" w:eastAsia="宋体" w:cs="Times New Roman"/>
          <w:color w:val="auto"/>
          <w:lang w:val="en-US" w:eastAsia="zh-CN"/>
        </w:rPr>
        <w:t>合同</w:t>
      </w:r>
      <w:r>
        <w:rPr>
          <w:rFonts w:hint="eastAsia" w:ascii="Times New Roman" w:hAnsi="Times New Roman" w:eastAsia="宋体" w:cs="Times New Roman"/>
          <w:color w:val="auto"/>
        </w:rPr>
        <w:t>服务内容要求</w:t>
      </w:r>
    </w:p>
    <w:p>
      <w:pPr>
        <w:adjustRightInd w:val="0"/>
        <w:snapToGrid w:val="0"/>
        <w:ind w:firstLine="480"/>
        <w:rPr>
          <w:rFonts w:hint="eastAsia" w:ascii="Times New Roman" w:hAnsi="Times New Roman" w:eastAsia="宋体" w:cs="Times New Roman"/>
          <w:bCs/>
          <w:color w:val="auto"/>
        </w:rPr>
      </w:pPr>
      <w:r>
        <w:rPr>
          <w:rFonts w:hint="eastAsia" w:ascii="Times New Roman" w:hAnsi="Times New Roman" w:eastAsia="宋体" w:cs="Times New Roman"/>
          <w:bCs/>
          <w:color w:val="auto"/>
        </w:rPr>
        <w:t>研究主动支撑型柔性直流系统交直流宽频阻抗量测技术，明确柔性直流扰动注入及信号选择方式，提出适用于多工况及不同测量频率步长的柔性直流宽频阻抗量测方法。</w:t>
      </w:r>
    </w:p>
    <w:p>
      <w:pPr>
        <w:adjustRightInd w:val="0"/>
        <w:snapToGrid w:val="0"/>
        <w:ind w:firstLine="480"/>
        <w:rPr>
          <w:rFonts w:hint="eastAsia" w:ascii="Times New Roman" w:hAnsi="Times New Roman" w:eastAsia="宋体" w:cs="Times New Roman"/>
          <w:bCs/>
          <w:color w:val="auto"/>
        </w:rPr>
      </w:pPr>
      <w:r>
        <w:rPr>
          <w:rFonts w:hint="eastAsia" w:ascii="Times New Roman" w:hAnsi="Times New Roman" w:eastAsia="宋体" w:cs="Times New Roman"/>
          <w:bCs/>
          <w:color w:val="auto"/>
        </w:rPr>
        <w:t>1)建立研究宽频扰动信号注入方法，分析不同扰动信号下柔性直流换流器阻抗和电网阻抗的可观测性，分析测量误差、噪声对测量结果的影响，提出谐波信号提取与宽频阻抗计算方法，搭建实时仿真模型，验证所提出的特高压柔性直流换流器阻抗和电网阻抗测量方法的准确性，研究并提出特高压柔性直流系统交直流宽频阻抗量测技术工程应用方案。</w:t>
      </w:r>
    </w:p>
    <w:p>
      <w:pPr>
        <w:pStyle w:val="6"/>
        <w:ind w:firstLine="480"/>
        <w:rPr>
          <w:rFonts w:ascii="Times New Roman" w:hAnsi="Times New Roman" w:eastAsia="宋体" w:cs="Times New Roman"/>
          <w:color w:val="auto"/>
        </w:rPr>
      </w:pPr>
      <w:r>
        <w:rPr>
          <w:rFonts w:hint="eastAsia" w:ascii="Times New Roman" w:hAnsi="Times New Roman" w:eastAsia="宋体" w:cs="Times New Roman"/>
          <w:color w:val="auto"/>
        </w:rPr>
        <w:t>2）单个换流站内存在四个换流阀，在其中一个换流阀的控制环节PWM调制处注入扰动信号，通过测量其它换流阀的响应情况，计算柔性直流换流器谐波阻抗；再根据柔性直流换流器在交直流侧的串并联关系，计算各类运行工况下柔性直流宽频阻抗。根据谐波信号生成算法，通过柔性直流换流器控制系统向电网注入谐波扰动，选取电网多点电压电流信号中待测量支路的端口信号进行信号分解处理分析，得到待测端口电网阻抗；数据采集系统获取电网电压电流信号后，交由数据信息预处理系统进行信号的处理分析。</w:t>
      </w:r>
    </w:p>
    <w:p>
      <w:pPr>
        <w:adjustRightInd w:val="0"/>
        <w:snapToGrid w:val="0"/>
        <w:ind w:firstLine="480"/>
        <w:rPr>
          <w:rFonts w:ascii="Times New Roman" w:hAnsi="Times New Roman" w:eastAsia="宋体" w:cs="Times New Roman"/>
          <w:color w:val="auto"/>
        </w:rPr>
      </w:pPr>
      <w:r>
        <w:rPr>
          <w:rFonts w:hint="eastAsia" w:ascii="Times New Roman" w:hAnsi="Times New Roman" w:eastAsia="宋体" w:cs="Times New Roman"/>
          <w:bCs/>
          <w:color w:val="auto"/>
          <w:lang w:val="en-US" w:eastAsia="zh-CN"/>
        </w:rPr>
        <w:t>3）</w:t>
      </w:r>
      <w:r>
        <w:rPr>
          <w:rFonts w:hint="eastAsia" w:ascii="Times New Roman" w:hAnsi="Times New Roman" w:eastAsia="宋体" w:cs="Times New Roman"/>
          <w:bCs/>
          <w:color w:val="auto"/>
        </w:rPr>
        <w:t>开展柔性直流系统阻抗现场量测，测量工况不少于3类，研发的宽频阻抗量测技术预期应用的电压等级提升至特高压500kV。</w:t>
      </w:r>
    </w:p>
    <w:p>
      <w:pPr>
        <w:pStyle w:val="28"/>
        <w:spacing w:before="156" w:after="156"/>
        <w:rPr>
          <w:rFonts w:hint="eastAsia" w:ascii="Times New Roman" w:hAnsi="Times New Roman" w:eastAsia="宋体" w:cs="Times New Roman"/>
          <w:color w:val="auto"/>
        </w:rPr>
      </w:pPr>
      <w:r>
        <w:rPr>
          <w:rFonts w:hint="eastAsia" w:ascii="Times New Roman" w:hAnsi="Times New Roman" w:eastAsia="宋体" w:cs="Times New Roman"/>
          <w:color w:val="auto"/>
        </w:rPr>
        <w:t>5.2</w:t>
      </w:r>
      <w:r>
        <w:rPr>
          <w:rFonts w:hint="eastAsia" w:ascii="Times New Roman" w:hAnsi="Times New Roman" w:eastAsia="宋体" w:cs="Times New Roman"/>
          <w:color w:val="auto"/>
          <w:lang w:val="en-US" w:eastAsia="zh-CN"/>
        </w:rPr>
        <w:t>合同</w:t>
      </w:r>
      <w:r>
        <w:rPr>
          <w:rFonts w:hint="eastAsia" w:ascii="Times New Roman" w:hAnsi="Times New Roman" w:eastAsia="宋体" w:cs="Times New Roman"/>
          <w:color w:val="auto"/>
        </w:rPr>
        <w:t xml:space="preserve">成果要求 </w:t>
      </w:r>
    </w:p>
    <w:p>
      <w:pPr>
        <w:ind w:firstLine="480"/>
        <w:rPr>
          <w:rFonts w:ascii="Times New Roman" w:hAnsi="Times New Roman" w:eastAsia="宋体" w:cs="Times New Roman"/>
          <w:color w:val="auto"/>
        </w:rPr>
      </w:pPr>
      <w:r>
        <w:rPr>
          <w:rFonts w:hint="eastAsia" w:ascii="Times New Roman" w:hAnsi="Times New Roman" w:eastAsia="宋体" w:cs="Times New Roman"/>
          <w:color w:val="auto"/>
        </w:rPr>
        <w:t>项目验收前，</w:t>
      </w:r>
      <w:r>
        <w:rPr>
          <w:rFonts w:ascii="Times New Roman" w:hAnsi="Times New Roman" w:eastAsia="宋体" w:cs="Times New Roman"/>
          <w:color w:val="auto"/>
        </w:rPr>
        <w:t>投标方</w:t>
      </w:r>
      <w:r>
        <w:rPr>
          <w:rFonts w:hint="eastAsia" w:ascii="Times New Roman" w:hAnsi="Times New Roman" w:eastAsia="宋体" w:cs="Times New Roman"/>
          <w:color w:val="auto"/>
        </w:rPr>
        <w:t>应提交给招标方的交付物包括：</w:t>
      </w:r>
    </w:p>
    <w:p>
      <w:pPr>
        <w:numPr>
          <w:ilvl w:val="0"/>
          <w:numId w:val="2"/>
        </w:numPr>
        <w:tabs>
          <w:tab w:val="left" w:pos="851"/>
        </w:tabs>
        <w:ind w:firstLine="480"/>
        <w:rPr>
          <w:rFonts w:ascii="Times New Roman" w:hAnsi="Times New Roman" w:eastAsia="宋体" w:cs="Times New Roman"/>
          <w:color w:val="auto"/>
        </w:rPr>
      </w:pPr>
      <w:r>
        <w:rPr>
          <w:rFonts w:hint="eastAsia" w:ascii="Times New Roman" w:hAnsi="Times New Roman" w:eastAsia="宋体" w:cs="Times New Roman"/>
          <w:bCs/>
          <w:color w:val="auto"/>
          <w:lang w:eastAsia="zh-CN"/>
        </w:rPr>
        <w:t>《</w:t>
      </w:r>
      <w:r>
        <w:rPr>
          <w:rFonts w:hint="eastAsia" w:ascii="Times New Roman" w:hAnsi="Times New Roman" w:eastAsia="宋体" w:cs="Times New Roman"/>
          <w:bCs/>
          <w:color w:val="auto"/>
        </w:rPr>
        <w:t>主动支撑型柔性直流系统交直流宽频阻抗量测技术</w:t>
      </w:r>
      <w:r>
        <w:rPr>
          <w:rFonts w:hint="eastAsia" w:ascii="Times New Roman" w:hAnsi="Times New Roman" w:eastAsia="宋体" w:cs="Times New Roman"/>
          <w:bCs/>
          <w:color w:val="auto"/>
          <w:lang w:val="en-US" w:eastAsia="zh-CN"/>
        </w:rPr>
        <w:t>研究》</w:t>
      </w:r>
      <w:r>
        <w:rPr>
          <w:rFonts w:hint="eastAsia" w:ascii="Times New Roman" w:hAnsi="Times New Roman" w:eastAsia="宋体" w:cs="Times New Roman"/>
          <w:color w:val="auto"/>
        </w:rPr>
        <w:t>报告一份。</w:t>
      </w:r>
    </w:p>
    <w:p>
      <w:pPr>
        <w:tabs>
          <w:tab w:val="left" w:pos="851"/>
        </w:tabs>
        <w:ind w:firstLine="480"/>
        <w:rPr>
          <w:rFonts w:ascii="Times New Roman" w:hAnsi="Times New Roman" w:eastAsia="宋体" w:cs="Times New Roman"/>
          <w:color w:val="auto"/>
        </w:rPr>
      </w:pPr>
      <w:r>
        <w:rPr>
          <w:rFonts w:hint="eastAsia" w:ascii="Times New Roman" w:hAnsi="Times New Roman" w:eastAsia="宋体" w:cs="Times New Roman"/>
          <w:color w:val="auto"/>
        </w:rPr>
        <w:t>（</w:t>
      </w:r>
      <w:r>
        <w:rPr>
          <w:rFonts w:hint="eastAsia" w:cs="Times New Roman"/>
          <w:color w:val="auto"/>
          <w:lang w:val="en-US" w:eastAsia="zh-CN"/>
        </w:rPr>
        <w:t>2</w:t>
      </w:r>
      <w:r>
        <w:rPr>
          <w:rFonts w:hint="eastAsia" w:ascii="Times New Roman" w:hAnsi="Times New Roman" w:eastAsia="宋体" w:cs="Times New Roman"/>
          <w:color w:val="auto"/>
        </w:rPr>
        <w:t>）项目审核验收所需的其它相关材料。</w:t>
      </w:r>
    </w:p>
    <w:p>
      <w:pPr>
        <w:pStyle w:val="28"/>
        <w:spacing w:before="156" w:after="156"/>
        <w:rPr>
          <w:rFonts w:hint="eastAsia" w:ascii="Times New Roman" w:hAnsi="Times New Roman" w:eastAsia="宋体" w:cs="Times New Roman"/>
          <w:color w:val="auto"/>
        </w:rPr>
      </w:pPr>
      <w:r>
        <w:rPr>
          <w:rFonts w:hint="eastAsia" w:ascii="Times New Roman" w:hAnsi="Times New Roman" w:eastAsia="宋体" w:cs="Times New Roman"/>
          <w:color w:val="auto"/>
        </w:rPr>
        <w:t>5.3投标方技术文件编制要求</w:t>
      </w:r>
    </w:p>
    <w:p>
      <w:pPr>
        <w:ind w:firstLine="480"/>
        <w:rPr>
          <w:rFonts w:hint="eastAsia" w:ascii="Times New Roman" w:hAnsi="Times New Roman" w:eastAsia="宋体" w:cs="Times New Roman"/>
          <w:color w:val="auto"/>
        </w:rPr>
      </w:pPr>
      <w:bookmarkStart w:id="35" w:name="_Toc531004214"/>
      <w:bookmarkStart w:id="36" w:name="_Toc309805603"/>
      <w:bookmarkStart w:id="37" w:name="_Toc312827039"/>
      <w:bookmarkStart w:id="38" w:name="_Toc309593279"/>
      <w:bookmarkStart w:id="39" w:name="_Toc441483968"/>
      <w:bookmarkStart w:id="40" w:name="_Toc309593208"/>
      <w:r>
        <w:rPr>
          <w:rFonts w:hint="eastAsia" w:ascii="Times New Roman" w:hAnsi="Times New Roman" w:eastAsia="宋体" w:cs="Times New Roman"/>
          <w:color w:val="auto"/>
        </w:rPr>
        <w:t>投标方技术文件除按照招标文件要求编制外，还应包括以下内容：</w:t>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rPr>
        <w:t>（1）投标方的项目团队详细情况（人员构成、各成员的专业方向及成就）。</w:t>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rPr>
        <w:t>（2）投标方在本项目相关技术领域发表的论文和专著，投标方所具备的软、硬件基础。</w:t>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rPr>
        <w:t>（3）近3年承担的相关项目情况及证明材料，包括：项目来源、规模、项目主要研究内容、取得的成果、获得的奖项等；对于投标方已承担与本课题相似度高的项目在投标文件中进行详细阐述，内容包括：研究内容、执行情况、获得成果和奖励等；</w:t>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rPr>
        <w:t>（4）总体技术方案，包括：投标方对本课题研究现状的分析；主要研究思路或方法；详细技术方案描述，其中包括对本技术规范书已有内容的落实措施，以及对本课题研究内容（这些内容尽管有可能未在本技术规范书中具体明确的列出）的补充和拓展；预期目标和成果，主要技术难点、创新点及解决措施；人员分工和进度计划。</w:t>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rPr>
        <w:t>（5）需招标方配合的内容，包括人员、场地、提供的资料。</w:t>
      </w:r>
    </w:p>
    <w:p>
      <w:pPr>
        <w:pStyle w:val="2"/>
        <w:spacing w:before="312" w:after="156"/>
        <w:rPr>
          <w:rFonts w:hint="eastAsia" w:ascii="Times New Roman" w:hAnsi="Times New Roman" w:eastAsia="宋体" w:cs="Times New Roman"/>
          <w:color w:val="auto"/>
        </w:rPr>
      </w:pPr>
      <w:bookmarkStart w:id="41" w:name="_Toc8002"/>
      <w:r>
        <w:rPr>
          <w:rFonts w:hint="eastAsia" w:ascii="Times New Roman" w:hAnsi="Times New Roman" w:eastAsia="宋体" w:cs="Times New Roman"/>
          <w:color w:val="auto"/>
        </w:rPr>
        <w:t>工期进度要求</w:t>
      </w:r>
      <w:bookmarkEnd w:id="35"/>
      <w:bookmarkEnd w:id="36"/>
      <w:bookmarkEnd w:id="37"/>
      <w:bookmarkEnd w:id="38"/>
      <w:bookmarkEnd w:id="39"/>
      <w:bookmarkEnd w:id="40"/>
      <w:bookmarkEnd w:id="41"/>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rPr>
        <w:t xml:space="preserve">本项目应按照下表所示进度安排开展项目研究工作： </w:t>
      </w:r>
    </w:p>
    <w:p>
      <w:pPr>
        <w:pStyle w:val="3"/>
        <w:keepNext/>
        <w:ind w:firstLine="0" w:firstLine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 xml:space="preserve">表 </w:t>
      </w:r>
      <w:r>
        <w:rPr>
          <w:rFonts w:hint="eastAsia" w:ascii="Times New Roman" w:hAnsi="Times New Roman" w:eastAsia="宋体" w:cs="Times New Roman"/>
          <w:color w:val="auto"/>
        </w:rPr>
        <w:fldChar w:fldCharType="begin"/>
      </w:r>
      <w:r>
        <w:rPr>
          <w:rFonts w:hint="eastAsia" w:ascii="Times New Roman" w:hAnsi="Times New Roman" w:eastAsia="宋体" w:cs="Times New Roman"/>
          <w:color w:val="auto"/>
        </w:rPr>
        <w:instrText xml:space="preserve"> STYLEREF 1 \s </w:instrText>
      </w:r>
      <w:r>
        <w:rPr>
          <w:rFonts w:hint="eastAsia" w:ascii="Times New Roman" w:hAnsi="Times New Roman" w:eastAsia="宋体" w:cs="Times New Roman"/>
          <w:color w:val="auto"/>
        </w:rPr>
        <w:fldChar w:fldCharType="separate"/>
      </w:r>
      <w:r>
        <w:rPr>
          <w:rFonts w:hint="eastAsia" w:ascii="Times New Roman" w:hAnsi="Times New Roman" w:eastAsia="宋体" w:cs="Times New Roman"/>
          <w:color w:val="auto"/>
        </w:rPr>
        <w:t>6</w:t>
      </w:r>
      <w:r>
        <w:rPr>
          <w:rFonts w:hint="eastAsia" w:ascii="Times New Roman" w:hAnsi="Times New Roman" w:eastAsia="宋体" w:cs="Times New Roman"/>
          <w:color w:val="auto"/>
        </w:rPr>
        <w:fldChar w:fldCharType="end"/>
      </w:r>
      <w:r>
        <w:rPr>
          <w:rFonts w:hint="eastAsia" w:ascii="Times New Roman" w:hAnsi="Times New Roman" w:eastAsia="宋体" w:cs="Times New Roman"/>
          <w:color w:val="auto"/>
        </w:rPr>
        <w:noBreakHyphen/>
      </w:r>
      <w:r>
        <w:rPr>
          <w:rFonts w:hint="eastAsia" w:ascii="Times New Roman" w:hAnsi="Times New Roman" w:eastAsia="宋体" w:cs="Times New Roman"/>
          <w:color w:val="auto"/>
        </w:rPr>
        <w:fldChar w:fldCharType="begin"/>
      </w:r>
      <w:r>
        <w:rPr>
          <w:rFonts w:hint="eastAsia" w:ascii="Times New Roman" w:hAnsi="Times New Roman" w:eastAsia="宋体" w:cs="Times New Roman"/>
          <w:color w:val="auto"/>
        </w:rPr>
        <w:instrText xml:space="preserve"> SEQ 表 \* ARABIC \s 1 </w:instrText>
      </w:r>
      <w:r>
        <w:rPr>
          <w:rFonts w:hint="eastAsia" w:ascii="Times New Roman" w:hAnsi="Times New Roman" w:eastAsia="宋体" w:cs="Times New Roman"/>
          <w:color w:val="auto"/>
        </w:rPr>
        <w:fldChar w:fldCharType="separate"/>
      </w:r>
      <w:r>
        <w:rPr>
          <w:rFonts w:hint="eastAsia" w:ascii="Times New Roman" w:hAnsi="Times New Roman" w:eastAsia="宋体" w:cs="Times New Roman"/>
          <w:color w:val="auto"/>
        </w:rPr>
        <w:t>1</w:t>
      </w:r>
      <w:r>
        <w:rPr>
          <w:rFonts w:hint="eastAsia" w:ascii="Times New Roman" w:hAnsi="Times New Roman" w:eastAsia="宋体" w:cs="Times New Roman"/>
          <w:color w:val="auto"/>
        </w:rPr>
        <w:fldChar w:fldCharType="end"/>
      </w:r>
      <w:r>
        <w:rPr>
          <w:rFonts w:hint="eastAsia" w:ascii="Times New Roman" w:hAnsi="Times New Roman" w:eastAsia="宋体" w:cs="Times New Roman"/>
          <w:color w:val="auto"/>
        </w:rPr>
        <w:t>项目进度安排</w:t>
      </w:r>
    </w:p>
    <w:tbl>
      <w:tblPr>
        <w:tblStyle w:val="15"/>
        <w:tblW w:w="8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8"/>
        <w:gridCol w:w="1448"/>
        <w:gridCol w:w="5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任务名称</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时间要求</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b w:val="0"/>
                <w:bCs w:val="0"/>
                <w:color w:val="auto"/>
                <w:sz w:val="21"/>
                <w:szCs w:val="21"/>
              </w:rPr>
              <w:t>项目实施方案编写</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合同签订后30日</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b/>
                <w:color w:val="auto"/>
                <w:sz w:val="21"/>
                <w:szCs w:val="21"/>
              </w:rPr>
              <w:t>主要内容</w:t>
            </w:r>
            <w:r>
              <w:rPr>
                <w:rFonts w:hint="eastAsia" w:ascii="Times New Roman" w:hAnsi="Times New Roman" w:eastAsia="宋体" w:cs="Times New Roman"/>
                <w:color w:val="auto"/>
                <w:sz w:val="21"/>
                <w:szCs w:val="21"/>
              </w:rPr>
              <w:t>：</w:t>
            </w:r>
          </w:p>
          <w:p>
            <w:pPr>
              <w:keepNext w:val="0"/>
              <w:keepLines w:val="0"/>
              <w:numPr>
                <w:ilvl w:val="0"/>
                <w:numId w:val="0"/>
              </w:numPr>
              <w:suppressLineNumbers w:val="0"/>
              <w:spacing w:before="0" w:beforeAutospacing="0" w:after="0" w:afterAutospacing="0" w:line="240" w:lineRule="auto"/>
              <w:ind w:left="425" w:leftChars="0" w:right="0" w:rightChars="0" w:hanging="425" w:firstLineChars="0"/>
              <w:jc w:val="both"/>
              <w:rPr>
                <w:rFonts w:hint="eastAsia"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sz w:val="21"/>
                <w:szCs w:val="21"/>
              </w:rPr>
              <w:t>成立项目组，制定工作计划；</w:t>
            </w:r>
          </w:p>
          <w:p>
            <w:pPr>
              <w:keepNext w:val="0"/>
              <w:keepLines w:val="0"/>
              <w:numPr>
                <w:ilvl w:val="0"/>
                <w:numId w:val="0"/>
              </w:numPr>
              <w:suppressLineNumbers w:val="0"/>
              <w:spacing w:before="0" w:beforeAutospacing="0" w:after="0" w:afterAutospacing="0" w:line="240" w:lineRule="auto"/>
              <w:ind w:left="425" w:leftChars="0" w:right="0" w:rightChars="0" w:hanging="425" w:firstLineChars="0"/>
              <w:jc w:val="both"/>
              <w:rPr>
                <w:rFonts w:hint="eastAsia"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sz w:val="21"/>
                <w:szCs w:val="21"/>
              </w:rPr>
              <w:t>编写项目实施方案。</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交付项：</w:t>
            </w:r>
          </w:p>
          <w:p>
            <w:pPr>
              <w:keepNext w:val="0"/>
              <w:keepLines w:val="0"/>
              <w:suppressLineNumbers w:val="0"/>
              <w:spacing w:before="0" w:beforeAutospacing="0" w:after="0" w:afterAutospacing="0" w:line="240" w:lineRule="auto"/>
              <w:ind w:left="0" w:leftChars="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项目具体实施方案，包括详细的技术实施方案与团队管理方案。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vAlign w:val="center"/>
          </w:tcPr>
          <w:p>
            <w:pPr>
              <w:pStyle w:val="6"/>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不同扰动信号下柔性直流换流器阻抗和电网阻抗的可观测性研究</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w:t>
            </w:r>
          </w:p>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cs="Times New Roman"/>
                <w:color w:val="auto"/>
                <w:sz w:val="21"/>
                <w:szCs w:val="21"/>
                <w:lang w:val="en-US" w:eastAsia="zh-CN"/>
              </w:rPr>
              <w:t>4</w:t>
            </w:r>
            <w:r>
              <w:rPr>
                <w:rFonts w:hint="eastAsia" w:ascii="Times New Roman" w:hAnsi="Times New Roman" w:eastAsia="宋体" w:cs="Times New Roman"/>
                <w:color w:val="auto"/>
                <w:sz w:val="21"/>
                <w:szCs w:val="21"/>
              </w:rPr>
              <w:t>个月</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b/>
                <w:color w:val="auto"/>
                <w:sz w:val="21"/>
                <w:szCs w:val="21"/>
              </w:rPr>
              <w:t>主要内容</w:t>
            </w:r>
            <w:r>
              <w:rPr>
                <w:rFonts w:hint="eastAsia" w:ascii="Times New Roman" w:hAnsi="Times New Roman" w:eastAsia="宋体" w:cs="Times New Roman"/>
                <w:color w:val="auto"/>
                <w:sz w:val="21"/>
                <w:szCs w:val="21"/>
              </w:rPr>
              <w:t>：</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研究宽频扰动信号注入方法</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Pr>
              <w:t>分析不同扰动信号下柔性直流换流器阻抗和电网阻抗的可观测性。</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交付项：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不同扰动信号下柔性直流换流器阻抗和电网阻抗的可观测性研究报告</w:t>
            </w:r>
            <w:r>
              <w:rPr>
                <w:rFonts w:hint="eastAsia" w:ascii="Times New Roman" w:hAnsi="Times New Roman" w:eastAsia="宋体" w:cs="Times New Roman"/>
                <w:color w:val="auto"/>
                <w:sz w:val="21"/>
                <w:szCs w:val="21"/>
                <w:lang w:val="en-US" w:eastAsia="zh-CN"/>
              </w:rPr>
              <w:t>1</w:t>
            </w:r>
            <w:r>
              <w:rPr>
                <w:rFonts w:hint="eastAsia" w:ascii="Times New Roman" w:hAnsi="Times New Roman" w:eastAsia="宋体" w:cs="Times New Roman"/>
                <w:color w:val="auto"/>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vAlign w:val="center"/>
          </w:tcPr>
          <w:p>
            <w:pPr>
              <w:pStyle w:val="6"/>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测量误差及噪声对阻抗测量结果的影响研究</w:t>
            </w:r>
          </w:p>
        </w:tc>
        <w:tc>
          <w:tcPr>
            <w:tcW w:w="1448"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w:t>
            </w:r>
          </w:p>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cs="Times New Roman"/>
                <w:color w:val="auto"/>
                <w:sz w:val="21"/>
                <w:szCs w:val="21"/>
                <w:lang w:val="en-US" w:eastAsia="zh-CN"/>
              </w:rPr>
              <w:t>8</w:t>
            </w:r>
            <w:r>
              <w:rPr>
                <w:rFonts w:hint="eastAsia" w:ascii="Times New Roman" w:hAnsi="Times New Roman" w:eastAsia="宋体" w:cs="Times New Roman"/>
                <w:color w:val="auto"/>
                <w:sz w:val="21"/>
                <w:szCs w:val="21"/>
              </w:rPr>
              <w:t>个月</w:t>
            </w:r>
          </w:p>
        </w:tc>
        <w:tc>
          <w:tcPr>
            <w:tcW w:w="5347"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主要内容：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分析测量误差、噪声对测量结果的影响。</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交付项：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测量误差及噪声对阻抗测量结果的影响研究报告</w:t>
            </w:r>
            <w:r>
              <w:rPr>
                <w:rFonts w:hint="eastAsia" w:ascii="Times New Roman" w:hAnsi="Times New Roman" w:eastAsia="宋体" w:cs="Times New Roman"/>
                <w:color w:val="auto"/>
                <w:sz w:val="21"/>
                <w:szCs w:val="21"/>
                <w:lang w:val="en-US" w:eastAsia="zh-CN"/>
              </w:rPr>
              <w:t>1</w:t>
            </w:r>
            <w:r>
              <w:rPr>
                <w:rFonts w:hint="eastAsia" w:ascii="Times New Roman" w:hAnsi="Times New Roman" w:eastAsia="宋体" w:cs="Times New Roman"/>
                <w:color w:val="auto"/>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谐波信号提取与宽频阻抗计算方法研究</w:t>
            </w:r>
          </w:p>
        </w:tc>
        <w:tc>
          <w:tcPr>
            <w:tcW w:w="1448"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w:t>
            </w:r>
            <w:r>
              <w:rPr>
                <w:rFonts w:hint="eastAsia" w:cs="Times New Roman"/>
                <w:color w:val="auto"/>
                <w:sz w:val="21"/>
                <w:szCs w:val="21"/>
                <w:lang w:val="en-US" w:eastAsia="zh-CN"/>
              </w:rPr>
              <w:t>11</w:t>
            </w:r>
            <w:r>
              <w:rPr>
                <w:rFonts w:hint="eastAsia" w:ascii="Times New Roman" w:hAnsi="Times New Roman" w:eastAsia="宋体" w:cs="Times New Roman"/>
                <w:color w:val="auto"/>
                <w:sz w:val="21"/>
                <w:szCs w:val="21"/>
              </w:rPr>
              <w:t>个月</w:t>
            </w:r>
          </w:p>
        </w:tc>
        <w:tc>
          <w:tcPr>
            <w:tcW w:w="5347"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主要内容：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提出谐波信号提取与宽频阻抗计算方法。</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交付项：</w:t>
            </w:r>
          </w:p>
          <w:p>
            <w:pPr>
              <w:keepNext w:val="0"/>
              <w:keepLines w:val="0"/>
              <w:numPr>
                <w:ilvl w:val="0"/>
                <w:numId w:val="0"/>
              </w:numPr>
              <w:suppressLineNumbers w:val="0"/>
              <w:spacing w:before="0" w:beforeAutospacing="0" w:after="0" w:afterAutospacing="0" w:line="240" w:lineRule="auto"/>
              <w:ind w:left="0" w:leftChars="0" w:right="0" w:rightChars="0"/>
              <w:jc w:val="both"/>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谐波信号提取与宽频阻抗计算方法研究</w:t>
            </w:r>
            <w:r>
              <w:rPr>
                <w:rFonts w:hint="default" w:ascii="Times New Roman" w:hAnsi="Times New Roman" w:eastAsia="宋体" w:cs="Times New Roman"/>
                <w:color w:val="auto"/>
                <w:sz w:val="21"/>
                <w:szCs w:val="21"/>
              </w:rPr>
              <w:t>报告1份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vAlign w:val="center"/>
          </w:tcPr>
          <w:p>
            <w:pPr>
              <w:pStyle w:val="6"/>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合同</w:t>
            </w:r>
            <w:r>
              <w:rPr>
                <w:rFonts w:hint="eastAsia" w:ascii="Times New Roman" w:hAnsi="Times New Roman" w:eastAsia="宋体" w:cs="Times New Roman"/>
                <w:color w:val="auto"/>
                <w:sz w:val="21"/>
                <w:szCs w:val="21"/>
              </w:rPr>
              <w:t>中期检查</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12</w:t>
            </w:r>
            <w:r>
              <w:rPr>
                <w:rFonts w:hint="eastAsia" w:ascii="Times New Roman" w:hAnsi="Times New Roman" w:eastAsia="宋体" w:cs="Times New Roman"/>
                <w:color w:val="auto"/>
                <w:sz w:val="21"/>
                <w:szCs w:val="21"/>
              </w:rPr>
              <w:t>个月</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不晚于</w:t>
            </w:r>
            <w:r>
              <w:rPr>
                <w:rFonts w:hint="eastAsia" w:ascii="Times New Roman" w:hAnsi="Times New Roman" w:eastAsia="宋体" w:cs="Times New Roman"/>
                <w:bCs/>
                <w:color w:val="auto"/>
                <w:sz w:val="21"/>
                <w:szCs w:val="21"/>
                <w:highlight w:val="none"/>
                <w:lang w:val="en-US" w:eastAsia="zh-CN"/>
              </w:rPr>
              <w:t>2027</w:t>
            </w:r>
            <w:r>
              <w:rPr>
                <w:rFonts w:hint="eastAsia" w:ascii="Times New Roman" w:hAnsi="Times New Roman" w:eastAsia="宋体" w:cs="Times New Roman"/>
                <w:bCs/>
                <w:color w:val="auto"/>
                <w:sz w:val="21"/>
                <w:szCs w:val="21"/>
                <w:highlight w:val="none"/>
              </w:rPr>
              <w:t>年</w:t>
            </w:r>
            <w:r>
              <w:rPr>
                <w:rFonts w:hint="eastAsia" w:cs="Times New Roman"/>
                <w:bCs/>
                <w:color w:val="auto"/>
                <w:sz w:val="21"/>
                <w:szCs w:val="21"/>
                <w:highlight w:val="none"/>
                <w:lang w:val="en-US" w:eastAsia="zh-CN"/>
              </w:rPr>
              <w:t>1</w:t>
            </w:r>
            <w:r>
              <w:rPr>
                <w:rFonts w:hint="eastAsia" w:ascii="Times New Roman" w:hAnsi="Times New Roman" w:eastAsia="宋体" w:cs="Times New Roman"/>
                <w:bCs/>
                <w:color w:val="auto"/>
                <w:sz w:val="21"/>
                <w:szCs w:val="21"/>
                <w:highlight w:val="none"/>
              </w:rPr>
              <w:t>月</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主要内容：</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sz w:val="21"/>
                <w:szCs w:val="21"/>
              </w:rPr>
              <w:t>组织相关专家对项目阶段性研究成果、下阶段研究思路及技术路线等进行评审</w:t>
            </w:r>
            <w:r>
              <w:rPr>
                <w:rFonts w:hint="eastAsia" w:ascii="Times New Roman" w:hAnsi="Times New Roman" w:eastAsia="宋体" w:cs="Times New Roman"/>
                <w:color w:val="auto"/>
                <w:sz w:val="21"/>
                <w:szCs w:val="21"/>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sz w:val="21"/>
                <w:szCs w:val="21"/>
              </w:rPr>
              <w:t>主动支撑型柔性直流系统交直流宽频阻抗量测技术研究报告初稿</w:t>
            </w:r>
            <w:r>
              <w:rPr>
                <w:rFonts w:hint="eastAsia" w:ascii="Times New Roman" w:hAnsi="Times New Roman" w:eastAsia="宋体" w:cs="Times New Roman"/>
                <w:color w:val="auto"/>
                <w:sz w:val="21"/>
                <w:szCs w:val="21"/>
                <w:lang w:eastAsia="zh-CN"/>
              </w:rPr>
              <w:t>。</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交付项：</w:t>
            </w:r>
          </w:p>
          <w:p>
            <w:pPr>
              <w:keepNext w:val="0"/>
              <w:keepLines w:val="0"/>
              <w:numPr>
                <w:ilvl w:val="0"/>
                <w:numId w:val="0"/>
              </w:numPr>
              <w:suppressLineNumbers w:val="0"/>
              <w:spacing w:before="0" w:beforeAutospacing="0" w:after="0" w:afterAutospacing="0" w:line="240" w:lineRule="auto"/>
              <w:ind w:left="425" w:leftChars="0" w:right="0" w:rightChars="0" w:hanging="425" w:firstLineChars="0"/>
              <w:jc w:val="both"/>
              <w:rPr>
                <w:rFonts w:hint="default" w:ascii="Times New Roman" w:hAnsi="Times New Roman" w:eastAsia="宋体" w:cs="Times New Roman"/>
                <w:color w:val="auto"/>
                <w:sz w:val="21"/>
                <w:szCs w:val="21"/>
              </w:rPr>
            </w:pPr>
            <w:r>
              <w:rPr>
                <w:rFonts w:hint="default" w:ascii="宋体" w:hAnsi="宋体" w:eastAsia="宋体" w:cs="宋体"/>
                <w:color w:val="auto"/>
                <w:kern w:val="2"/>
                <w:sz w:val="21"/>
                <w:szCs w:val="21"/>
                <w:lang w:val="en-US" w:eastAsia="zh-CN" w:bidi="ar-SA"/>
              </w:rPr>
              <w:t>(</w:t>
            </w:r>
            <w:r>
              <w:rPr>
                <w:rFonts w:hint="eastAsia" w:ascii="宋体" w:hAnsi="宋体" w:cs="宋体"/>
                <w:color w:val="auto"/>
                <w:kern w:val="2"/>
                <w:sz w:val="21"/>
                <w:szCs w:val="21"/>
                <w:lang w:val="en-US" w:eastAsia="zh-CN" w:bidi="ar-SA"/>
              </w:rPr>
              <w:t>1</w:t>
            </w:r>
            <w:r>
              <w:rPr>
                <w:rFonts w:hint="default" w:ascii="宋体" w:hAnsi="宋体" w:eastAsia="宋体" w:cs="宋体"/>
                <w:color w:val="auto"/>
                <w:kern w:val="2"/>
                <w:sz w:val="21"/>
                <w:szCs w:val="21"/>
                <w:lang w:val="en-US" w:eastAsia="zh-CN" w:bidi="ar-SA"/>
              </w:rPr>
              <w:t>)</w:t>
            </w:r>
            <w:r>
              <w:rPr>
                <w:rFonts w:hint="eastAsia" w:ascii="Times New Roman" w:hAnsi="Times New Roman" w:eastAsia="宋体" w:cs="Times New Roman"/>
                <w:color w:val="auto"/>
                <w:sz w:val="21"/>
                <w:szCs w:val="21"/>
              </w:rPr>
              <w:t>中期汇报PPT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柔性直流换流器阻抗和电网阻抗测量方法验证</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w:t>
            </w:r>
          </w:p>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cs="Times New Roman"/>
                <w:color w:val="auto"/>
                <w:sz w:val="21"/>
                <w:szCs w:val="21"/>
                <w:lang w:val="en-US" w:eastAsia="zh-CN"/>
              </w:rPr>
              <w:t>18</w:t>
            </w:r>
            <w:r>
              <w:rPr>
                <w:rFonts w:hint="eastAsia" w:ascii="Times New Roman" w:hAnsi="Times New Roman" w:eastAsia="宋体" w:cs="Times New Roman"/>
                <w:color w:val="auto"/>
                <w:sz w:val="21"/>
                <w:szCs w:val="21"/>
              </w:rPr>
              <w:t>个月</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主要内容：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搭建仿真模型，验证所提出的特高压柔性直流换流器阻抗和电网阻抗测量方法的准确性</w:t>
            </w:r>
            <w:r>
              <w:rPr>
                <w:rFonts w:hint="eastAsia" w:ascii="Times New Roman" w:hAnsi="Times New Roman" w:eastAsia="宋体" w:cs="Times New Roman"/>
                <w:color w:val="auto"/>
                <w:sz w:val="21"/>
                <w:szCs w:val="21"/>
                <w:lang w:eastAsia="zh-CN"/>
              </w:rPr>
              <w:t>。</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交付项：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(1)</w:t>
            </w:r>
            <w:r>
              <w:rPr>
                <w:rFonts w:hint="eastAsia" w:ascii="Times New Roman" w:hAnsi="Times New Roman" w:eastAsia="宋体" w:cs="Times New Roman"/>
                <w:color w:val="auto"/>
                <w:sz w:val="21"/>
                <w:szCs w:val="21"/>
              </w:rPr>
              <w:t>仿真建模报告1份；</w:t>
            </w:r>
          </w:p>
          <w:p>
            <w:pPr>
              <w:keepNext w:val="0"/>
              <w:keepLines w:val="0"/>
              <w:suppressLineNumbers w:val="0"/>
              <w:spacing w:before="0" w:beforeAutospacing="0" w:after="0" w:afterAutospacing="0" w:line="240" w:lineRule="auto"/>
              <w:ind w:left="0" w:right="0" w:firstLine="0" w:firstLineChars="0"/>
              <w:jc w:val="both"/>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(2)</w:t>
            </w:r>
            <w:r>
              <w:rPr>
                <w:rFonts w:hint="eastAsia" w:ascii="Times New Roman" w:hAnsi="Times New Roman" w:eastAsia="宋体" w:cs="Times New Roman"/>
                <w:color w:val="auto"/>
                <w:sz w:val="21"/>
                <w:szCs w:val="21"/>
              </w:rPr>
              <w:t>柔性直流换流器阻抗和电网阻抗测量方法验证报告1份。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lang w:val="en-US" w:eastAsia="zh-CN"/>
              </w:rPr>
            </w:pPr>
            <w:bookmarkStart w:id="42" w:name="_Toc309805604"/>
            <w:bookmarkStart w:id="43" w:name="_Toc531004215"/>
            <w:bookmarkStart w:id="44" w:name="_Toc309593280"/>
            <w:bookmarkStart w:id="45" w:name="_Toc312827040"/>
            <w:bookmarkStart w:id="46" w:name="_Toc441483969"/>
            <w:bookmarkStart w:id="47" w:name="_Toc309593209"/>
            <w:r>
              <w:rPr>
                <w:rFonts w:hint="eastAsia" w:ascii="Times New Roman" w:hAnsi="Times New Roman" w:eastAsia="宋体" w:cs="Times New Roman"/>
                <w:color w:val="auto"/>
                <w:sz w:val="21"/>
                <w:szCs w:val="21"/>
              </w:rPr>
              <w:t>特高压柔性直流系统交直流宽频阻抗量测技术工程应用</w:t>
            </w:r>
            <w:r>
              <w:rPr>
                <w:rFonts w:hint="eastAsia" w:ascii="Times New Roman" w:hAnsi="Times New Roman" w:eastAsia="宋体" w:cs="Times New Roman"/>
                <w:color w:val="auto"/>
                <w:sz w:val="21"/>
                <w:szCs w:val="21"/>
                <w:lang w:val="en-US" w:eastAsia="zh-CN"/>
              </w:rPr>
              <w:t>研究</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合同签订后</w:t>
            </w:r>
          </w:p>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rPr>
            </w:pPr>
            <w:r>
              <w:rPr>
                <w:rFonts w:hint="eastAsia" w:cs="Times New Roman"/>
                <w:color w:val="auto"/>
                <w:sz w:val="21"/>
                <w:szCs w:val="21"/>
                <w:lang w:val="en-US" w:eastAsia="zh-CN"/>
              </w:rPr>
              <w:t>22</w:t>
            </w:r>
            <w:r>
              <w:rPr>
                <w:rFonts w:hint="eastAsia" w:ascii="Times New Roman" w:hAnsi="Times New Roman" w:eastAsia="宋体" w:cs="Times New Roman"/>
                <w:color w:val="auto"/>
                <w:sz w:val="21"/>
                <w:szCs w:val="21"/>
              </w:rPr>
              <w:t>个月</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主要内容：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研究并提出特高压柔性直流系统交直流宽频阻抗量测技术工程应用方案</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交付项：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特高压柔性直流系统交直流宽频阻抗量测技术工程应用方案</w:t>
            </w:r>
            <w:r>
              <w:rPr>
                <w:rFonts w:hint="default" w:ascii="Times New Roman" w:hAnsi="Times New Roman" w:eastAsia="宋体" w:cs="Times New Roman"/>
                <w:color w:val="auto"/>
                <w:sz w:val="21"/>
                <w:szCs w:val="21"/>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合同验收</w:t>
            </w:r>
          </w:p>
        </w:tc>
        <w:tc>
          <w:tcPr>
            <w:tcW w:w="1448"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rPr>
              <w:t>合同签订后</w:t>
            </w:r>
            <w:r>
              <w:rPr>
                <w:rFonts w:hint="eastAsia" w:cs="Times New Roman"/>
                <w:color w:val="auto"/>
                <w:sz w:val="21"/>
                <w:szCs w:val="21"/>
                <w:lang w:val="en-US" w:eastAsia="zh-CN"/>
              </w:rPr>
              <w:t>24</w:t>
            </w:r>
            <w:r>
              <w:rPr>
                <w:rFonts w:hint="eastAsia" w:ascii="Times New Roman" w:hAnsi="Times New Roman" w:eastAsia="宋体" w:cs="Times New Roman"/>
                <w:color w:val="auto"/>
                <w:sz w:val="21"/>
                <w:szCs w:val="21"/>
              </w:rPr>
              <w:t>个月</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不晚于202</w:t>
            </w:r>
            <w:r>
              <w:rPr>
                <w:rFonts w:hint="eastAsia" w:cs="Times New Roman"/>
                <w:color w:val="auto"/>
                <w:sz w:val="21"/>
                <w:szCs w:val="21"/>
                <w:lang w:val="en-US" w:eastAsia="zh-CN"/>
              </w:rPr>
              <w:t>8</w:t>
            </w:r>
            <w:r>
              <w:rPr>
                <w:rFonts w:hint="eastAsia" w:ascii="Times New Roman" w:hAnsi="Times New Roman" w:eastAsia="宋体" w:cs="Times New Roman"/>
                <w:color w:val="auto"/>
                <w:sz w:val="21"/>
                <w:szCs w:val="21"/>
                <w:lang w:val="en-US" w:eastAsia="zh-CN"/>
              </w:rPr>
              <w:t>年</w:t>
            </w:r>
            <w:r>
              <w:rPr>
                <w:rFonts w:hint="eastAsia"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月</w:t>
            </w:r>
          </w:p>
        </w:tc>
        <w:tc>
          <w:tcPr>
            <w:tcW w:w="5347" w:type="dxa"/>
            <w:vAlign w:val="center"/>
          </w:tcPr>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主要内容：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(1)</w:t>
            </w:r>
            <w:r>
              <w:rPr>
                <w:rFonts w:hint="eastAsia" w:ascii="Times New Roman" w:hAnsi="Times New Roman" w:eastAsia="宋体" w:cs="Times New Roman"/>
                <w:color w:val="auto"/>
                <w:sz w:val="21"/>
                <w:szCs w:val="21"/>
              </w:rPr>
              <w:t>整理、编写相关验收材料；</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(2)</w:t>
            </w:r>
            <w:r>
              <w:rPr>
                <w:rFonts w:hint="eastAsia" w:ascii="Times New Roman" w:hAnsi="Times New Roman" w:eastAsia="宋体" w:cs="Times New Roman"/>
                <w:color w:val="auto"/>
                <w:sz w:val="21"/>
                <w:szCs w:val="21"/>
              </w:rPr>
              <w:t>按既定考核方法及考核指标，组织专家对项目材料及研究成果进行评审、验收。</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交付项：</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(1)</w:t>
            </w:r>
            <w:r>
              <w:rPr>
                <w:rFonts w:hint="eastAsia" w:ascii="Times New Roman" w:hAnsi="Times New Roman" w:eastAsia="宋体" w:cs="Times New Roman"/>
                <w:color w:val="auto"/>
                <w:sz w:val="21"/>
                <w:szCs w:val="21"/>
              </w:rPr>
              <w:t>主动支撑型柔性直流系统交直流宽频阻抗量测技术研究报告终稿，项目汇报PPT 1份；</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rPr>
              <w:t>项目审核验收相关材料。</w:t>
            </w:r>
          </w:p>
        </w:tc>
      </w:tr>
    </w:tbl>
    <w:p>
      <w:pPr>
        <w:pStyle w:val="2"/>
        <w:spacing w:before="312" w:after="156"/>
        <w:rPr>
          <w:rFonts w:hint="eastAsia" w:ascii="Times New Roman" w:hAnsi="Times New Roman" w:eastAsia="宋体" w:cs="Times New Roman"/>
          <w:color w:val="auto"/>
        </w:rPr>
      </w:pPr>
      <w:bookmarkStart w:id="48" w:name="_Toc30388"/>
      <w:r>
        <w:rPr>
          <w:rFonts w:hint="eastAsia" w:ascii="Times New Roman" w:hAnsi="Times New Roman" w:eastAsia="宋体" w:cs="Times New Roman"/>
          <w:color w:val="auto"/>
          <w:lang w:val="en-US" w:eastAsia="zh-CN"/>
        </w:rPr>
        <w:t>合同</w:t>
      </w:r>
      <w:r>
        <w:rPr>
          <w:rFonts w:hint="eastAsia" w:ascii="Times New Roman" w:hAnsi="Times New Roman" w:eastAsia="宋体" w:cs="Times New Roman"/>
          <w:color w:val="auto"/>
        </w:rPr>
        <w:t>验收、交付和技术服务</w:t>
      </w:r>
      <w:bookmarkEnd w:id="42"/>
      <w:bookmarkEnd w:id="43"/>
      <w:bookmarkEnd w:id="44"/>
      <w:bookmarkEnd w:id="45"/>
      <w:bookmarkEnd w:id="46"/>
      <w:bookmarkEnd w:id="47"/>
      <w:bookmarkEnd w:id="48"/>
    </w:p>
    <w:p>
      <w:pPr>
        <w:pStyle w:val="28"/>
        <w:spacing w:before="156" w:after="156"/>
        <w:rPr>
          <w:rFonts w:hint="eastAsia" w:ascii="Times New Roman" w:hAnsi="Times New Roman" w:eastAsia="宋体" w:cs="Times New Roman"/>
          <w:color w:val="auto"/>
        </w:rPr>
      </w:pPr>
      <w:bookmarkStart w:id="49" w:name="_Toc309593281"/>
      <w:bookmarkStart w:id="50" w:name="_Toc309805605"/>
      <w:bookmarkStart w:id="51" w:name="_Toc312827041"/>
      <w:bookmarkStart w:id="52" w:name="_Toc309593210"/>
      <w:r>
        <w:rPr>
          <w:rFonts w:hint="eastAsia" w:ascii="Times New Roman" w:hAnsi="Times New Roman" w:eastAsia="宋体" w:cs="Times New Roman"/>
          <w:color w:val="auto"/>
        </w:rPr>
        <w:t>7.1</w:t>
      </w:r>
      <w:r>
        <w:rPr>
          <w:rFonts w:hint="eastAsia" w:ascii="Times New Roman" w:hAnsi="Times New Roman" w:eastAsia="宋体" w:cs="Times New Roman"/>
          <w:color w:val="auto"/>
          <w:lang w:val="en-US" w:eastAsia="zh-CN"/>
        </w:rPr>
        <w:t>合同</w:t>
      </w:r>
      <w:r>
        <w:rPr>
          <w:rFonts w:hint="eastAsia" w:ascii="Times New Roman" w:hAnsi="Times New Roman" w:eastAsia="宋体" w:cs="Times New Roman"/>
          <w:color w:val="auto"/>
        </w:rPr>
        <w:t>验收</w:t>
      </w:r>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rPr>
        <w:t>投标方在自评具备验收条件后提出验收申请，招标方在收到验收申请后组织专家对所有项目材料和相关成果进行评审，开展项目验收。验收按照招标方制定的验收方案具体实施，方案将包括验收项目、验收目的、验收标准、验收人员等。项目验收后，验收人员将根据实际情况提出验收报告，如若有需要整改的内容，投标方在验收后应主动配合招标方严格按照整改意见进行整改完善。</w:t>
      </w:r>
    </w:p>
    <w:p>
      <w:pPr>
        <w:pStyle w:val="28"/>
        <w:spacing w:before="156" w:after="156"/>
        <w:rPr>
          <w:rFonts w:hint="eastAsia" w:ascii="Times New Roman" w:hAnsi="Times New Roman" w:eastAsia="宋体" w:cs="Times New Roman"/>
          <w:color w:val="auto"/>
        </w:rPr>
      </w:pPr>
      <w:r>
        <w:rPr>
          <w:rFonts w:hint="eastAsia" w:ascii="Times New Roman" w:hAnsi="Times New Roman" w:eastAsia="宋体" w:cs="Times New Roman"/>
          <w:color w:val="auto"/>
        </w:rPr>
        <w:t>7.2</w:t>
      </w:r>
      <w:r>
        <w:rPr>
          <w:rFonts w:hint="eastAsia" w:ascii="Times New Roman" w:hAnsi="Times New Roman" w:eastAsia="宋体" w:cs="Times New Roman"/>
          <w:color w:val="auto"/>
          <w:lang w:val="en-US" w:eastAsia="zh-CN"/>
        </w:rPr>
        <w:t>合同</w:t>
      </w:r>
      <w:r>
        <w:rPr>
          <w:rFonts w:hint="eastAsia" w:ascii="Times New Roman" w:hAnsi="Times New Roman" w:eastAsia="宋体" w:cs="Times New Roman"/>
          <w:color w:val="auto"/>
        </w:rPr>
        <w:t>交付</w:t>
      </w:r>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rPr>
        <w:t>投标方应在合同规定时间内，将本技术规范书所界定的工作完成，并在通过双方认可的验收后，交付给招标方。</w:t>
      </w:r>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rPr>
        <w:t>交付项主要包括以下项目：</w:t>
      </w:r>
    </w:p>
    <w:p>
      <w:pPr>
        <w:numPr>
          <w:ilvl w:val="0"/>
          <w:numId w:val="3"/>
        </w:numPr>
        <w:tabs>
          <w:tab w:val="left" w:pos="851"/>
        </w:tabs>
        <w:ind w:firstLine="480"/>
        <w:rPr>
          <w:rFonts w:ascii="Times New Roman" w:hAnsi="Times New Roman" w:eastAsia="宋体" w:cs="Times New Roman"/>
          <w:color w:val="auto"/>
        </w:rPr>
      </w:pPr>
      <w:r>
        <w:rPr>
          <w:rFonts w:hint="eastAsia" w:ascii="Times New Roman" w:hAnsi="Times New Roman" w:eastAsia="宋体" w:cs="Times New Roman"/>
          <w:color w:val="auto"/>
          <w:lang w:val="en-US" w:eastAsia="zh-CN"/>
        </w:rPr>
        <w:t>项目实施方案1份；</w:t>
      </w:r>
    </w:p>
    <w:p>
      <w:pPr>
        <w:numPr>
          <w:ilvl w:val="0"/>
          <w:numId w:val="3"/>
        </w:numPr>
        <w:tabs>
          <w:tab w:val="left" w:pos="851"/>
        </w:tabs>
        <w:ind w:firstLine="480"/>
        <w:rPr>
          <w:rFonts w:ascii="Times New Roman" w:hAnsi="Times New Roman" w:eastAsia="宋体" w:cs="Times New Roman"/>
          <w:color w:val="auto"/>
        </w:rPr>
      </w:pPr>
      <w:r>
        <w:rPr>
          <w:rFonts w:hint="eastAsia" w:ascii="Times New Roman" w:hAnsi="Times New Roman" w:eastAsia="宋体" w:cs="Times New Roman"/>
          <w:color w:val="auto"/>
        </w:rPr>
        <w:t>验收报告1份。</w:t>
      </w:r>
    </w:p>
    <w:p>
      <w:pPr>
        <w:tabs>
          <w:tab w:val="left" w:pos="851"/>
        </w:tabs>
        <w:ind w:firstLine="480"/>
        <w:rPr>
          <w:rFonts w:ascii="Times New Roman" w:hAnsi="Times New Roman" w:eastAsia="宋体" w:cs="Times New Roman"/>
          <w:color w:val="auto"/>
        </w:rPr>
      </w:pPr>
      <w:r>
        <w:rPr>
          <w:rFonts w:hint="eastAsia" w:ascii="Times New Roman" w:hAnsi="Times New Roman" w:eastAsia="宋体" w:cs="Times New Roman"/>
          <w:color w:val="auto"/>
        </w:rPr>
        <w:t>（</w:t>
      </w:r>
      <w:r>
        <w:rPr>
          <w:rFonts w:hint="eastAsia" w:cs="Times New Roman"/>
          <w:color w:val="auto"/>
          <w:lang w:val="en-US" w:eastAsia="zh-CN"/>
        </w:rPr>
        <w:t>3</w:t>
      </w:r>
      <w:r>
        <w:rPr>
          <w:rFonts w:hint="eastAsia" w:ascii="Times New Roman" w:hAnsi="Times New Roman" w:eastAsia="宋体" w:cs="Times New Roman"/>
          <w:color w:val="auto"/>
        </w:rPr>
        <w:t>）项目审核验收所需的其它相关材料。</w:t>
      </w:r>
    </w:p>
    <w:p>
      <w:pPr>
        <w:pStyle w:val="28"/>
        <w:spacing w:before="156" w:after="156"/>
        <w:rPr>
          <w:rFonts w:hint="eastAsia" w:ascii="Times New Roman" w:hAnsi="Times New Roman" w:eastAsia="宋体" w:cs="Times New Roman"/>
          <w:color w:val="auto"/>
        </w:rPr>
      </w:pPr>
      <w:r>
        <w:rPr>
          <w:rFonts w:hint="eastAsia" w:ascii="Times New Roman" w:hAnsi="Times New Roman" w:eastAsia="宋体" w:cs="Times New Roman"/>
          <w:color w:val="auto"/>
        </w:rPr>
        <w:t>7.3技术服务</w:t>
      </w:r>
    </w:p>
    <w:bookmarkEnd w:id="49"/>
    <w:bookmarkEnd w:id="50"/>
    <w:bookmarkEnd w:id="51"/>
    <w:bookmarkEnd w:id="52"/>
    <w:p>
      <w:pPr>
        <w:ind w:left="7" w:leftChars="3" w:firstLine="480"/>
        <w:rPr>
          <w:rFonts w:hint="eastAsia" w:ascii="Times New Roman" w:hAnsi="Times New Roman" w:eastAsia="宋体" w:cs="Times New Roman"/>
          <w:color w:val="auto"/>
        </w:rPr>
      </w:pPr>
      <w:bookmarkStart w:id="53" w:name="_Toc309805609"/>
      <w:bookmarkStart w:id="54" w:name="_Toc312827045"/>
      <w:bookmarkStart w:id="55" w:name="_Toc441483970"/>
      <w:bookmarkStart w:id="56" w:name="_Toc531004216"/>
      <w:bookmarkStart w:id="57" w:name="_Toc309593285"/>
      <w:bookmarkStart w:id="58" w:name="_Toc309593214"/>
      <w:r>
        <w:rPr>
          <w:rFonts w:hint="eastAsia" w:ascii="Times New Roman" w:hAnsi="Times New Roman" w:eastAsia="宋体" w:cs="Times New Roman"/>
          <w:color w:val="auto"/>
        </w:rPr>
        <w:t>投标方应说明本项目实施组织方式、服务模式以及售后服务的开展方式。</w:t>
      </w:r>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rPr>
        <w:t>在项目实施期间，招标方可以派出技术人员参加项目的管理及实施，投标方有责任对其进行指导；在项目成果的运用期间，投标方应根据需要，派遣咨询人员到现场进行指导。</w:t>
      </w:r>
    </w:p>
    <w:p>
      <w:pPr>
        <w:ind w:left="7" w:leftChars="3" w:firstLine="480"/>
        <w:rPr>
          <w:rFonts w:hint="eastAsia" w:ascii="Times New Roman" w:hAnsi="Times New Roman" w:eastAsia="宋体" w:cs="Times New Roman"/>
          <w:color w:val="auto"/>
        </w:rPr>
      </w:pPr>
      <w:r>
        <w:rPr>
          <w:rFonts w:hint="eastAsia" w:ascii="Times New Roman" w:hAnsi="Times New Roman" w:eastAsia="宋体" w:cs="Times New Roman"/>
          <w:color w:val="auto"/>
        </w:rPr>
        <w:t>投标方需提供项目成果验收通过后12个月内的技术咨询、系统维护、系统消缺与功能完善等服务。</w:t>
      </w:r>
    </w:p>
    <w:p>
      <w:pPr>
        <w:ind w:left="7" w:leftChars="3" w:firstLine="480"/>
        <w:rPr>
          <w:rFonts w:ascii="Times New Roman" w:hAnsi="Times New Roman" w:eastAsia="宋体" w:cs="Times New Roman"/>
          <w:color w:val="auto"/>
        </w:rPr>
      </w:pPr>
      <w:r>
        <w:rPr>
          <w:rFonts w:hint="eastAsia" w:ascii="Times New Roman" w:hAnsi="Times New Roman" w:eastAsia="宋体" w:cs="Times New Roman"/>
          <w:color w:val="auto"/>
        </w:rPr>
        <w:t>投标方根据招标方需求，在项目实施阶段为投标方提供现场驻点服务。</w:t>
      </w:r>
    </w:p>
    <w:p>
      <w:pPr>
        <w:pStyle w:val="2"/>
        <w:spacing w:before="312" w:after="156"/>
        <w:rPr>
          <w:rFonts w:hint="eastAsia" w:ascii="Times New Roman" w:hAnsi="Times New Roman" w:eastAsia="宋体" w:cs="Times New Roman"/>
          <w:color w:val="auto"/>
        </w:rPr>
      </w:pPr>
      <w:bookmarkStart w:id="59" w:name="_Toc6815"/>
      <w:r>
        <w:rPr>
          <w:rFonts w:hint="eastAsia" w:ascii="Times New Roman" w:hAnsi="Times New Roman" w:eastAsia="宋体" w:cs="Times New Roman"/>
          <w:color w:val="auto"/>
        </w:rPr>
        <w:t>其他</w:t>
      </w:r>
      <w:bookmarkEnd w:id="53"/>
      <w:bookmarkEnd w:id="54"/>
      <w:bookmarkEnd w:id="55"/>
      <w:bookmarkEnd w:id="56"/>
      <w:bookmarkEnd w:id="57"/>
      <w:bookmarkEnd w:id="58"/>
      <w:bookmarkEnd w:id="59"/>
    </w:p>
    <w:p>
      <w:pPr>
        <w:ind w:left="7" w:leftChars="3" w:firstLine="480"/>
        <w:jc w:val="both"/>
        <w:rPr>
          <w:rFonts w:ascii="Times New Roman" w:hAnsi="Times New Roman" w:eastAsia="宋体" w:cs="Times New Roman"/>
          <w:color w:val="auto"/>
        </w:rPr>
      </w:pPr>
      <w:r>
        <w:rPr>
          <w:rFonts w:hint="eastAsia" w:ascii="Times New Roman" w:hAnsi="Times New Roman" w:eastAsia="宋体" w:cs="Times New Roman"/>
          <w:color w:val="auto"/>
        </w:rPr>
        <w:t>（1）招标完成后，双方保证对在履行此项目合同过程中所获悉的属于对方的商业秘密、技术秘密和其他经营管理信息、技术信息（包含：双方签订的合同及协议、相关的技术研究报告、相关的研究数据、图纸及研究方法等）等内容予以保密。未经一方同意，另一方不得向任何第三方泄露。无论此项目合同是否生效、被撤销、变更、解除或终止，双方仍应执行本保密条款。如有需要，双方另行签订保密协议。</w:t>
      </w:r>
    </w:p>
    <w:p>
      <w:pPr>
        <w:ind w:left="7" w:leftChars="3" w:firstLine="480"/>
        <w:jc w:val="both"/>
        <w:rPr>
          <w:rFonts w:ascii="Times New Roman" w:hAnsi="Times New Roman" w:eastAsia="宋体" w:cs="Times New Roman"/>
          <w:color w:val="auto"/>
        </w:rPr>
      </w:pPr>
      <w:r>
        <w:rPr>
          <w:rFonts w:hint="eastAsia" w:ascii="Times New Roman" w:hAnsi="Times New Roman" w:eastAsia="宋体" w:cs="Times New Roman"/>
          <w:color w:val="auto"/>
        </w:rPr>
        <w:t>（2）在合同签订后3个月内，技术服务提供方应向所在地区的技术合同登记机构提出合同认定登记申请，并取得登记证明。</w:t>
      </w:r>
    </w:p>
    <w:p>
      <w:pPr>
        <w:ind w:left="7" w:leftChars="3" w:firstLine="480"/>
        <w:jc w:val="both"/>
        <w:rPr>
          <w:rFonts w:ascii="Times New Roman" w:hAnsi="Times New Roman" w:eastAsia="宋体" w:cs="Times New Roman"/>
          <w:color w:val="auto"/>
        </w:rPr>
      </w:pPr>
      <w:r>
        <w:rPr>
          <w:rFonts w:hint="eastAsia" w:ascii="Times New Roman" w:hAnsi="Times New Roman" w:eastAsia="宋体" w:cs="Times New Roman"/>
          <w:color w:val="auto"/>
        </w:rPr>
        <w:t>（3）本技术规范书中的未尽事宜，请与中国南方电网超高压输电公司电力科研院联系。</w:t>
      </w:r>
    </w:p>
    <w:p>
      <w:pPr>
        <w:ind w:left="7" w:leftChars="3" w:firstLine="480"/>
        <w:rPr>
          <w:rFonts w:hint="eastAsia" w:ascii="Times New Roman" w:hAnsi="Times New Roman" w:eastAsia="宋体" w:cs="Times New Roman"/>
          <w:color w:val="auto"/>
        </w:rPr>
      </w:pPr>
    </w:p>
    <w:sectPr>
      <w:footerReference r:id="rId11"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w:fldChar w:fldCharType="begin"/>
    </w:r>
    <w:r>
      <w:instrText xml:space="preserve"> PAGE   \* MERGEFORMAT </w:instrText>
    </w:r>
    <w:r>
      <w:fldChar w:fldCharType="separate"/>
    </w:r>
    <w:r>
      <w:t>1</w:t>
    </w:r>
    <w:r>
      <w:fldChar w:fldCharType="end"/>
    </w:r>
  </w:p>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2"/>
      <w:suff w:val="space"/>
      <w:lvlText w:val="%1."/>
      <w:lvlJc w:val="left"/>
      <w:pPr>
        <w:ind w:left="0" w:firstLine="0"/>
      </w:pPr>
      <w:rPr>
        <w:rFonts w:hint="default" w:ascii="Times New Roman" w:hAnsi="Times New Roman" w:cs="Times New Roman"/>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0CD16784"/>
    <w:multiLevelType w:val="singleLevel"/>
    <w:tmpl w:val="0CD16784"/>
    <w:lvl w:ilvl="0" w:tentative="0">
      <w:start w:val="1"/>
      <w:numFmt w:val="decimal"/>
      <w:suff w:val="nothing"/>
      <w:lvlText w:val="（%1）"/>
      <w:lvlJc w:val="left"/>
    </w:lvl>
  </w:abstractNum>
  <w:abstractNum w:abstractNumId="2">
    <w:nsid w:val="1A1F705C"/>
    <w:multiLevelType w:val="singleLevel"/>
    <w:tmpl w:val="1A1F705C"/>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AzNzM1OTFkYzkwOWM3MjJhNTNmNjVmNDRjNDRmY2QifQ=="/>
  </w:docVars>
  <w:rsids>
    <w:rsidRoot w:val="00172A27"/>
    <w:rsid w:val="00002591"/>
    <w:rsid w:val="00003C77"/>
    <w:rsid w:val="00004157"/>
    <w:rsid w:val="000052EC"/>
    <w:rsid w:val="000258D4"/>
    <w:rsid w:val="00030479"/>
    <w:rsid w:val="00032717"/>
    <w:rsid w:val="00033440"/>
    <w:rsid w:val="00033F7F"/>
    <w:rsid w:val="00035681"/>
    <w:rsid w:val="00035D33"/>
    <w:rsid w:val="00044CDB"/>
    <w:rsid w:val="00050BDA"/>
    <w:rsid w:val="0005427D"/>
    <w:rsid w:val="00054AA8"/>
    <w:rsid w:val="00054F45"/>
    <w:rsid w:val="00055E63"/>
    <w:rsid w:val="00056767"/>
    <w:rsid w:val="000661E0"/>
    <w:rsid w:val="00070856"/>
    <w:rsid w:val="00072157"/>
    <w:rsid w:val="00075CEB"/>
    <w:rsid w:val="000802B5"/>
    <w:rsid w:val="00085586"/>
    <w:rsid w:val="000874A2"/>
    <w:rsid w:val="00095CB6"/>
    <w:rsid w:val="00096F1E"/>
    <w:rsid w:val="000A0883"/>
    <w:rsid w:val="000A0F6D"/>
    <w:rsid w:val="000A263D"/>
    <w:rsid w:val="000A722B"/>
    <w:rsid w:val="000B3BEC"/>
    <w:rsid w:val="000B435C"/>
    <w:rsid w:val="000B4BE8"/>
    <w:rsid w:val="000B5F9E"/>
    <w:rsid w:val="000D090E"/>
    <w:rsid w:val="000D5CC4"/>
    <w:rsid w:val="000E0018"/>
    <w:rsid w:val="000E0616"/>
    <w:rsid w:val="000E0E62"/>
    <w:rsid w:val="000E5032"/>
    <w:rsid w:val="000E5C42"/>
    <w:rsid w:val="000F0767"/>
    <w:rsid w:val="000F6477"/>
    <w:rsid w:val="00104CFA"/>
    <w:rsid w:val="00105C0B"/>
    <w:rsid w:val="00111650"/>
    <w:rsid w:val="001148D6"/>
    <w:rsid w:val="00122043"/>
    <w:rsid w:val="00122E5E"/>
    <w:rsid w:val="00122E78"/>
    <w:rsid w:val="00124416"/>
    <w:rsid w:val="00124504"/>
    <w:rsid w:val="0012745E"/>
    <w:rsid w:val="00135D83"/>
    <w:rsid w:val="00145895"/>
    <w:rsid w:val="00150A8E"/>
    <w:rsid w:val="00151D98"/>
    <w:rsid w:val="0016086E"/>
    <w:rsid w:val="001626EF"/>
    <w:rsid w:val="00166883"/>
    <w:rsid w:val="001668FD"/>
    <w:rsid w:val="001715EE"/>
    <w:rsid w:val="00171826"/>
    <w:rsid w:val="00172006"/>
    <w:rsid w:val="00172A27"/>
    <w:rsid w:val="00176332"/>
    <w:rsid w:val="00181E3B"/>
    <w:rsid w:val="001825A1"/>
    <w:rsid w:val="00186559"/>
    <w:rsid w:val="0018662B"/>
    <w:rsid w:val="001945DC"/>
    <w:rsid w:val="00197251"/>
    <w:rsid w:val="001A79DB"/>
    <w:rsid w:val="001B078A"/>
    <w:rsid w:val="001B531B"/>
    <w:rsid w:val="001C4316"/>
    <w:rsid w:val="001C52D8"/>
    <w:rsid w:val="001C5D9F"/>
    <w:rsid w:val="001C691F"/>
    <w:rsid w:val="001D1368"/>
    <w:rsid w:val="001D73FA"/>
    <w:rsid w:val="001D7C43"/>
    <w:rsid w:val="001E0D61"/>
    <w:rsid w:val="001E137D"/>
    <w:rsid w:val="001E16E7"/>
    <w:rsid w:val="001E240F"/>
    <w:rsid w:val="001E2619"/>
    <w:rsid w:val="001E5350"/>
    <w:rsid w:val="001E56E3"/>
    <w:rsid w:val="001F1B3A"/>
    <w:rsid w:val="001F2E26"/>
    <w:rsid w:val="001F5E12"/>
    <w:rsid w:val="00200344"/>
    <w:rsid w:val="00204DDE"/>
    <w:rsid w:val="00205D19"/>
    <w:rsid w:val="00206CA6"/>
    <w:rsid w:val="002129DB"/>
    <w:rsid w:val="00215454"/>
    <w:rsid w:val="00215C24"/>
    <w:rsid w:val="00216D64"/>
    <w:rsid w:val="002170DB"/>
    <w:rsid w:val="00221DD8"/>
    <w:rsid w:val="00223528"/>
    <w:rsid w:val="002241E5"/>
    <w:rsid w:val="00227267"/>
    <w:rsid w:val="002272F7"/>
    <w:rsid w:val="00232F10"/>
    <w:rsid w:val="00236563"/>
    <w:rsid w:val="002447E5"/>
    <w:rsid w:val="00244A2F"/>
    <w:rsid w:val="00244F7C"/>
    <w:rsid w:val="00254812"/>
    <w:rsid w:val="0025554B"/>
    <w:rsid w:val="00256DFA"/>
    <w:rsid w:val="002578A1"/>
    <w:rsid w:val="00263624"/>
    <w:rsid w:val="0026366A"/>
    <w:rsid w:val="00264ABC"/>
    <w:rsid w:val="00273D45"/>
    <w:rsid w:val="0027655A"/>
    <w:rsid w:val="00277AB6"/>
    <w:rsid w:val="00281CC3"/>
    <w:rsid w:val="00286DFD"/>
    <w:rsid w:val="0028743E"/>
    <w:rsid w:val="00293207"/>
    <w:rsid w:val="00296ABB"/>
    <w:rsid w:val="00297FC6"/>
    <w:rsid w:val="002A2204"/>
    <w:rsid w:val="002A2FF2"/>
    <w:rsid w:val="002A3CE3"/>
    <w:rsid w:val="002A4C4D"/>
    <w:rsid w:val="002B11FE"/>
    <w:rsid w:val="002B3FC8"/>
    <w:rsid w:val="002B6605"/>
    <w:rsid w:val="002C1684"/>
    <w:rsid w:val="002C3F8E"/>
    <w:rsid w:val="002C416A"/>
    <w:rsid w:val="002C6F94"/>
    <w:rsid w:val="002F3705"/>
    <w:rsid w:val="00303976"/>
    <w:rsid w:val="00304504"/>
    <w:rsid w:val="003056CF"/>
    <w:rsid w:val="00306833"/>
    <w:rsid w:val="00312F2A"/>
    <w:rsid w:val="00314FA6"/>
    <w:rsid w:val="00323D15"/>
    <w:rsid w:val="00331942"/>
    <w:rsid w:val="003374FB"/>
    <w:rsid w:val="00337E95"/>
    <w:rsid w:val="0035398A"/>
    <w:rsid w:val="00362DB5"/>
    <w:rsid w:val="00370CBE"/>
    <w:rsid w:val="00373759"/>
    <w:rsid w:val="00374D73"/>
    <w:rsid w:val="003778E2"/>
    <w:rsid w:val="00383D96"/>
    <w:rsid w:val="00384DD9"/>
    <w:rsid w:val="00387572"/>
    <w:rsid w:val="00390743"/>
    <w:rsid w:val="00394828"/>
    <w:rsid w:val="003A37FA"/>
    <w:rsid w:val="003B71DA"/>
    <w:rsid w:val="003C474C"/>
    <w:rsid w:val="003D0955"/>
    <w:rsid w:val="003D2D90"/>
    <w:rsid w:val="003D3789"/>
    <w:rsid w:val="003D42BF"/>
    <w:rsid w:val="003D518E"/>
    <w:rsid w:val="003D5A88"/>
    <w:rsid w:val="003E1652"/>
    <w:rsid w:val="003E7211"/>
    <w:rsid w:val="003F0E63"/>
    <w:rsid w:val="003F13C6"/>
    <w:rsid w:val="003F3D66"/>
    <w:rsid w:val="003F4AFD"/>
    <w:rsid w:val="003F5266"/>
    <w:rsid w:val="003F6308"/>
    <w:rsid w:val="003F6647"/>
    <w:rsid w:val="0040082D"/>
    <w:rsid w:val="0040604A"/>
    <w:rsid w:val="00407521"/>
    <w:rsid w:val="0041096A"/>
    <w:rsid w:val="00414022"/>
    <w:rsid w:val="004141AF"/>
    <w:rsid w:val="00420404"/>
    <w:rsid w:val="00424010"/>
    <w:rsid w:val="004319DD"/>
    <w:rsid w:val="00431A70"/>
    <w:rsid w:val="0043697B"/>
    <w:rsid w:val="0044008D"/>
    <w:rsid w:val="004428FF"/>
    <w:rsid w:val="004460FA"/>
    <w:rsid w:val="0046254A"/>
    <w:rsid w:val="00464CA7"/>
    <w:rsid w:val="004656FF"/>
    <w:rsid w:val="004715E2"/>
    <w:rsid w:val="00481534"/>
    <w:rsid w:val="004824FD"/>
    <w:rsid w:val="004830C7"/>
    <w:rsid w:val="00483253"/>
    <w:rsid w:val="00486E6D"/>
    <w:rsid w:val="00490469"/>
    <w:rsid w:val="00496968"/>
    <w:rsid w:val="00496BD2"/>
    <w:rsid w:val="004977C0"/>
    <w:rsid w:val="004A3092"/>
    <w:rsid w:val="004A373D"/>
    <w:rsid w:val="004A3D3B"/>
    <w:rsid w:val="004A5258"/>
    <w:rsid w:val="004B422D"/>
    <w:rsid w:val="004B73DC"/>
    <w:rsid w:val="004B7665"/>
    <w:rsid w:val="004C2C32"/>
    <w:rsid w:val="004C4025"/>
    <w:rsid w:val="004C679B"/>
    <w:rsid w:val="004D0CCC"/>
    <w:rsid w:val="004D40D4"/>
    <w:rsid w:val="004D4E92"/>
    <w:rsid w:val="004D5806"/>
    <w:rsid w:val="004D632E"/>
    <w:rsid w:val="004E0AD2"/>
    <w:rsid w:val="004E1EF8"/>
    <w:rsid w:val="004E1FC9"/>
    <w:rsid w:val="004E680B"/>
    <w:rsid w:val="004E7B53"/>
    <w:rsid w:val="004F493B"/>
    <w:rsid w:val="004F5CCD"/>
    <w:rsid w:val="00503AB9"/>
    <w:rsid w:val="005067D0"/>
    <w:rsid w:val="00510D9A"/>
    <w:rsid w:val="00512894"/>
    <w:rsid w:val="00515454"/>
    <w:rsid w:val="005200C1"/>
    <w:rsid w:val="0052107D"/>
    <w:rsid w:val="00521DD7"/>
    <w:rsid w:val="00525600"/>
    <w:rsid w:val="00532496"/>
    <w:rsid w:val="00533664"/>
    <w:rsid w:val="0053627F"/>
    <w:rsid w:val="00542F5A"/>
    <w:rsid w:val="0054505D"/>
    <w:rsid w:val="00546480"/>
    <w:rsid w:val="0055140F"/>
    <w:rsid w:val="005546AC"/>
    <w:rsid w:val="00554AE3"/>
    <w:rsid w:val="00555060"/>
    <w:rsid w:val="005550E0"/>
    <w:rsid w:val="00570A2E"/>
    <w:rsid w:val="00575B70"/>
    <w:rsid w:val="00576175"/>
    <w:rsid w:val="005770D1"/>
    <w:rsid w:val="00577103"/>
    <w:rsid w:val="005808E9"/>
    <w:rsid w:val="0058651D"/>
    <w:rsid w:val="00594E70"/>
    <w:rsid w:val="005950C1"/>
    <w:rsid w:val="005A6F7F"/>
    <w:rsid w:val="005B18B3"/>
    <w:rsid w:val="005B1D14"/>
    <w:rsid w:val="005B5AAA"/>
    <w:rsid w:val="005B7391"/>
    <w:rsid w:val="005C0E9A"/>
    <w:rsid w:val="005C42F8"/>
    <w:rsid w:val="005C45D2"/>
    <w:rsid w:val="005C5FA1"/>
    <w:rsid w:val="005C7D86"/>
    <w:rsid w:val="005D1816"/>
    <w:rsid w:val="005D1B33"/>
    <w:rsid w:val="005D3538"/>
    <w:rsid w:val="005D3C76"/>
    <w:rsid w:val="005D5795"/>
    <w:rsid w:val="005D7E95"/>
    <w:rsid w:val="005E1C0A"/>
    <w:rsid w:val="005E4AF6"/>
    <w:rsid w:val="005F0D01"/>
    <w:rsid w:val="005F5385"/>
    <w:rsid w:val="005F642B"/>
    <w:rsid w:val="005F6C08"/>
    <w:rsid w:val="005F6F6F"/>
    <w:rsid w:val="00602D5B"/>
    <w:rsid w:val="006073B8"/>
    <w:rsid w:val="006120BA"/>
    <w:rsid w:val="00613181"/>
    <w:rsid w:val="00615391"/>
    <w:rsid w:val="00616713"/>
    <w:rsid w:val="00620489"/>
    <w:rsid w:val="00621C69"/>
    <w:rsid w:val="00622D3C"/>
    <w:rsid w:val="0062402A"/>
    <w:rsid w:val="006316A0"/>
    <w:rsid w:val="006346A1"/>
    <w:rsid w:val="00634AA5"/>
    <w:rsid w:val="006371D0"/>
    <w:rsid w:val="0063794D"/>
    <w:rsid w:val="00640D51"/>
    <w:rsid w:val="00642231"/>
    <w:rsid w:val="006449DC"/>
    <w:rsid w:val="00651BDE"/>
    <w:rsid w:val="00654782"/>
    <w:rsid w:val="00660BAE"/>
    <w:rsid w:val="006620B3"/>
    <w:rsid w:val="006661EF"/>
    <w:rsid w:val="0066639C"/>
    <w:rsid w:val="00667765"/>
    <w:rsid w:val="0067357A"/>
    <w:rsid w:val="00673588"/>
    <w:rsid w:val="00674005"/>
    <w:rsid w:val="00684EB5"/>
    <w:rsid w:val="006856EE"/>
    <w:rsid w:val="00685814"/>
    <w:rsid w:val="00687E51"/>
    <w:rsid w:val="006961CC"/>
    <w:rsid w:val="0069730B"/>
    <w:rsid w:val="006A050D"/>
    <w:rsid w:val="006A0C95"/>
    <w:rsid w:val="006A32DC"/>
    <w:rsid w:val="006A3E2E"/>
    <w:rsid w:val="006A7183"/>
    <w:rsid w:val="006B7B48"/>
    <w:rsid w:val="006C3FD9"/>
    <w:rsid w:val="006C431A"/>
    <w:rsid w:val="006D1FF4"/>
    <w:rsid w:val="006E0A4A"/>
    <w:rsid w:val="006F0594"/>
    <w:rsid w:val="006F1E19"/>
    <w:rsid w:val="006F53B4"/>
    <w:rsid w:val="006F5C66"/>
    <w:rsid w:val="006F7B05"/>
    <w:rsid w:val="0070068F"/>
    <w:rsid w:val="007009AC"/>
    <w:rsid w:val="0070113F"/>
    <w:rsid w:val="00702201"/>
    <w:rsid w:val="00704BE6"/>
    <w:rsid w:val="0071238D"/>
    <w:rsid w:val="007131CA"/>
    <w:rsid w:val="0071489E"/>
    <w:rsid w:val="00714D09"/>
    <w:rsid w:val="007157EB"/>
    <w:rsid w:val="0071769C"/>
    <w:rsid w:val="007204C9"/>
    <w:rsid w:val="0072307B"/>
    <w:rsid w:val="00725DF9"/>
    <w:rsid w:val="00733A12"/>
    <w:rsid w:val="007423F8"/>
    <w:rsid w:val="007429C8"/>
    <w:rsid w:val="007475B0"/>
    <w:rsid w:val="0075117A"/>
    <w:rsid w:val="00751F29"/>
    <w:rsid w:val="007522DC"/>
    <w:rsid w:val="0075277E"/>
    <w:rsid w:val="00755E29"/>
    <w:rsid w:val="00761415"/>
    <w:rsid w:val="00761452"/>
    <w:rsid w:val="00764ABD"/>
    <w:rsid w:val="00770633"/>
    <w:rsid w:val="00774621"/>
    <w:rsid w:val="0078561A"/>
    <w:rsid w:val="00785A56"/>
    <w:rsid w:val="00785E31"/>
    <w:rsid w:val="00785EFB"/>
    <w:rsid w:val="007908B1"/>
    <w:rsid w:val="00795F84"/>
    <w:rsid w:val="0079699C"/>
    <w:rsid w:val="007B1B67"/>
    <w:rsid w:val="007B2BCD"/>
    <w:rsid w:val="007C3F03"/>
    <w:rsid w:val="007D2307"/>
    <w:rsid w:val="007D649B"/>
    <w:rsid w:val="007E59AB"/>
    <w:rsid w:val="007E6D27"/>
    <w:rsid w:val="007E7824"/>
    <w:rsid w:val="007F2444"/>
    <w:rsid w:val="007F4718"/>
    <w:rsid w:val="007F57FF"/>
    <w:rsid w:val="007F5D7D"/>
    <w:rsid w:val="007F6999"/>
    <w:rsid w:val="00815027"/>
    <w:rsid w:val="00815AC7"/>
    <w:rsid w:val="008232D4"/>
    <w:rsid w:val="00827FD9"/>
    <w:rsid w:val="008313A6"/>
    <w:rsid w:val="00843392"/>
    <w:rsid w:val="00843E35"/>
    <w:rsid w:val="008457D7"/>
    <w:rsid w:val="00846536"/>
    <w:rsid w:val="00856A73"/>
    <w:rsid w:val="00857C8F"/>
    <w:rsid w:val="008602E4"/>
    <w:rsid w:val="0086232C"/>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C6C"/>
    <w:rsid w:val="008C020E"/>
    <w:rsid w:val="008C26D9"/>
    <w:rsid w:val="008C342F"/>
    <w:rsid w:val="008D0CA5"/>
    <w:rsid w:val="008D42EB"/>
    <w:rsid w:val="008D5810"/>
    <w:rsid w:val="008E1307"/>
    <w:rsid w:val="008E3EC8"/>
    <w:rsid w:val="008F00F7"/>
    <w:rsid w:val="00901522"/>
    <w:rsid w:val="00911DA9"/>
    <w:rsid w:val="00915C4F"/>
    <w:rsid w:val="00925041"/>
    <w:rsid w:val="00925365"/>
    <w:rsid w:val="00932F76"/>
    <w:rsid w:val="00933388"/>
    <w:rsid w:val="00935615"/>
    <w:rsid w:val="0093674E"/>
    <w:rsid w:val="00940243"/>
    <w:rsid w:val="0094401E"/>
    <w:rsid w:val="00952503"/>
    <w:rsid w:val="00955B4E"/>
    <w:rsid w:val="00956BF9"/>
    <w:rsid w:val="00957002"/>
    <w:rsid w:val="009628F5"/>
    <w:rsid w:val="009673C9"/>
    <w:rsid w:val="00976C40"/>
    <w:rsid w:val="00981CFD"/>
    <w:rsid w:val="00981E3E"/>
    <w:rsid w:val="00984CEB"/>
    <w:rsid w:val="00986BB2"/>
    <w:rsid w:val="00986BB4"/>
    <w:rsid w:val="00986C8A"/>
    <w:rsid w:val="009955E5"/>
    <w:rsid w:val="009B081C"/>
    <w:rsid w:val="009B4C85"/>
    <w:rsid w:val="009B61D9"/>
    <w:rsid w:val="009C0827"/>
    <w:rsid w:val="009C24DF"/>
    <w:rsid w:val="009C4809"/>
    <w:rsid w:val="009D5878"/>
    <w:rsid w:val="009D5B5D"/>
    <w:rsid w:val="009E0FE9"/>
    <w:rsid w:val="009E10A1"/>
    <w:rsid w:val="009E23F4"/>
    <w:rsid w:val="009E5BFB"/>
    <w:rsid w:val="009F04C9"/>
    <w:rsid w:val="009F2843"/>
    <w:rsid w:val="009F2B89"/>
    <w:rsid w:val="009F4C8D"/>
    <w:rsid w:val="009F7F98"/>
    <w:rsid w:val="00A02D44"/>
    <w:rsid w:val="00A0383B"/>
    <w:rsid w:val="00A04125"/>
    <w:rsid w:val="00A12B0B"/>
    <w:rsid w:val="00A1763A"/>
    <w:rsid w:val="00A21FC7"/>
    <w:rsid w:val="00A24519"/>
    <w:rsid w:val="00A27151"/>
    <w:rsid w:val="00A34954"/>
    <w:rsid w:val="00A349BC"/>
    <w:rsid w:val="00A41D34"/>
    <w:rsid w:val="00A54CE4"/>
    <w:rsid w:val="00A6014B"/>
    <w:rsid w:val="00A6363A"/>
    <w:rsid w:val="00A638B0"/>
    <w:rsid w:val="00A642C5"/>
    <w:rsid w:val="00A82E92"/>
    <w:rsid w:val="00A84A0D"/>
    <w:rsid w:val="00A86CD6"/>
    <w:rsid w:val="00AA3762"/>
    <w:rsid w:val="00AA3949"/>
    <w:rsid w:val="00AB22D6"/>
    <w:rsid w:val="00AB2957"/>
    <w:rsid w:val="00AC262B"/>
    <w:rsid w:val="00AC4AA8"/>
    <w:rsid w:val="00AD5385"/>
    <w:rsid w:val="00AE174D"/>
    <w:rsid w:val="00AE467A"/>
    <w:rsid w:val="00AE6B8B"/>
    <w:rsid w:val="00AE76C8"/>
    <w:rsid w:val="00AF4B61"/>
    <w:rsid w:val="00AF56F2"/>
    <w:rsid w:val="00AF6D39"/>
    <w:rsid w:val="00B000D2"/>
    <w:rsid w:val="00B014D1"/>
    <w:rsid w:val="00B0578B"/>
    <w:rsid w:val="00B06D17"/>
    <w:rsid w:val="00B1695C"/>
    <w:rsid w:val="00B1695F"/>
    <w:rsid w:val="00B20308"/>
    <w:rsid w:val="00B24E12"/>
    <w:rsid w:val="00B26E6F"/>
    <w:rsid w:val="00B332D9"/>
    <w:rsid w:val="00B35E5D"/>
    <w:rsid w:val="00B35FCE"/>
    <w:rsid w:val="00B36D6A"/>
    <w:rsid w:val="00B44C64"/>
    <w:rsid w:val="00B4557C"/>
    <w:rsid w:val="00B47E7F"/>
    <w:rsid w:val="00B5337C"/>
    <w:rsid w:val="00B53ABA"/>
    <w:rsid w:val="00B53BC3"/>
    <w:rsid w:val="00B559B7"/>
    <w:rsid w:val="00B61A55"/>
    <w:rsid w:val="00B65B69"/>
    <w:rsid w:val="00B677F9"/>
    <w:rsid w:val="00B7364F"/>
    <w:rsid w:val="00B94945"/>
    <w:rsid w:val="00B94B8A"/>
    <w:rsid w:val="00B97175"/>
    <w:rsid w:val="00BA0AF7"/>
    <w:rsid w:val="00BA37BB"/>
    <w:rsid w:val="00BA4322"/>
    <w:rsid w:val="00BA6AEB"/>
    <w:rsid w:val="00BA7F37"/>
    <w:rsid w:val="00BB0D8D"/>
    <w:rsid w:val="00BB204F"/>
    <w:rsid w:val="00BB3130"/>
    <w:rsid w:val="00BC0C88"/>
    <w:rsid w:val="00BC1DF0"/>
    <w:rsid w:val="00BD3953"/>
    <w:rsid w:val="00BF0E19"/>
    <w:rsid w:val="00BF22BC"/>
    <w:rsid w:val="00BF3D2F"/>
    <w:rsid w:val="00BF520A"/>
    <w:rsid w:val="00C0619F"/>
    <w:rsid w:val="00C074A9"/>
    <w:rsid w:val="00C12CF2"/>
    <w:rsid w:val="00C1496D"/>
    <w:rsid w:val="00C172C3"/>
    <w:rsid w:val="00C22516"/>
    <w:rsid w:val="00C25569"/>
    <w:rsid w:val="00C302FA"/>
    <w:rsid w:val="00C30946"/>
    <w:rsid w:val="00C31BE7"/>
    <w:rsid w:val="00C334C5"/>
    <w:rsid w:val="00C34AE5"/>
    <w:rsid w:val="00C3618D"/>
    <w:rsid w:val="00C40698"/>
    <w:rsid w:val="00C4373F"/>
    <w:rsid w:val="00C451EA"/>
    <w:rsid w:val="00C517D1"/>
    <w:rsid w:val="00C53028"/>
    <w:rsid w:val="00C542F7"/>
    <w:rsid w:val="00C56DEE"/>
    <w:rsid w:val="00C600C7"/>
    <w:rsid w:val="00C636B7"/>
    <w:rsid w:val="00C66A18"/>
    <w:rsid w:val="00C67E67"/>
    <w:rsid w:val="00C7216E"/>
    <w:rsid w:val="00C921CD"/>
    <w:rsid w:val="00C93C34"/>
    <w:rsid w:val="00CA30C0"/>
    <w:rsid w:val="00CB1AD1"/>
    <w:rsid w:val="00CB4083"/>
    <w:rsid w:val="00CB612B"/>
    <w:rsid w:val="00CB7961"/>
    <w:rsid w:val="00CC555F"/>
    <w:rsid w:val="00CC5C52"/>
    <w:rsid w:val="00CC6711"/>
    <w:rsid w:val="00CD16D2"/>
    <w:rsid w:val="00CD1731"/>
    <w:rsid w:val="00CD7BD4"/>
    <w:rsid w:val="00CD7DA4"/>
    <w:rsid w:val="00CE4321"/>
    <w:rsid w:val="00CF2F75"/>
    <w:rsid w:val="00CF46C9"/>
    <w:rsid w:val="00CF66A6"/>
    <w:rsid w:val="00CF6719"/>
    <w:rsid w:val="00D03B03"/>
    <w:rsid w:val="00D06041"/>
    <w:rsid w:val="00D128FD"/>
    <w:rsid w:val="00D1332B"/>
    <w:rsid w:val="00D22435"/>
    <w:rsid w:val="00D24E2D"/>
    <w:rsid w:val="00D30F60"/>
    <w:rsid w:val="00D42328"/>
    <w:rsid w:val="00D46B74"/>
    <w:rsid w:val="00D548D9"/>
    <w:rsid w:val="00D56005"/>
    <w:rsid w:val="00D57708"/>
    <w:rsid w:val="00D6301D"/>
    <w:rsid w:val="00D74DA6"/>
    <w:rsid w:val="00D770CD"/>
    <w:rsid w:val="00D77DD6"/>
    <w:rsid w:val="00D803E5"/>
    <w:rsid w:val="00D80460"/>
    <w:rsid w:val="00D82096"/>
    <w:rsid w:val="00D84F22"/>
    <w:rsid w:val="00D86FBA"/>
    <w:rsid w:val="00D877D8"/>
    <w:rsid w:val="00D92539"/>
    <w:rsid w:val="00D9290E"/>
    <w:rsid w:val="00D936B8"/>
    <w:rsid w:val="00DA06B5"/>
    <w:rsid w:val="00DA4723"/>
    <w:rsid w:val="00DA4A72"/>
    <w:rsid w:val="00DA59BA"/>
    <w:rsid w:val="00DA5B41"/>
    <w:rsid w:val="00DB06E8"/>
    <w:rsid w:val="00DB6A2A"/>
    <w:rsid w:val="00DB781A"/>
    <w:rsid w:val="00DC3AA5"/>
    <w:rsid w:val="00DC4367"/>
    <w:rsid w:val="00DC4368"/>
    <w:rsid w:val="00DC53BB"/>
    <w:rsid w:val="00DD2F52"/>
    <w:rsid w:val="00DD4126"/>
    <w:rsid w:val="00DD6EC5"/>
    <w:rsid w:val="00DE41CF"/>
    <w:rsid w:val="00DE449B"/>
    <w:rsid w:val="00DE6E5D"/>
    <w:rsid w:val="00DF2102"/>
    <w:rsid w:val="00DF3C0C"/>
    <w:rsid w:val="00DF57F5"/>
    <w:rsid w:val="00DF58D7"/>
    <w:rsid w:val="00E033D5"/>
    <w:rsid w:val="00E043C0"/>
    <w:rsid w:val="00E046DA"/>
    <w:rsid w:val="00E137EF"/>
    <w:rsid w:val="00E15D05"/>
    <w:rsid w:val="00E24F8F"/>
    <w:rsid w:val="00E24F93"/>
    <w:rsid w:val="00E327BA"/>
    <w:rsid w:val="00E328F0"/>
    <w:rsid w:val="00E37F2E"/>
    <w:rsid w:val="00E417A6"/>
    <w:rsid w:val="00E4290E"/>
    <w:rsid w:val="00E47476"/>
    <w:rsid w:val="00E5152A"/>
    <w:rsid w:val="00E524C1"/>
    <w:rsid w:val="00E612F9"/>
    <w:rsid w:val="00E65502"/>
    <w:rsid w:val="00E67E90"/>
    <w:rsid w:val="00E7510A"/>
    <w:rsid w:val="00E80769"/>
    <w:rsid w:val="00E8087A"/>
    <w:rsid w:val="00E8103A"/>
    <w:rsid w:val="00E8504C"/>
    <w:rsid w:val="00E8536E"/>
    <w:rsid w:val="00E87412"/>
    <w:rsid w:val="00E87BBF"/>
    <w:rsid w:val="00E914F5"/>
    <w:rsid w:val="00E92D2F"/>
    <w:rsid w:val="00EA076D"/>
    <w:rsid w:val="00EA1090"/>
    <w:rsid w:val="00EA1201"/>
    <w:rsid w:val="00EA35A1"/>
    <w:rsid w:val="00EA3B06"/>
    <w:rsid w:val="00EB702A"/>
    <w:rsid w:val="00EB7D0B"/>
    <w:rsid w:val="00EC1C6D"/>
    <w:rsid w:val="00EC3038"/>
    <w:rsid w:val="00EC6991"/>
    <w:rsid w:val="00EC6A5C"/>
    <w:rsid w:val="00EC6C7B"/>
    <w:rsid w:val="00ED58A5"/>
    <w:rsid w:val="00ED5D9D"/>
    <w:rsid w:val="00ED76F8"/>
    <w:rsid w:val="00EE7B24"/>
    <w:rsid w:val="00EF07D2"/>
    <w:rsid w:val="00F10131"/>
    <w:rsid w:val="00F11B25"/>
    <w:rsid w:val="00F21728"/>
    <w:rsid w:val="00F25132"/>
    <w:rsid w:val="00F306AF"/>
    <w:rsid w:val="00F34F40"/>
    <w:rsid w:val="00F354F3"/>
    <w:rsid w:val="00F35CA2"/>
    <w:rsid w:val="00F36D3A"/>
    <w:rsid w:val="00F41E93"/>
    <w:rsid w:val="00F62F2F"/>
    <w:rsid w:val="00F66231"/>
    <w:rsid w:val="00F75967"/>
    <w:rsid w:val="00F76968"/>
    <w:rsid w:val="00F83D9D"/>
    <w:rsid w:val="00F871A0"/>
    <w:rsid w:val="00F87440"/>
    <w:rsid w:val="00F9269A"/>
    <w:rsid w:val="00F94332"/>
    <w:rsid w:val="00F943CC"/>
    <w:rsid w:val="00FA0919"/>
    <w:rsid w:val="00FB0EC3"/>
    <w:rsid w:val="00FB1093"/>
    <w:rsid w:val="00FC2BA1"/>
    <w:rsid w:val="00FD04BB"/>
    <w:rsid w:val="00FD532A"/>
    <w:rsid w:val="00FD75F1"/>
    <w:rsid w:val="00FE346F"/>
    <w:rsid w:val="00FE3E95"/>
    <w:rsid w:val="00FE540E"/>
    <w:rsid w:val="00FE55AE"/>
    <w:rsid w:val="00FF15D5"/>
    <w:rsid w:val="00FF43A1"/>
    <w:rsid w:val="00FF7B7F"/>
    <w:rsid w:val="00FF7D61"/>
    <w:rsid w:val="01244FD0"/>
    <w:rsid w:val="01415939"/>
    <w:rsid w:val="0175001E"/>
    <w:rsid w:val="01890D0B"/>
    <w:rsid w:val="01963062"/>
    <w:rsid w:val="01AC1887"/>
    <w:rsid w:val="01F55FA8"/>
    <w:rsid w:val="0203773E"/>
    <w:rsid w:val="020578DD"/>
    <w:rsid w:val="023D147B"/>
    <w:rsid w:val="027A2971"/>
    <w:rsid w:val="028606DA"/>
    <w:rsid w:val="02D97F98"/>
    <w:rsid w:val="038B6B3C"/>
    <w:rsid w:val="04305357"/>
    <w:rsid w:val="044B7594"/>
    <w:rsid w:val="049B0331"/>
    <w:rsid w:val="04DD0CB1"/>
    <w:rsid w:val="04ED66A4"/>
    <w:rsid w:val="0521067D"/>
    <w:rsid w:val="054642EE"/>
    <w:rsid w:val="05662376"/>
    <w:rsid w:val="0580326D"/>
    <w:rsid w:val="059D2DF8"/>
    <w:rsid w:val="05B01562"/>
    <w:rsid w:val="05C863D5"/>
    <w:rsid w:val="07713C35"/>
    <w:rsid w:val="07B63B11"/>
    <w:rsid w:val="07C118AC"/>
    <w:rsid w:val="081F390C"/>
    <w:rsid w:val="082B58F4"/>
    <w:rsid w:val="08E001B0"/>
    <w:rsid w:val="09581FC5"/>
    <w:rsid w:val="099F77D6"/>
    <w:rsid w:val="09BB55BA"/>
    <w:rsid w:val="09DD70F7"/>
    <w:rsid w:val="0A18464F"/>
    <w:rsid w:val="0A366207"/>
    <w:rsid w:val="0A985570"/>
    <w:rsid w:val="0AA049F3"/>
    <w:rsid w:val="0AD170F4"/>
    <w:rsid w:val="0ADC03EB"/>
    <w:rsid w:val="0B441098"/>
    <w:rsid w:val="0B95124F"/>
    <w:rsid w:val="0BBD1D37"/>
    <w:rsid w:val="0C831F87"/>
    <w:rsid w:val="0D2B0F75"/>
    <w:rsid w:val="0D8E277A"/>
    <w:rsid w:val="0DD14B0F"/>
    <w:rsid w:val="0E202766"/>
    <w:rsid w:val="0E6B6937"/>
    <w:rsid w:val="0F3048C7"/>
    <w:rsid w:val="0FD51371"/>
    <w:rsid w:val="0FDB4A43"/>
    <w:rsid w:val="0FDE3679"/>
    <w:rsid w:val="10AD2295"/>
    <w:rsid w:val="11332C1D"/>
    <w:rsid w:val="116A7227"/>
    <w:rsid w:val="11893269"/>
    <w:rsid w:val="11DA6313"/>
    <w:rsid w:val="11F67716"/>
    <w:rsid w:val="120E6D62"/>
    <w:rsid w:val="12EB7263"/>
    <w:rsid w:val="13352C8C"/>
    <w:rsid w:val="134B775D"/>
    <w:rsid w:val="134E01D7"/>
    <w:rsid w:val="13624C7F"/>
    <w:rsid w:val="13A51B1E"/>
    <w:rsid w:val="13B25860"/>
    <w:rsid w:val="13CF64F2"/>
    <w:rsid w:val="13DB2AF9"/>
    <w:rsid w:val="141B1331"/>
    <w:rsid w:val="14324EA6"/>
    <w:rsid w:val="14DD31E2"/>
    <w:rsid w:val="159002A1"/>
    <w:rsid w:val="159A522D"/>
    <w:rsid w:val="15BA2D4A"/>
    <w:rsid w:val="160C3C73"/>
    <w:rsid w:val="16345CF0"/>
    <w:rsid w:val="16531A98"/>
    <w:rsid w:val="168F1DFA"/>
    <w:rsid w:val="16A9400E"/>
    <w:rsid w:val="16D30CDD"/>
    <w:rsid w:val="17156845"/>
    <w:rsid w:val="175057B7"/>
    <w:rsid w:val="1757657C"/>
    <w:rsid w:val="17932850"/>
    <w:rsid w:val="17D849D6"/>
    <w:rsid w:val="17F01DC3"/>
    <w:rsid w:val="180E527E"/>
    <w:rsid w:val="1826053B"/>
    <w:rsid w:val="182C673E"/>
    <w:rsid w:val="18B54B84"/>
    <w:rsid w:val="192405E7"/>
    <w:rsid w:val="1932298B"/>
    <w:rsid w:val="19600305"/>
    <w:rsid w:val="19753246"/>
    <w:rsid w:val="19B71113"/>
    <w:rsid w:val="19CC2CC4"/>
    <w:rsid w:val="1A063C0E"/>
    <w:rsid w:val="1A2C3DD7"/>
    <w:rsid w:val="1A6B245E"/>
    <w:rsid w:val="1AAE5A45"/>
    <w:rsid w:val="1AAF59FC"/>
    <w:rsid w:val="1AEB1A05"/>
    <w:rsid w:val="1B205A92"/>
    <w:rsid w:val="1B6C5B53"/>
    <w:rsid w:val="1C3310A9"/>
    <w:rsid w:val="1C3E3021"/>
    <w:rsid w:val="1C92368D"/>
    <w:rsid w:val="1D40117C"/>
    <w:rsid w:val="1D785B20"/>
    <w:rsid w:val="1DA805C1"/>
    <w:rsid w:val="1DDF5840"/>
    <w:rsid w:val="1E033CFE"/>
    <w:rsid w:val="1E5B0C10"/>
    <w:rsid w:val="1F316326"/>
    <w:rsid w:val="1F5D4A06"/>
    <w:rsid w:val="1F783F82"/>
    <w:rsid w:val="1F964F4E"/>
    <w:rsid w:val="1FB92045"/>
    <w:rsid w:val="1FC711F5"/>
    <w:rsid w:val="1FE61AFF"/>
    <w:rsid w:val="20C34F92"/>
    <w:rsid w:val="2184139D"/>
    <w:rsid w:val="218F1C0A"/>
    <w:rsid w:val="2191233E"/>
    <w:rsid w:val="221F6235"/>
    <w:rsid w:val="226B066F"/>
    <w:rsid w:val="22D00AC1"/>
    <w:rsid w:val="22E10344"/>
    <w:rsid w:val="22E942A6"/>
    <w:rsid w:val="22F45DE8"/>
    <w:rsid w:val="22FF76A7"/>
    <w:rsid w:val="236E082B"/>
    <w:rsid w:val="24BF5213"/>
    <w:rsid w:val="26C239CA"/>
    <w:rsid w:val="26C90E2D"/>
    <w:rsid w:val="26D20AE2"/>
    <w:rsid w:val="26D747CC"/>
    <w:rsid w:val="270B25DA"/>
    <w:rsid w:val="273705EE"/>
    <w:rsid w:val="2742617D"/>
    <w:rsid w:val="2827575A"/>
    <w:rsid w:val="28B46433"/>
    <w:rsid w:val="28BD3499"/>
    <w:rsid w:val="29032BEF"/>
    <w:rsid w:val="29345F99"/>
    <w:rsid w:val="2A4C7902"/>
    <w:rsid w:val="2A6A39E8"/>
    <w:rsid w:val="2AD6161E"/>
    <w:rsid w:val="2B4F2A6E"/>
    <w:rsid w:val="2B6D12EE"/>
    <w:rsid w:val="2B9850A8"/>
    <w:rsid w:val="2BCD490E"/>
    <w:rsid w:val="2BE86E6A"/>
    <w:rsid w:val="2BED6F1A"/>
    <w:rsid w:val="2C255C58"/>
    <w:rsid w:val="2CC41C04"/>
    <w:rsid w:val="2D5029C5"/>
    <w:rsid w:val="2D850B71"/>
    <w:rsid w:val="2E7620ED"/>
    <w:rsid w:val="2E902C4B"/>
    <w:rsid w:val="2EE724DC"/>
    <w:rsid w:val="2EEC3FC4"/>
    <w:rsid w:val="2F0D20DE"/>
    <w:rsid w:val="2F5D30B3"/>
    <w:rsid w:val="2F7009B1"/>
    <w:rsid w:val="2FA07728"/>
    <w:rsid w:val="2FC002D5"/>
    <w:rsid w:val="301B507B"/>
    <w:rsid w:val="302E6AE1"/>
    <w:rsid w:val="3051394C"/>
    <w:rsid w:val="306A6A79"/>
    <w:rsid w:val="306E6334"/>
    <w:rsid w:val="30E82380"/>
    <w:rsid w:val="312529FD"/>
    <w:rsid w:val="313A6F42"/>
    <w:rsid w:val="315453F8"/>
    <w:rsid w:val="31C75BFC"/>
    <w:rsid w:val="31D21342"/>
    <w:rsid w:val="31FA6300"/>
    <w:rsid w:val="32170A8D"/>
    <w:rsid w:val="32AF23C2"/>
    <w:rsid w:val="32EE1A36"/>
    <w:rsid w:val="332E33C8"/>
    <w:rsid w:val="33735184"/>
    <w:rsid w:val="337949FD"/>
    <w:rsid w:val="33EF74C0"/>
    <w:rsid w:val="342D1BFF"/>
    <w:rsid w:val="342F480F"/>
    <w:rsid w:val="3475581F"/>
    <w:rsid w:val="347E1DA2"/>
    <w:rsid w:val="349B682B"/>
    <w:rsid w:val="34B34830"/>
    <w:rsid w:val="34C649F1"/>
    <w:rsid w:val="35435064"/>
    <w:rsid w:val="35F64846"/>
    <w:rsid w:val="3620672B"/>
    <w:rsid w:val="36831F44"/>
    <w:rsid w:val="372D3B47"/>
    <w:rsid w:val="378E3F7A"/>
    <w:rsid w:val="37B86AAF"/>
    <w:rsid w:val="37C14982"/>
    <w:rsid w:val="37DB3ACA"/>
    <w:rsid w:val="3810525E"/>
    <w:rsid w:val="383152B4"/>
    <w:rsid w:val="383621F2"/>
    <w:rsid w:val="3875617F"/>
    <w:rsid w:val="389573C2"/>
    <w:rsid w:val="38A24CCD"/>
    <w:rsid w:val="39146815"/>
    <w:rsid w:val="394A250A"/>
    <w:rsid w:val="39C91DCA"/>
    <w:rsid w:val="39DF13C4"/>
    <w:rsid w:val="3A8332F9"/>
    <w:rsid w:val="3AD2258E"/>
    <w:rsid w:val="3AD62764"/>
    <w:rsid w:val="3B135B6F"/>
    <w:rsid w:val="3B4B6B6F"/>
    <w:rsid w:val="3B4F1DA6"/>
    <w:rsid w:val="3B510544"/>
    <w:rsid w:val="3C5C1CF7"/>
    <w:rsid w:val="3DBC65C1"/>
    <w:rsid w:val="3DC70DA6"/>
    <w:rsid w:val="3E433531"/>
    <w:rsid w:val="3E611D67"/>
    <w:rsid w:val="3E8D51C5"/>
    <w:rsid w:val="3E911ED8"/>
    <w:rsid w:val="3F345912"/>
    <w:rsid w:val="3F456AA7"/>
    <w:rsid w:val="3FE86074"/>
    <w:rsid w:val="404350E0"/>
    <w:rsid w:val="40A1209B"/>
    <w:rsid w:val="40A33F45"/>
    <w:rsid w:val="41694E7F"/>
    <w:rsid w:val="41C01594"/>
    <w:rsid w:val="42857E42"/>
    <w:rsid w:val="42CE3F44"/>
    <w:rsid w:val="432934FC"/>
    <w:rsid w:val="433B7B45"/>
    <w:rsid w:val="438F36C0"/>
    <w:rsid w:val="442C26BD"/>
    <w:rsid w:val="44463ADF"/>
    <w:rsid w:val="44C70737"/>
    <w:rsid w:val="44FA741D"/>
    <w:rsid w:val="4596451C"/>
    <w:rsid w:val="45AF7D25"/>
    <w:rsid w:val="4642740B"/>
    <w:rsid w:val="46985A97"/>
    <w:rsid w:val="46E23A2A"/>
    <w:rsid w:val="4765425C"/>
    <w:rsid w:val="47953C4F"/>
    <w:rsid w:val="47AB4A7A"/>
    <w:rsid w:val="48501F77"/>
    <w:rsid w:val="48B16866"/>
    <w:rsid w:val="490E7AA5"/>
    <w:rsid w:val="494012EE"/>
    <w:rsid w:val="49F243DB"/>
    <w:rsid w:val="4A433E27"/>
    <w:rsid w:val="4A780610"/>
    <w:rsid w:val="4A8E676D"/>
    <w:rsid w:val="4BA25344"/>
    <w:rsid w:val="4BE60F1D"/>
    <w:rsid w:val="4BEB36BA"/>
    <w:rsid w:val="4BEF33B4"/>
    <w:rsid w:val="4C2F38A5"/>
    <w:rsid w:val="4C303F46"/>
    <w:rsid w:val="4C7306FC"/>
    <w:rsid w:val="4C7C5EF5"/>
    <w:rsid w:val="4CF514BF"/>
    <w:rsid w:val="4D1717E9"/>
    <w:rsid w:val="4D287306"/>
    <w:rsid w:val="4D4E1448"/>
    <w:rsid w:val="4DD260D3"/>
    <w:rsid w:val="4E60046A"/>
    <w:rsid w:val="4E9E17CC"/>
    <w:rsid w:val="4ECF2AD4"/>
    <w:rsid w:val="4F273FBE"/>
    <w:rsid w:val="4F31194C"/>
    <w:rsid w:val="4F602AB3"/>
    <w:rsid w:val="4FF80DBD"/>
    <w:rsid w:val="5082298F"/>
    <w:rsid w:val="50C231AF"/>
    <w:rsid w:val="50CD6207"/>
    <w:rsid w:val="5145397C"/>
    <w:rsid w:val="52036385"/>
    <w:rsid w:val="52242D7E"/>
    <w:rsid w:val="52255532"/>
    <w:rsid w:val="527313D2"/>
    <w:rsid w:val="52A5133D"/>
    <w:rsid w:val="52BA6550"/>
    <w:rsid w:val="52C36E5D"/>
    <w:rsid w:val="53466052"/>
    <w:rsid w:val="538B53CA"/>
    <w:rsid w:val="54013AED"/>
    <w:rsid w:val="541F6CE9"/>
    <w:rsid w:val="542D56BA"/>
    <w:rsid w:val="54F3048A"/>
    <w:rsid w:val="54FC07F6"/>
    <w:rsid w:val="551752C2"/>
    <w:rsid w:val="55821CB6"/>
    <w:rsid w:val="55CF35B9"/>
    <w:rsid w:val="55D97B52"/>
    <w:rsid w:val="55FB29E7"/>
    <w:rsid w:val="5624334F"/>
    <w:rsid w:val="566F4F7D"/>
    <w:rsid w:val="5704401B"/>
    <w:rsid w:val="57393150"/>
    <w:rsid w:val="57525C4F"/>
    <w:rsid w:val="57650299"/>
    <w:rsid w:val="58650B29"/>
    <w:rsid w:val="589A3A5A"/>
    <w:rsid w:val="59142B31"/>
    <w:rsid w:val="59594278"/>
    <w:rsid w:val="595B7AB0"/>
    <w:rsid w:val="5A021E1D"/>
    <w:rsid w:val="5A3D2DC3"/>
    <w:rsid w:val="5A8A1468"/>
    <w:rsid w:val="5ACB5EC5"/>
    <w:rsid w:val="5AE27CAB"/>
    <w:rsid w:val="5B0A558E"/>
    <w:rsid w:val="5B327420"/>
    <w:rsid w:val="5B5B06A3"/>
    <w:rsid w:val="5BAB33C9"/>
    <w:rsid w:val="5C000D60"/>
    <w:rsid w:val="5C0564B8"/>
    <w:rsid w:val="5C1C1980"/>
    <w:rsid w:val="5C751D60"/>
    <w:rsid w:val="5D09221E"/>
    <w:rsid w:val="5D24531F"/>
    <w:rsid w:val="5D494E95"/>
    <w:rsid w:val="5DB56F1E"/>
    <w:rsid w:val="5DC32AF4"/>
    <w:rsid w:val="5DEB6E57"/>
    <w:rsid w:val="5E077567"/>
    <w:rsid w:val="5EF41D40"/>
    <w:rsid w:val="5F563F98"/>
    <w:rsid w:val="5F7B7B56"/>
    <w:rsid w:val="5FB33FD2"/>
    <w:rsid w:val="5FBE1B5B"/>
    <w:rsid w:val="60C95C15"/>
    <w:rsid w:val="60F33D7A"/>
    <w:rsid w:val="61334426"/>
    <w:rsid w:val="614617B4"/>
    <w:rsid w:val="615D5DC5"/>
    <w:rsid w:val="61D733EB"/>
    <w:rsid w:val="61E24808"/>
    <w:rsid w:val="61FF4527"/>
    <w:rsid w:val="622C0E17"/>
    <w:rsid w:val="636A485B"/>
    <w:rsid w:val="644E1729"/>
    <w:rsid w:val="65253FDA"/>
    <w:rsid w:val="65300472"/>
    <w:rsid w:val="65347A1E"/>
    <w:rsid w:val="65452F82"/>
    <w:rsid w:val="6560518B"/>
    <w:rsid w:val="65DA79A0"/>
    <w:rsid w:val="677F6F74"/>
    <w:rsid w:val="67952D87"/>
    <w:rsid w:val="685053E9"/>
    <w:rsid w:val="69386092"/>
    <w:rsid w:val="69794709"/>
    <w:rsid w:val="69840267"/>
    <w:rsid w:val="69A5132F"/>
    <w:rsid w:val="69B2134C"/>
    <w:rsid w:val="69DB2379"/>
    <w:rsid w:val="6A192046"/>
    <w:rsid w:val="6B054AC4"/>
    <w:rsid w:val="6B8A4311"/>
    <w:rsid w:val="6BA03046"/>
    <w:rsid w:val="6BC7249D"/>
    <w:rsid w:val="6BDC20C6"/>
    <w:rsid w:val="6C546C30"/>
    <w:rsid w:val="6C9F05FC"/>
    <w:rsid w:val="6DC35E4F"/>
    <w:rsid w:val="6DDD3F44"/>
    <w:rsid w:val="6DDF784E"/>
    <w:rsid w:val="6DF76D93"/>
    <w:rsid w:val="6E290AC9"/>
    <w:rsid w:val="6E737672"/>
    <w:rsid w:val="6EDD2A32"/>
    <w:rsid w:val="6EFC7851"/>
    <w:rsid w:val="6F383915"/>
    <w:rsid w:val="6FB04A89"/>
    <w:rsid w:val="6FCA78EF"/>
    <w:rsid w:val="714D0156"/>
    <w:rsid w:val="716B39AF"/>
    <w:rsid w:val="71785618"/>
    <w:rsid w:val="718D7547"/>
    <w:rsid w:val="719173FA"/>
    <w:rsid w:val="72AD133E"/>
    <w:rsid w:val="72F14A43"/>
    <w:rsid w:val="733E6754"/>
    <w:rsid w:val="737D0B03"/>
    <w:rsid w:val="74245119"/>
    <w:rsid w:val="747D4685"/>
    <w:rsid w:val="7550560B"/>
    <w:rsid w:val="757906F5"/>
    <w:rsid w:val="75AD1C8E"/>
    <w:rsid w:val="762F1A8F"/>
    <w:rsid w:val="76326C02"/>
    <w:rsid w:val="763C2FCD"/>
    <w:rsid w:val="77281135"/>
    <w:rsid w:val="77321ECC"/>
    <w:rsid w:val="7743475F"/>
    <w:rsid w:val="774D6544"/>
    <w:rsid w:val="77973EB5"/>
    <w:rsid w:val="77E1677A"/>
    <w:rsid w:val="77F3551E"/>
    <w:rsid w:val="78353D59"/>
    <w:rsid w:val="784D2C1B"/>
    <w:rsid w:val="78882890"/>
    <w:rsid w:val="78D335F4"/>
    <w:rsid w:val="791372BB"/>
    <w:rsid w:val="79C749C3"/>
    <w:rsid w:val="7A0352B0"/>
    <w:rsid w:val="7A123748"/>
    <w:rsid w:val="7A345D59"/>
    <w:rsid w:val="7AEA32BE"/>
    <w:rsid w:val="7B2737E9"/>
    <w:rsid w:val="7B3C3AEC"/>
    <w:rsid w:val="7B5733E2"/>
    <w:rsid w:val="7B8510D0"/>
    <w:rsid w:val="7C3A18F2"/>
    <w:rsid w:val="7C60423E"/>
    <w:rsid w:val="7C7554D3"/>
    <w:rsid w:val="7C9729C8"/>
    <w:rsid w:val="7CC12B27"/>
    <w:rsid w:val="7DE15242"/>
    <w:rsid w:val="7E345FE1"/>
    <w:rsid w:val="7E3B3A15"/>
    <w:rsid w:val="7F275405"/>
    <w:rsid w:val="7F2A14D1"/>
    <w:rsid w:val="7F4852A7"/>
    <w:rsid w:val="7F6145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2">
    <w:name w:val="heading 1"/>
    <w:next w:val="1"/>
    <w:link w:val="22"/>
    <w:qFormat/>
    <w:uiPriority w:val="0"/>
    <w:pPr>
      <w:keepNext/>
      <w:numPr>
        <w:ilvl w:val="0"/>
        <w:numId w:val="1"/>
      </w:numPr>
      <w:spacing w:beforeLines="100" w:afterLines="50" w:line="360" w:lineRule="auto"/>
      <w:outlineLvl w:val="0"/>
    </w:pPr>
    <w:rPr>
      <w:rFonts w:ascii="宋体" w:hAnsi="宋体" w:eastAsia="宋体" w:cs="Times New Roman"/>
      <w:b/>
      <w:bCs/>
      <w:kern w:val="24"/>
      <w:sz w:val="30"/>
      <w:szCs w:val="24"/>
      <w:u w:color="000000"/>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caption"/>
    <w:basedOn w:val="1"/>
    <w:next w:val="1"/>
    <w:unhideWhenUsed/>
    <w:qFormat/>
    <w:uiPriority w:val="35"/>
    <w:rPr>
      <w:rFonts w:eastAsia="黑体" w:asciiTheme="majorHAnsi" w:hAnsiTheme="majorHAnsi" w:cstheme="majorBidi"/>
      <w:sz w:val="20"/>
      <w:szCs w:val="20"/>
    </w:rPr>
  </w:style>
  <w:style w:type="paragraph" w:styleId="4">
    <w:name w:val="Document Map"/>
    <w:basedOn w:val="1"/>
    <w:qFormat/>
    <w:uiPriority w:val="0"/>
    <w:pPr>
      <w:shd w:val="clear" w:color="auto" w:fill="000080"/>
    </w:pPr>
  </w:style>
  <w:style w:type="paragraph" w:styleId="5">
    <w:name w:val="annotation text"/>
    <w:basedOn w:val="1"/>
    <w:link w:val="24"/>
    <w:qFormat/>
    <w:uiPriority w:val="0"/>
  </w:style>
  <w:style w:type="paragraph" w:styleId="6">
    <w:name w:val="Body Text"/>
    <w:basedOn w:val="1"/>
    <w:next w:val="1"/>
    <w:link w:val="35"/>
    <w:unhideWhenUsed/>
    <w:qFormat/>
    <w:uiPriority w:val="99"/>
  </w:style>
  <w:style w:type="paragraph" w:styleId="7">
    <w:name w:val="Body Text Indent 2"/>
    <w:basedOn w:val="1"/>
    <w:unhideWhenUsed/>
    <w:qFormat/>
    <w:uiPriority w:val="99"/>
    <w:pPr>
      <w:spacing w:after="120" w:line="480" w:lineRule="auto"/>
      <w:ind w:left="420" w:leftChars="200"/>
    </w:pPr>
    <w:rPr>
      <w:rFonts w:ascii="Calibri" w:hAnsi="Calibri"/>
      <w:szCs w:val="22"/>
    </w:rPr>
  </w:style>
  <w:style w:type="paragraph" w:styleId="8">
    <w:name w:val="Balloon Text"/>
    <w:basedOn w:val="1"/>
    <w:link w:val="25"/>
    <w:qFormat/>
    <w:uiPriority w:val="0"/>
    <w:rPr>
      <w:sz w:val="18"/>
      <w:szCs w:val="18"/>
    </w:rPr>
  </w:style>
  <w:style w:type="paragraph" w:styleId="9">
    <w:name w:val="footer"/>
    <w:basedOn w:val="1"/>
    <w:link w:val="21"/>
    <w:qFormat/>
    <w:uiPriority w:val="0"/>
    <w:pPr>
      <w:tabs>
        <w:tab w:val="center" w:pos="4153"/>
        <w:tab w:val="right" w:pos="8306"/>
      </w:tabs>
      <w:snapToGrid w:val="0"/>
    </w:pPr>
    <w:rPr>
      <w:sz w:val="18"/>
    </w:rPr>
  </w:style>
  <w:style w:type="paragraph" w:styleId="10">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spacing w:line="240" w:lineRule="auto"/>
      <w:ind w:firstLine="0" w:firstLineChars="0"/>
    </w:pPr>
    <w:rPr>
      <w:sz w:val="21"/>
    </w:rPr>
  </w:style>
  <w:style w:type="paragraph" w:styleId="12">
    <w:name w:val="Normal (Web)"/>
    <w:basedOn w:val="1"/>
    <w:unhideWhenUsed/>
    <w:qFormat/>
    <w:uiPriority w:val="99"/>
    <w:pPr>
      <w:jc w:val="both"/>
    </w:pPr>
    <w:rPr>
      <w:rFonts w:ascii="Calibri" w:hAnsi="Calibri"/>
    </w:rPr>
  </w:style>
  <w:style w:type="paragraph" w:styleId="13">
    <w:name w:val="Title"/>
    <w:basedOn w:val="1"/>
    <w:next w:val="1"/>
    <w:link w:val="29"/>
    <w:qFormat/>
    <w:uiPriority w:val="10"/>
    <w:pPr>
      <w:spacing w:before="240" w:after="60"/>
      <w:jc w:val="center"/>
      <w:outlineLvl w:val="0"/>
    </w:pPr>
    <w:rPr>
      <w:rFonts w:ascii="Cambria" w:hAnsi="Cambria"/>
      <w:b/>
      <w:bCs/>
      <w:sz w:val="32"/>
      <w:szCs w:val="32"/>
      <w:lang w:val="zh-CN"/>
    </w:rPr>
  </w:style>
  <w:style w:type="paragraph" w:styleId="14">
    <w:name w:val="annotation subject"/>
    <w:basedOn w:val="5"/>
    <w:next w:val="5"/>
    <w:link w:val="26"/>
    <w:qFormat/>
    <w:uiPriority w:val="0"/>
    <w:rPr>
      <w:b/>
      <w:bCs/>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llowedHyperlink"/>
    <w:basedOn w:val="17"/>
    <w:semiHidden/>
    <w:unhideWhenUsed/>
    <w:qFormat/>
    <w:uiPriority w:val="99"/>
    <w:rPr>
      <w:color w:val="185FCA"/>
      <w:u w:val="single"/>
    </w:rPr>
  </w:style>
  <w:style w:type="character" w:styleId="19">
    <w:name w:val="Hyperlink"/>
    <w:basedOn w:val="17"/>
    <w:qFormat/>
    <w:uiPriority w:val="99"/>
    <w:rPr>
      <w:color w:val="185FCA"/>
      <w:u w:val="single"/>
    </w:rPr>
  </w:style>
  <w:style w:type="character" w:styleId="20">
    <w:name w:val="annotation reference"/>
    <w:qFormat/>
    <w:uiPriority w:val="0"/>
    <w:rPr>
      <w:sz w:val="21"/>
      <w:szCs w:val="21"/>
    </w:rPr>
  </w:style>
  <w:style w:type="character" w:customStyle="1" w:styleId="21">
    <w:name w:val="页脚 字符"/>
    <w:link w:val="9"/>
    <w:qFormat/>
    <w:uiPriority w:val="0"/>
    <w:rPr>
      <w:rFonts w:ascii="Times New Roman" w:hAnsi="Times New Roman" w:eastAsia="宋体" w:cs="Times New Roman"/>
      <w:sz w:val="18"/>
      <w:szCs w:val="24"/>
    </w:rPr>
  </w:style>
  <w:style w:type="character" w:customStyle="1" w:styleId="22">
    <w:name w:val="标题 1 字符"/>
    <w:link w:val="2"/>
    <w:qFormat/>
    <w:uiPriority w:val="0"/>
    <w:rPr>
      <w:rFonts w:ascii="宋体" w:hAnsi="宋体"/>
      <w:b/>
      <w:bCs/>
      <w:kern w:val="24"/>
      <w:sz w:val="30"/>
      <w:szCs w:val="24"/>
      <w:u w:color="000000"/>
    </w:rPr>
  </w:style>
  <w:style w:type="character" w:customStyle="1" w:styleId="23">
    <w:name w:val="页眉 字符"/>
    <w:link w:val="10"/>
    <w:qFormat/>
    <w:uiPriority w:val="0"/>
    <w:rPr>
      <w:rFonts w:ascii="Times New Roman" w:hAnsi="Times New Roman" w:eastAsia="宋体" w:cs="Times New Roman"/>
      <w:sz w:val="18"/>
      <w:szCs w:val="18"/>
    </w:rPr>
  </w:style>
  <w:style w:type="character" w:customStyle="1" w:styleId="24">
    <w:name w:val="批注文字 字符"/>
    <w:link w:val="5"/>
    <w:qFormat/>
    <w:uiPriority w:val="0"/>
    <w:rPr>
      <w:rFonts w:ascii="Times New Roman" w:hAnsi="Times New Roman"/>
      <w:kern w:val="2"/>
      <w:sz w:val="21"/>
      <w:szCs w:val="24"/>
    </w:rPr>
  </w:style>
  <w:style w:type="character" w:customStyle="1" w:styleId="25">
    <w:name w:val="批注框文本 字符"/>
    <w:link w:val="8"/>
    <w:qFormat/>
    <w:uiPriority w:val="0"/>
    <w:rPr>
      <w:rFonts w:ascii="Times New Roman" w:hAnsi="Times New Roman"/>
      <w:kern w:val="2"/>
      <w:sz w:val="18"/>
      <w:szCs w:val="18"/>
    </w:rPr>
  </w:style>
  <w:style w:type="character" w:customStyle="1" w:styleId="26">
    <w:name w:val="批注主题 字符"/>
    <w:link w:val="14"/>
    <w:qFormat/>
    <w:uiPriority w:val="0"/>
    <w:rPr>
      <w:rFonts w:ascii="Times New Roman" w:hAnsi="Times New Roman"/>
      <w:b/>
      <w:bCs/>
      <w:kern w:val="2"/>
      <w:sz w:val="21"/>
      <w:szCs w:val="24"/>
    </w:rPr>
  </w:style>
  <w:style w:type="paragraph" w:customStyle="1" w:styleId="27">
    <w:name w:val="修订1"/>
    <w:qFormat/>
    <w:uiPriority w:val="0"/>
    <w:rPr>
      <w:rFonts w:ascii="Times New Roman" w:hAnsi="Times New Roman" w:eastAsia="宋体" w:cs="Times New Roman"/>
      <w:kern w:val="2"/>
      <w:sz w:val="21"/>
      <w:szCs w:val="24"/>
      <w:lang w:val="en-US" w:eastAsia="zh-CN" w:bidi="ar-SA"/>
    </w:rPr>
  </w:style>
  <w:style w:type="paragraph" w:customStyle="1" w:styleId="28">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9">
    <w:name w:val="标题 字符"/>
    <w:basedOn w:val="17"/>
    <w:link w:val="13"/>
    <w:qFormat/>
    <w:uiPriority w:val="10"/>
    <w:rPr>
      <w:rFonts w:ascii="Cambria" w:hAnsi="Cambria"/>
      <w:b/>
      <w:bCs/>
      <w:kern w:val="2"/>
      <w:sz w:val="32"/>
      <w:szCs w:val="32"/>
      <w:lang w:val="zh-CN"/>
    </w:rPr>
  </w:style>
  <w:style w:type="paragraph" w:styleId="30">
    <w:name w:val="List Paragraph"/>
    <w:basedOn w:val="1"/>
    <w:qFormat/>
    <w:uiPriority w:val="34"/>
    <w:pPr>
      <w:spacing w:line="240" w:lineRule="auto"/>
      <w:ind w:firstLine="420"/>
      <w:jc w:val="both"/>
    </w:pPr>
    <w:rPr>
      <w:rFonts w:asciiTheme="minorHAnsi" w:hAnsiTheme="minorHAnsi" w:eastAsiaTheme="minorEastAsia" w:cstheme="minorBidi"/>
      <w:sz w:val="21"/>
      <w:szCs w:val="22"/>
    </w:rPr>
  </w:style>
  <w:style w:type="character" w:customStyle="1" w:styleId="31">
    <w:name w:val="正文文本 字符"/>
    <w:basedOn w:val="17"/>
    <w:link w:val="6"/>
    <w:qFormat/>
    <w:uiPriority w:val="99"/>
    <w:rPr>
      <w:rFonts w:eastAsia="宋体"/>
      <w:kern w:val="2"/>
      <w:sz w:val="24"/>
      <w:szCs w:val="24"/>
    </w:rPr>
  </w:style>
  <w:style w:type="paragraph" w:customStyle="1" w:styleId="32">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3">
    <w:name w:val="图表目录1"/>
    <w:basedOn w:val="34"/>
    <w:next w:val="34"/>
    <w:qFormat/>
    <w:uiPriority w:val="0"/>
    <w:pPr>
      <w:ind w:left="200" w:leftChars="200" w:hanging="200" w:hangingChars="200"/>
    </w:pPr>
  </w:style>
  <w:style w:type="paragraph" w:customStyle="1" w:styleId="3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5">
    <w:name w:val="正文文本 Char"/>
    <w:basedOn w:val="17"/>
    <w:link w:val="6"/>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4FE2C-79D0-4AD2-9BC4-B1648EE61F6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Pages>
  <Words>5642</Words>
  <Characters>5833</Characters>
  <Lines>47</Lines>
  <Paragraphs>13</Paragraphs>
  <TotalTime>18</TotalTime>
  <ScaleCrop>false</ScaleCrop>
  <LinksUpToDate>false</LinksUpToDate>
  <CharactersWithSpaces>5872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2025-03-27T02:12:00Z</dcterms:created>
  <dc:creator>Chen Xiangyu</dc:creator>
  <cp:lastModifiedBy>周茂平</cp:lastModifiedBy>
  <cp:lastPrinted>2021-03-26T03:51:00Z</cp:lastPrinted>
  <dcterms:modified xsi:type="dcterms:W3CDTF">2026-01-05T07:48:21Z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84ACB89964994B7588184087DF66135C</vt:lpwstr>
  </property>
  <property fmtid="{D5CDD505-2E9C-101B-9397-08002B2CF9AE}" pid="4" name="KSOTemplateDocerSaveRecord">
    <vt:lpwstr>eyJoZGlkIjoiMzEwNTM5NzYwMDRjMzkwZTVkZjY2ODkwMGIxNGU0OTUiLCJ1c2VySWQiOiIxMTI1OTYwMzU0In0=</vt:lpwstr>
  </property>
</Properties>
</file>