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jc w:val="center"/>
        <w:outlineLvl w:val="0"/>
        <w:rPr>
          <w:rFonts w:hint="eastAsia" w:ascii="仿宋" w:hAnsi="仿宋" w:eastAsia="仿宋" w:cs="仿宋"/>
          <w:color w:val="000000" w:themeColor="text1"/>
          <w:kern w:val="2"/>
          <w:sz w:val="32"/>
          <w:szCs w:val="32"/>
          <w:highlight w:val="none"/>
          <w:u w:val="single"/>
          <w:lang w:val="en-US" w:eastAsia="zh-CN" w:bidi="ar-SA"/>
          <w14:textFill>
            <w14:solidFill>
              <w14:schemeClr w14:val="tx1"/>
            </w14:solidFill>
          </w14:textFill>
        </w:rPr>
      </w:pPr>
      <w:bookmarkStart w:id="0" w:name="_Toc501202059"/>
      <w:r>
        <w:rPr>
          <w:rFonts w:hint="eastAsia" w:ascii="仿宋" w:hAnsi="仿宋" w:eastAsia="仿宋" w:cs="仿宋"/>
          <w:color w:val="000000" w:themeColor="text1"/>
          <w:kern w:val="2"/>
          <w:sz w:val="32"/>
          <w:szCs w:val="32"/>
          <w:highlight w:val="none"/>
          <w:u w:val="single"/>
          <w:lang w:val="en-US" w:eastAsia="zh-CN" w:bidi="ar-SA"/>
          <w14:textFill>
            <w14:solidFill>
              <w14:schemeClr w14:val="tx1"/>
            </w14:solidFill>
          </w14:textFill>
        </w:rPr>
        <w:t>广西博联信息通信技术有限责任公司运行维护部2026年来宾深信服上网行为审计系统升级服务零星采购项目</w:t>
      </w:r>
    </w:p>
    <w:p>
      <w:pPr>
        <w:pStyle w:val="8"/>
        <w:jc w:val="center"/>
        <w:outlineLvl w:val="0"/>
        <w:rPr>
          <w:rFonts w:hint="default" w:ascii="仿宋" w:hAnsi="仿宋" w:eastAsia="仿宋" w:cs="仿宋"/>
          <w:color w:val="000000" w:themeColor="text1"/>
          <w:kern w:val="2"/>
          <w:sz w:val="32"/>
          <w:szCs w:val="32"/>
          <w:highlight w:val="none"/>
          <w:u w:val="single"/>
          <w:lang w:val="en-US" w:eastAsia="zh-CN" w:bidi="ar-SA"/>
          <w14:textFill>
            <w14:solidFill>
              <w14:schemeClr w14:val="tx1"/>
            </w14:solidFill>
          </w14:textFill>
        </w:rPr>
      </w:pPr>
      <w:r>
        <w:rPr>
          <w:rFonts w:hint="eastAsia" w:ascii="仿宋" w:hAnsi="仿宋" w:eastAsia="仿宋" w:cs="仿宋"/>
          <w:color w:val="000000" w:themeColor="text1"/>
          <w:kern w:val="2"/>
          <w:sz w:val="32"/>
          <w:szCs w:val="32"/>
          <w:highlight w:val="none"/>
          <w:u w:val="single"/>
          <w:lang w:val="en-US" w:eastAsia="zh-CN" w:bidi="ar-SA"/>
          <w14:textFill>
            <w14:solidFill>
              <w14:schemeClr w14:val="tx1"/>
            </w14:solidFill>
          </w14:textFill>
        </w:rPr>
        <w:t>服务要求</w:t>
      </w:r>
    </w:p>
    <w:p>
      <w:pPr>
        <w:pStyle w:val="8"/>
        <w:outlineLvl w:val="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_GB2312" w:hAnsi="仿宋_GB2312" w:eastAsia="仿宋_GB2312" w:cs="仿宋_GB2312"/>
          <w:lang w:val="en-US" w:eastAsia="zh-CN"/>
        </w:rPr>
        <w:t>1</w:t>
      </w:r>
      <w:r>
        <w:rPr>
          <w:rFonts w:hint="eastAsia" w:ascii="仿宋_GB2312" w:hAnsi="仿宋_GB2312" w:eastAsia="仿宋_GB2312" w:cs="仿宋_GB2312"/>
        </w:rPr>
        <w:t>、概述</w:t>
      </w:r>
      <w:bookmarkEnd w:id="0"/>
    </w:p>
    <w:p>
      <w:pPr>
        <w:adjustRightInd w:val="0"/>
        <w:snapToGrid w:val="0"/>
        <w:spacing w:before="156" w:line="360" w:lineRule="auto"/>
        <w:ind w:firstLine="480" w:firstLineChars="200"/>
        <w:jc w:val="left"/>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本服务要求适用于广西博联信息通信技术有限责任公司（以下简称：采购人）</w:t>
      </w:r>
      <w:r>
        <w:rPr>
          <w:rFonts w:hint="eastAsia" w:ascii="仿宋" w:hAnsi="仿宋" w:eastAsia="仿宋" w:cs="仿宋"/>
          <w:color w:val="000000" w:themeColor="text1"/>
          <w:kern w:val="2"/>
          <w:sz w:val="24"/>
          <w:szCs w:val="24"/>
          <w:highlight w:val="none"/>
          <w:u w:val="single"/>
          <w:lang w:val="en-US" w:eastAsia="zh-CN" w:bidi="ar-SA"/>
          <w14:textFill>
            <w14:solidFill>
              <w14:schemeClr w14:val="tx1"/>
            </w14:solidFill>
          </w14:textFill>
        </w:rPr>
        <w:t>广西博联信息通信技术有限责任公司运行维护部2026年来宾深信服上网行为审计系统升级服务零星采购</w:t>
      </w: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（以下简称：本项目），本服务要求的最终解释权归采购人。</w:t>
      </w:r>
    </w:p>
    <w:p>
      <w:pPr>
        <w:pStyle w:val="9"/>
        <w:spacing w:line="360" w:lineRule="auto"/>
        <w:ind w:left="0" w:leftChars="0" w:firstLine="480" w:firstLineChars="200"/>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2）本服务要求提出了本项目需求的广度、深度和相应的技术指标要求，可供报价人编写技术响应文件之用。</w:t>
      </w:r>
    </w:p>
    <w:p>
      <w:pPr>
        <w:pStyle w:val="9"/>
        <w:spacing w:line="360" w:lineRule="auto"/>
        <w:ind w:left="0" w:leftChars="0" w:firstLine="480" w:firstLineChars="200"/>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3） 报价人应保证所提供的所有资料真实、完整、准确无误，否则采购人将有权取消报价人的供货资格，由此产生的一切后果由报价人承担。</w:t>
      </w:r>
    </w:p>
    <w:p>
      <w:pPr>
        <w:pStyle w:val="9"/>
        <w:spacing w:line="360" w:lineRule="auto"/>
        <w:ind w:left="0" w:leftChars="0" w:firstLine="480" w:firstLineChars="200"/>
        <w:rPr>
          <w:rFonts w:hint="default"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4） 本服务要求中带“★”符号为必要事项要求。报价人要特别加以注意，必须完全满足这些要求。</w:t>
      </w:r>
    </w:p>
    <w:p>
      <w:pPr>
        <w:pStyle w:val="8"/>
        <w:spacing w:line="360" w:lineRule="auto"/>
        <w:outlineLvl w:val="0"/>
        <w:rPr>
          <w:rFonts w:hint="eastAsia" w:ascii="仿宋_GB2312" w:hAnsi="仿宋_GB2312" w:eastAsia="仿宋_GB2312" w:cs="仿宋_GB2312"/>
        </w:rPr>
      </w:pPr>
      <w:bookmarkStart w:id="1" w:name="_Toc501202060"/>
      <w:r>
        <w:rPr>
          <w:rFonts w:hint="eastAsia" w:ascii="仿宋_GB2312" w:hAnsi="仿宋_GB2312" w:eastAsia="仿宋_GB2312" w:cs="仿宋_GB2312"/>
          <w:lang w:val="en-US" w:eastAsia="zh-CN"/>
        </w:rPr>
        <w:t>2</w:t>
      </w:r>
      <w:r>
        <w:rPr>
          <w:rFonts w:hint="eastAsia" w:ascii="仿宋_GB2312" w:hAnsi="仿宋_GB2312" w:eastAsia="仿宋_GB2312" w:cs="仿宋_GB2312"/>
        </w:rPr>
        <w:t>、定义</w:t>
      </w:r>
      <w:bookmarkEnd w:id="1"/>
    </w:p>
    <w:p>
      <w:pPr>
        <w:pStyle w:val="9"/>
        <w:spacing w:line="360" w:lineRule="auto"/>
        <w:rPr>
          <w:rFonts w:hint="eastAsia" w:ascii="仿宋" w:hAnsi="仿宋" w:eastAsia="仿宋" w:cs="仿宋"/>
          <w:sz w:val="24"/>
          <w:szCs w:val="24"/>
        </w:rPr>
      </w:pPr>
      <w:r>
        <w:rPr>
          <w:rFonts w:hint="eastAsia" w:ascii="仿宋" w:hAnsi="仿宋" w:eastAsia="仿宋" w:cs="仿宋"/>
          <w:sz w:val="24"/>
          <w:szCs w:val="24"/>
          <w:lang w:eastAsia="zh-CN"/>
        </w:rPr>
        <w:t>采购人</w:t>
      </w:r>
      <w:r>
        <w:rPr>
          <w:rFonts w:hint="eastAsia" w:ascii="仿宋" w:hAnsi="仿宋" w:eastAsia="仿宋" w:cs="仿宋"/>
          <w:sz w:val="24"/>
          <w:szCs w:val="24"/>
        </w:rPr>
        <w:t>：广西博联信息通信技术有限责任公司。</w:t>
      </w:r>
    </w:p>
    <w:p>
      <w:pPr>
        <w:pStyle w:val="9"/>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报价人</w:t>
      </w:r>
      <w:r>
        <w:rPr>
          <w:rFonts w:hint="eastAsia" w:ascii="仿宋" w:hAnsi="仿宋" w:eastAsia="仿宋" w:cs="仿宋"/>
          <w:sz w:val="24"/>
          <w:szCs w:val="24"/>
        </w:rPr>
        <w:t>：</w:t>
      </w:r>
      <w:r>
        <w:rPr>
          <w:rFonts w:hint="eastAsia" w:ascii="仿宋" w:hAnsi="仿宋" w:eastAsia="仿宋" w:cs="仿宋"/>
          <w:sz w:val="24"/>
          <w:szCs w:val="24"/>
          <w:lang w:val="en-US" w:eastAsia="zh-CN"/>
        </w:rPr>
        <w:t>本项目服务提供单位</w:t>
      </w:r>
    </w:p>
    <w:p>
      <w:pPr>
        <w:pStyle w:val="9"/>
        <w:spacing w:line="360" w:lineRule="auto"/>
        <w:rPr>
          <w:rFonts w:hint="eastAsia" w:ascii="仿宋" w:hAnsi="仿宋" w:eastAsia="仿宋" w:cs="仿宋"/>
          <w:color w:val="000000" w:themeColor="text1"/>
          <w:sz w:val="24"/>
          <w:szCs w:val="24"/>
          <w:highlight w:val="none"/>
          <w14:textFill>
            <w14:solidFill>
              <w14:schemeClr w14:val="tx1"/>
            </w14:solidFill>
          </w14:textFill>
        </w:rPr>
      </w:pPr>
    </w:p>
    <w:p>
      <w:pPr>
        <w:pStyle w:val="8"/>
        <w:spacing w:line="360" w:lineRule="auto"/>
        <w:outlineLvl w:val="0"/>
        <w:rPr>
          <w:rFonts w:hint="eastAsia" w:ascii="仿宋" w:hAnsi="仿宋" w:eastAsia="仿宋" w:cs="仿宋"/>
          <w:color w:val="000000" w:themeColor="text1"/>
          <w:sz w:val="24"/>
          <w:szCs w:val="24"/>
          <w:highlight w:val="none"/>
          <w:lang w:eastAsia="zh-CN"/>
          <w14:textFill>
            <w14:solidFill>
              <w14:schemeClr w14:val="tx1"/>
            </w14:solidFill>
          </w14:textFill>
        </w:rPr>
      </w:pPr>
      <w:bookmarkStart w:id="2" w:name="_Toc501202061"/>
      <w:r>
        <w:rPr>
          <w:rFonts w:hint="eastAsia" w:ascii="仿宋_GB2312" w:hAnsi="仿宋_GB2312" w:eastAsia="仿宋_GB2312" w:cs="仿宋_GB2312"/>
          <w:lang w:val="en-US" w:eastAsia="zh-CN"/>
        </w:rPr>
        <w:t>3</w:t>
      </w:r>
      <w:r>
        <w:rPr>
          <w:rFonts w:hint="eastAsia" w:ascii="仿宋_GB2312" w:hAnsi="仿宋_GB2312" w:eastAsia="仿宋_GB2312" w:cs="仿宋_GB2312"/>
        </w:rPr>
        <w:t>、</w:t>
      </w:r>
      <w:r>
        <w:rPr>
          <w:rFonts w:hint="eastAsia" w:ascii="仿宋" w:hAnsi="仿宋" w:eastAsia="仿宋" w:cs="仿宋"/>
          <w:color w:val="000000" w:themeColor="text1"/>
          <w:sz w:val="24"/>
          <w:szCs w:val="24"/>
          <w:highlight w:val="none"/>
          <w14:textFill>
            <w14:solidFill>
              <w14:schemeClr w14:val="tx1"/>
            </w14:solidFill>
          </w14:textFill>
        </w:rPr>
        <w:t>采购范围</w:t>
      </w:r>
      <w:bookmarkEnd w:id="2"/>
      <w:r>
        <w:rPr>
          <w:rFonts w:hint="eastAsia" w:ascii="仿宋" w:hAnsi="仿宋" w:eastAsia="仿宋" w:cs="仿宋"/>
          <w:color w:val="000000" w:themeColor="text1"/>
          <w:sz w:val="24"/>
          <w:szCs w:val="24"/>
          <w:highlight w:val="none"/>
          <w:lang w:val="en-US" w:eastAsia="zh-CN"/>
          <w14:textFill>
            <w14:solidFill>
              <w14:schemeClr w14:val="tx1"/>
            </w14:solidFill>
          </w14:textFill>
        </w:rPr>
        <w:t>和内容</w:t>
      </w:r>
    </w:p>
    <w:p>
      <w:pPr>
        <w:spacing w:line="360" w:lineRule="auto"/>
        <w:ind w:left="158" w:leftChars="75" w:firstLine="480" w:firstLineChars="200"/>
        <w:rPr>
          <w:rFonts w:hint="eastAsia" w:ascii="仿宋" w:hAnsi="仿宋" w:eastAsia="仿宋" w:cs="仿宋"/>
          <w:color w:val="000000" w:themeColor="text1"/>
          <w:sz w:val="24"/>
          <w:szCs w:val="24"/>
          <w:highlight w:val="none"/>
          <w14:textFill>
            <w14:solidFill>
              <w14:schemeClr w14:val="tx1"/>
            </w14:solidFill>
          </w14:textFill>
        </w:rPr>
      </w:pPr>
      <w:bookmarkStart w:id="3" w:name="_Toc501202062"/>
      <w:r>
        <w:rPr>
          <w:rFonts w:hint="eastAsia" w:ascii="仿宋" w:hAnsi="仿宋" w:eastAsia="仿宋" w:cs="仿宋"/>
          <w:b w:val="0"/>
          <w:bCs w:val="0"/>
          <w:color w:val="000000" w:themeColor="text1"/>
          <w:kern w:val="2"/>
          <w:sz w:val="24"/>
          <w:szCs w:val="24"/>
          <w:highlight w:val="none"/>
          <w:lang w:val="en-US" w:eastAsia="zh-CN" w:bidi="ar-SA"/>
          <w14:textFill>
            <w14:solidFill>
              <w14:schemeClr w14:val="tx1"/>
            </w14:solidFill>
          </w14:textFill>
        </w:rPr>
        <w:t>本次</w:t>
      </w:r>
      <w:r>
        <w:rPr>
          <w:rFonts w:hint="eastAsia" w:ascii="仿宋" w:hAnsi="仿宋" w:eastAsia="仿宋" w:cs="仿宋"/>
          <w:color w:val="000000" w:themeColor="text1"/>
          <w:kern w:val="2"/>
          <w:sz w:val="24"/>
          <w:szCs w:val="24"/>
          <w:highlight w:val="none"/>
          <w:u w:val="single"/>
          <w:lang w:val="en-US" w:eastAsia="zh-CN" w:bidi="ar-SA"/>
          <w14:textFill>
            <w14:solidFill>
              <w14:schemeClr w14:val="tx1"/>
            </w14:solidFill>
          </w14:textFill>
        </w:rPr>
        <w:t>广西博联信息通信技术有限责任公司运行维护部2026年来宾深信服上网行为审计系统升级服务零星采购</w:t>
      </w:r>
      <w:r>
        <w:rPr>
          <w:rFonts w:hint="eastAsia" w:ascii="仿宋" w:hAnsi="仿宋" w:eastAsia="仿宋" w:cs="仿宋"/>
          <w:b w:val="0"/>
          <w:bCs w:val="0"/>
          <w:color w:val="000000" w:themeColor="text1"/>
          <w:kern w:val="2"/>
          <w:sz w:val="24"/>
          <w:szCs w:val="24"/>
          <w:highlight w:val="none"/>
          <w:lang w:val="en-US" w:eastAsia="zh-CN" w:bidi="ar-SA"/>
          <w14:textFill>
            <w14:solidFill>
              <w14:schemeClr w14:val="tx1"/>
            </w14:solidFill>
          </w14:textFill>
        </w:rPr>
        <w:t>采购范围和内容如下。</w:t>
      </w:r>
    </w:p>
    <w:tbl>
      <w:tblPr>
        <w:tblStyle w:val="6"/>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2"/>
        <w:gridCol w:w="5632"/>
        <w:gridCol w:w="990"/>
        <w:gridCol w:w="10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812" w:type="dxa"/>
            <w:tcBorders>
              <w:top w:val="single" w:color="auto" w:sz="4" w:space="0"/>
              <w:left w:val="single" w:color="auto" w:sz="4" w:space="0"/>
              <w:bottom w:val="single" w:color="auto" w:sz="4" w:space="0"/>
              <w:right w:val="single" w:color="auto" w:sz="4" w:space="0"/>
            </w:tcBorders>
            <w:vAlign w:val="top"/>
          </w:tcPr>
          <w:p>
            <w:pPr>
              <w:spacing w:line="360" w:lineRule="auto"/>
              <w:ind w:left="0" w:leftChars="0" w:firstLine="0" w:firstLineChars="0"/>
              <w:jc w:val="both"/>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序号</w:t>
            </w:r>
          </w:p>
        </w:tc>
        <w:tc>
          <w:tcPr>
            <w:tcW w:w="563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内容</w:t>
            </w:r>
          </w:p>
        </w:tc>
        <w:tc>
          <w:tcPr>
            <w:tcW w:w="990" w:type="dxa"/>
            <w:tcBorders>
              <w:top w:val="single" w:color="auto" w:sz="4" w:space="0"/>
              <w:left w:val="single" w:color="auto" w:sz="4" w:space="0"/>
              <w:bottom w:val="single" w:color="auto" w:sz="4" w:space="0"/>
              <w:right w:val="single" w:color="auto" w:sz="4" w:space="0"/>
            </w:tcBorders>
            <w:vAlign w:val="center"/>
          </w:tcPr>
          <w:p>
            <w:pPr>
              <w:spacing w:line="360" w:lineRule="auto"/>
              <w:ind w:left="0" w:leftChars="0" w:firstLine="0" w:firstLineChars="0"/>
              <w:jc w:val="both"/>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数量</w:t>
            </w:r>
          </w:p>
        </w:tc>
        <w:tc>
          <w:tcPr>
            <w:tcW w:w="10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81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p>
        </w:tc>
        <w:tc>
          <w:tcPr>
            <w:tcW w:w="5632"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hint="default"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2026年来宾深信服上网行为审计系统升级服务,包括1台深信服IPS系统授权服务续期和4台深信服上网行为审计(管理)设备授权服务续期，型号和序列号：1台深信服AF-1850，序列号5062001544,4台深信服AC-H4700，序列号5071003345、5071003346、</w:t>
            </w:r>
            <w:bookmarkStart w:id="7" w:name="_GoBack"/>
            <w:bookmarkEnd w:id="7"/>
            <w:r>
              <w:rPr>
                <w:rFonts w:hint="eastAsia" w:ascii="仿宋" w:hAnsi="仿宋" w:eastAsia="仿宋" w:cs="仿宋"/>
                <w:color w:val="000000" w:themeColor="text1"/>
                <w:sz w:val="24"/>
                <w:szCs w:val="24"/>
                <w:highlight w:val="none"/>
                <w:lang w:val="en-US" w:eastAsia="zh-CN"/>
                <w14:textFill>
                  <w14:solidFill>
                    <w14:schemeClr w14:val="tx1"/>
                  </w14:solidFill>
                </w14:textFill>
              </w:rPr>
              <w:t>5071003347、5071003437</w:t>
            </w:r>
          </w:p>
        </w:tc>
        <w:tc>
          <w:tcPr>
            <w:tcW w:w="99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w:t>
            </w:r>
          </w:p>
        </w:tc>
        <w:tc>
          <w:tcPr>
            <w:tcW w:w="10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项</w:t>
            </w:r>
          </w:p>
        </w:tc>
      </w:tr>
    </w:tbl>
    <w:p>
      <w:pPr>
        <w:spacing w:line="360" w:lineRule="auto"/>
        <w:ind w:firstLine="480" w:firstLineChars="200"/>
        <w:jc w:val="both"/>
        <w:rPr>
          <w:rFonts w:hint="eastAsia" w:ascii="仿宋" w:hAnsi="仿宋" w:eastAsia="仿宋" w:cs="仿宋"/>
          <w:color w:val="000000" w:themeColor="text1"/>
          <w:sz w:val="24"/>
          <w:szCs w:val="24"/>
          <w:highlight w:val="none"/>
          <w14:textFill>
            <w14:solidFill>
              <w14:schemeClr w14:val="tx1"/>
            </w14:solidFill>
          </w14:textFill>
        </w:rPr>
      </w:pPr>
    </w:p>
    <w:p>
      <w:pPr>
        <w:spacing w:line="360" w:lineRule="auto"/>
        <w:ind w:firstLine="480" w:firstLineChars="200"/>
        <w:jc w:val="both"/>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本项目服务期：自合同签订日期之日起至2026年8月31日止。</w:t>
      </w:r>
    </w:p>
    <w:bookmarkEnd w:id="3"/>
    <w:p>
      <w:pPr>
        <w:pStyle w:val="8"/>
        <w:numPr>
          <w:ilvl w:val="0"/>
          <w:numId w:val="0"/>
        </w:numPr>
        <w:spacing w:line="360" w:lineRule="auto"/>
        <w:outlineLvl w:val="0"/>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r>
        <w:rPr>
          <w:rFonts w:hint="eastAsia" w:ascii="微软雅黑" w:hAnsi="微软雅黑" w:eastAsia="微软雅黑" w:cs="微软雅黑"/>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服务要求</w:t>
      </w:r>
    </w:p>
    <w:p>
      <w:pPr>
        <w:pStyle w:val="10"/>
        <w:numPr>
          <w:ilvl w:val="2"/>
          <w:numId w:val="0"/>
        </w:numPr>
        <w:bidi w:val="0"/>
        <w:spacing w:line="360" w:lineRule="auto"/>
        <w:ind w:left="0" w:leftChars="0" w:firstLine="480" w:firstLineChars="200"/>
        <w:rPr>
          <w:rFonts w:hint="default" w:ascii="仿宋" w:hAnsi="仿宋" w:eastAsia="仿宋" w:cs="仿宋"/>
          <w:color w:val="000000" w:themeColor="text1"/>
          <w:sz w:val="24"/>
          <w:szCs w:val="24"/>
          <w:highlight w:val="none"/>
          <w:lang w:val="en-US" w:eastAsia="zh-CN"/>
          <w14:textFill>
            <w14:solidFill>
              <w14:schemeClr w14:val="tx1"/>
            </w14:solidFill>
          </w14:textFill>
        </w:rPr>
      </w:pPr>
      <w:bookmarkStart w:id="4" w:name="_Toc299720409"/>
      <w:bookmarkStart w:id="5" w:name="_Toc501202063"/>
      <w:bookmarkStart w:id="6" w:name="_Toc300816580"/>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具有丰富相关系统维护经验、有独立处理技术问题能力的工程师组成专门的维护服务工程师团队进行专项服务，必须实际参与本合同的维护服务工作，授权许可服务升级工作应指派人员现场服务或者远程技术支持服务。</w:t>
      </w:r>
      <w:bookmarkEnd w:id="4"/>
      <w:bookmarkEnd w:id="5"/>
      <w:bookmarkEnd w:id="6"/>
    </w:p>
    <w:p>
      <w:pPr>
        <w:pStyle w:val="8"/>
        <w:numPr>
          <w:ilvl w:val="0"/>
          <w:numId w:val="0"/>
        </w:numPr>
        <w:spacing w:line="360" w:lineRule="auto"/>
        <w:outlineLvl w:val="0"/>
        <w:rPr>
          <w:rFonts w:hint="eastAsia"/>
          <w:lang w:val="en-US" w:eastAsia="zh-CN"/>
        </w:rPr>
      </w:pPr>
      <w:r>
        <w:rPr>
          <w:rFonts w:hint="eastAsia"/>
          <w:lang w:val="en-US" w:eastAsia="zh-CN"/>
        </w:rPr>
        <w:t>5、评审与验收</w:t>
      </w:r>
    </w:p>
    <w:p>
      <w:pPr>
        <w:numPr>
          <w:ilvl w:val="0"/>
          <w:numId w:val="0"/>
        </w:numPr>
        <w:spacing w:line="360" w:lineRule="auto"/>
        <w:ind w:firstLine="480" w:firstLineChars="200"/>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1）报价人</w:t>
      </w:r>
      <w:r>
        <w:rPr>
          <w:rFonts w:hint="eastAsia" w:ascii="仿宋" w:hAnsi="仿宋" w:eastAsia="仿宋" w:cs="仿宋"/>
          <w:color w:val="000000" w:themeColor="text1"/>
          <w:sz w:val="24"/>
          <w:szCs w:val="24"/>
          <w:highlight w:val="none"/>
          <w:lang w:eastAsia="zh-CN"/>
          <w14:textFill>
            <w14:solidFill>
              <w14:schemeClr w14:val="tx1"/>
            </w14:solidFill>
          </w14:textFill>
        </w:rPr>
        <w:t>应在项目服务期满时将项目的全部有关技术文件包括不限于技术</w:t>
      </w:r>
      <w:r>
        <w:rPr>
          <w:rFonts w:hint="eastAsia" w:ascii="仿宋" w:hAnsi="仿宋" w:eastAsia="仿宋" w:cs="仿宋"/>
          <w:color w:val="000000" w:themeColor="text1"/>
          <w:sz w:val="24"/>
          <w:szCs w:val="24"/>
          <w:highlight w:val="none"/>
          <w:lang w:val="en-US" w:eastAsia="zh-CN"/>
          <w14:textFill>
            <w14:solidFill>
              <w14:schemeClr w14:val="tx1"/>
            </w14:solidFill>
          </w14:textFill>
        </w:rPr>
        <w:t>服务</w:t>
      </w:r>
      <w:r>
        <w:rPr>
          <w:rFonts w:hint="eastAsia" w:ascii="仿宋" w:hAnsi="仿宋" w:eastAsia="仿宋" w:cs="仿宋"/>
          <w:color w:val="000000" w:themeColor="text1"/>
          <w:sz w:val="24"/>
          <w:szCs w:val="24"/>
          <w:highlight w:val="none"/>
          <w:lang w:eastAsia="zh-CN"/>
          <w14:textFill>
            <w14:solidFill>
              <w14:schemeClr w14:val="tx1"/>
            </w14:solidFill>
          </w14:textFill>
        </w:rPr>
        <w:t>记录、运维服务报告等文档汇集成册交付给</w:t>
      </w:r>
      <w:r>
        <w:rPr>
          <w:rFonts w:hint="eastAsia" w:ascii="仿宋" w:hAnsi="仿宋" w:eastAsia="仿宋" w:cs="仿宋"/>
          <w:color w:val="000000" w:themeColor="text1"/>
          <w:sz w:val="24"/>
          <w:szCs w:val="24"/>
          <w:highlight w:val="none"/>
          <w:lang w:val="en-US" w:eastAsia="zh-CN"/>
          <w14:textFill>
            <w14:solidFill>
              <w14:schemeClr w14:val="tx1"/>
            </w14:solidFill>
          </w14:textFill>
        </w:rPr>
        <w:t>采购人</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pPr>
        <w:numPr>
          <w:ilvl w:val="0"/>
          <w:numId w:val="0"/>
        </w:numPr>
        <w:spacing w:line="360" w:lineRule="auto"/>
        <w:ind w:firstLine="480" w:firstLineChars="200"/>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2）采购人对报价人所提交项目文档进行正确性及完整性检查，</w:t>
      </w:r>
      <w:r>
        <w:rPr>
          <w:rFonts w:hint="eastAsia" w:ascii="仿宋" w:hAnsi="仿宋" w:eastAsia="仿宋" w:cs="仿宋"/>
          <w:color w:val="000000" w:themeColor="text1"/>
          <w:sz w:val="24"/>
          <w:szCs w:val="24"/>
          <w:highlight w:val="none"/>
          <w:lang w:eastAsia="zh-CN"/>
          <w14:textFill>
            <w14:solidFill>
              <w14:schemeClr w14:val="tx1"/>
            </w14:solidFill>
          </w14:textFill>
        </w:rPr>
        <w:t>经双方签字确认后形成验收</w:t>
      </w:r>
      <w:r>
        <w:rPr>
          <w:rFonts w:hint="eastAsia" w:ascii="仿宋" w:hAnsi="仿宋" w:eastAsia="仿宋" w:cs="仿宋"/>
          <w:color w:val="000000" w:themeColor="text1"/>
          <w:sz w:val="24"/>
          <w:szCs w:val="24"/>
          <w:highlight w:val="none"/>
          <w:lang w:val="en-US" w:eastAsia="zh-CN"/>
          <w14:textFill>
            <w14:solidFill>
              <w14:schemeClr w14:val="tx1"/>
            </w14:solidFill>
          </w14:textFill>
        </w:rPr>
        <w:t>证明</w:t>
      </w:r>
      <w:r>
        <w:rPr>
          <w:rFonts w:hint="eastAsia" w:ascii="仿宋" w:hAnsi="仿宋" w:eastAsia="仿宋" w:cs="仿宋"/>
          <w:color w:val="000000" w:themeColor="text1"/>
          <w:sz w:val="24"/>
          <w:szCs w:val="24"/>
          <w:highlight w:val="none"/>
          <w:lang w:eastAsia="zh-CN"/>
          <w14:textFill>
            <w14:solidFill>
              <w14:schemeClr w14:val="tx1"/>
            </w14:solidFill>
          </w14:textFill>
        </w:rPr>
        <w:t>文件。</w:t>
      </w:r>
    </w:p>
    <w:p>
      <w:pPr>
        <w:numPr>
          <w:ilvl w:val="0"/>
          <w:numId w:val="0"/>
        </w:numPr>
        <w:spacing w:line="360" w:lineRule="auto"/>
        <w:ind w:firstLine="480" w:firstLineChars="200"/>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3）若</w:t>
      </w:r>
      <w:r>
        <w:rPr>
          <w:rFonts w:hint="eastAsia" w:ascii="仿宋" w:hAnsi="仿宋" w:eastAsia="仿宋" w:cs="仿宋"/>
          <w:color w:val="000000" w:themeColor="text1"/>
          <w:sz w:val="24"/>
          <w:szCs w:val="24"/>
          <w:highlight w:val="none"/>
          <w:lang w:eastAsia="zh-CN"/>
          <w14:textFill>
            <w14:solidFill>
              <w14:schemeClr w14:val="tx1"/>
            </w14:solidFill>
          </w14:textFill>
        </w:rPr>
        <w:t>由于</w:t>
      </w:r>
      <w:r>
        <w:rPr>
          <w:rFonts w:hint="eastAsia" w:ascii="仿宋" w:hAnsi="仿宋" w:eastAsia="仿宋" w:cs="仿宋"/>
          <w:color w:val="000000" w:themeColor="text1"/>
          <w:sz w:val="24"/>
          <w:szCs w:val="24"/>
          <w:highlight w:val="none"/>
          <w:lang w:val="en-US" w:eastAsia="zh-CN"/>
          <w14:textFill>
            <w14:solidFill>
              <w14:schemeClr w14:val="tx1"/>
            </w14:solidFill>
          </w14:textFill>
        </w:rPr>
        <w:t>报价人</w:t>
      </w:r>
      <w:r>
        <w:rPr>
          <w:rFonts w:hint="eastAsia" w:ascii="仿宋" w:hAnsi="仿宋" w:eastAsia="仿宋" w:cs="仿宋"/>
          <w:color w:val="000000" w:themeColor="text1"/>
          <w:sz w:val="24"/>
          <w:szCs w:val="24"/>
          <w:highlight w:val="none"/>
          <w:lang w:eastAsia="zh-CN"/>
          <w14:textFill>
            <w14:solidFill>
              <w14:schemeClr w14:val="tx1"/>
            </w14:solidFill>
          </w14:textFill>
        </w:rPr>
        <w:t>的原因，有一条或多条达不到规定的技术要求时，</w:t>
      </w:r>
      <w:r>
        <w:rPr>
          <w:rFonts w:hint="eastAsia" w:ascii="仿宋" w:hAnsi="仿宋" w:eastAsia="仿宋" w:cs="仿宋"/>
          <w:color w:val="000000" w:themeColor="text1"/>
          <w:sz w:val="24"/>
          <w:szCs w:val="24"/>
          <w:highlight w:val="none"/>
          <w:lang w:val="en-US" w:eastAsia="zh-CN"/>
          <w14:textFill>
            <w14:solidFill>
              <w14:schemeClr w14:val="tx1"/>
            </w14:solidFill>
          </w14:textFill>
        </w:rPr>
        <w:t>报价人</w:t>
      </w:r>
      <w:r>
        <w:rPr>
          <w:rFonts w:hint="eastAsia" w:ascii="仿宋" w:hAnsi="仿宋" w:eastAsia="仿宋" w:cs="仿宋"/>
          <w:color w:val="000000" w:themeColor="text1"/>
          <w:sz w:val="24"/>
          <w:szCs w:val="24"/>
          <w:highlight w:val="none"/>
          <w:lang w:eastAsia="zh-CN"/>
          <w14:textFill>
            <w14:solidFill>
              <w14:schemeClr w14:val="tx1"/>
            </w14:solidFill>
          </w14:textFill>
        </w:rPr>
        <w:t>应在附加的4周内采取有效措施，使该项目完全达到规定的技术要求，在此期间的一切费用由</w:t>
      </w:r>
      <w:r>
        <w:rPr>
          <w:rFonts w:hint="eastAsia" w:ascii="仿宋" w:hAnsi="仿宋" w:eastAsia="仿宋" w:cs="仿宋"/>
          <w:color w:val="000000" w:themeColor="text1"/>
          <w:sz w:val="24"/>
          <w:szCs w:val="24"/>
          <w:highlight w:val="none"/>
          <w:lang w:val="en-US" w:eastAsia="zh-CN"/>
          <w14:textFill>
            <w14:solidFill>
              <w14:schemeClr w14:val="tx1"/>
            </w14:solidFill>
          </w14:textFill>
        </w:rPr>
        <w:t>报价人</w:t>
      </w:r>
      <w:r>
        <w:rPr>
          <w:rFonts w:hint="eastAsia" w:ascii="仿宋" w:hAnsi="仿宋" w:eastAsia="仿宋" w:cs="仿宋"/>
          <w:color w:val="000000" w:themeColor="text1"/>
          <w:sz w:val="24"/>
          <w:szCs w:val="24"/>
          <w:highlight w:val="none"/>
          <w:lang w:eastAsia="zh-CN"/>
          <w14:textFill>
            <w14:solidFill>
              <w14:schemeClr w14:val="tx1"/>
            </w14:solidFill>
          </w14:textFill>
        </w:rPr>
        <w:t>承担。</w:t>
      </w:r>
    </w:p>
    <w:p>
      <w:pPr>
        <w:numPr>
          <w:ilvl w:val="0"/>
          <w:numId w:val="0"/>
        </w:numPr>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p>
    <w:p>
      <w:pPr>
        <w:pStyle w:val="8"/>
        <w:numPr>
          <w:ilvl w:val="0"/>
          <w:numId w:val="0"/>
        </w:numPr>
        <w:spacing w:line="360" w:lineRule="auto"/>
        <w:outlineLvl w:val="0"/>
        <w:rPr>
          <w:rFonts w:hint="eastAsia"/>
          <w:lang w:val="en-US" w:eastAsia="zh-CN"/>
        </w:rPr>
      </w:pPr>
      <w:r>
        <w:rPr>
          <w:rFonts w:hint="eastAsia"/>
          <w:lang w:val="en-US" w:eastAsia="zh-CN"/>
        </w:rPr>
        <w:t>6、安全要求</w:t>
      </w:r>
    </w:p>
    <w:p>
      <w:pPr>
        <w:spacing w:line="360" w:lineRule="auto"/>
        <w:ind w:firstLine="480" w:firstLineChars="200"/>
        <w:rPr>
          <w:rFonts w:hint="eastAsia" w:ascii="仿宋" w:hAnsi="仿宋" w:eastAsia="仿宋" w:cs="仿宋"/>
          <w:color w:val="000000" w:themeColor="text1"/>
          <w:kern w:val="0"/>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kern w:val="0"/>
          <w:sz w:val="24"/>
          <w:szCs w:val="24"/>
          <w:highlight w:val="none"/>
          <w:lang w:val="en-US" w:eastAsia="zh-CN" w:bidi="ar-SA"/>
          <w14:textFill>
            <w14:solidFill>
              <w14:schemeClr w14:val="tx1"/>
            </w14:solidFill>
          </w14:textFill>
        </w:rPr>
        <w:t>报价人须配合采购人进行网络安全审查。</w:t>
      </w:r>
    </w:p>
    <w:p>
      <w:pPr>
        <w:spacing w:line="360" w:lineRule="auto"/>
        <w:ind w:firstLine="480" w:firstLineChars="200"/>
        <w:rPr>
          <w:rFonts w:hint="eastAsia" w:ascii="仿宋" w:hAnsi="仿宋" w:eastAsia="仿宋" w:cs="仿宋"/>
          <w:color w:val="000000" w:themeColor="text1"/>
          <w:kern w:val="0"/>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themeColor="text1"/>
          <w:kern w:val="0"/>
          <w:sz w:val="24"/>
          <w:szCs w:val="24"/>
          <w:highlight w:val="none"/>
          <w:lang w:val="en-US" w:eastAsia="zh-CN" w:bidi="ar-SA"/>
          <w14:textFill>
            <w14:solidFill>
              <w14:schemeClr w14:val="tx1"/>
            </w14:solidFill>
          </w14:textFill>
        </w:rPr>
        <w:t>报价人须承诺不利用提供产品和服务的便利条件非法获取用户数据、非法控制和操纵用户设备。</w:t>
      </w:r>
    </w:p>
    <w:p>
      <w:pPr>
        <w:spacing w:line="360" w:lineRule="auto"/>
        <w:ind w:firstLine="480" w:firstLineChars="200"/>
        <w:rPr>
          <w:rFonts w:hint="eastAsia" w:ascii="仿宋" w:hAnsi="仿宋" w:eastAsia="仿宋" w:cs="仿宋"/>
          <w:color w:val="000000" w:themeColor="text1"/>
          <w:kern w:val="0"/>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kern w:val="0"/>
          <w:sz w:val="24"/>
          <w:szCs w:val="24"/>
          <w:highlight w:val="none"/>
          <w:lang w:val="en-US" w:eastAsia="zh-CN" w:bidi="ar-SA"/>
          <w14:textFill>
            <w14:solidFill>
              <w14:schemeClr w14:val="tx1"/>
            </w14:solidFill>
          </w14:textFill>
        </w:rPr>
        <w:t>报价人在服务期内无正当理由不中断必要的技术支持服务等。</w:t>
      </w:r>
    </w:p>
    <w:p>
      <w:pPr>
        <w:spacing w:line="360" w:lineRule="auto"/>
        <w:ind w:firstLine="480" w:firstLineChars="200"/>
        <w:rPr>
          <w:rFonts w:hint="eastAsia" w:ascii="仿宋" w:hAnsi="仿宋" w:eastAsia="仿宋" w:cs="仿宋"/>
          <w:color w:val="000000" w:themeColor="text1"/>
          <w:kern w:val="0"/>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r>
        <w:rPr>
          <w:rFonts w:hint="eastAsia" w:ascii="仿宋" w:hAnsi="仿宋" w:eastAsia="仿宋" w:cs="仿宋"/>
          <w:color w:val="000000" w:themeColor="text1"/>
          <w:kern w:val="0"/>
          <w:sz w:val="24"/>
          <w:szCs w:val="24"/>
          <w:highlight w:val="none"/>
          <w:lang w:val="en-US" w:eastAsia="zh-CN" w:bidi="ar-SA"/>
          <w14:textFill>
            <w14:solidFill>
              <w14:schemeClr w14:val="tx1"/>
            </w14:solidFill>
          </w14:textFill>
        </w:rPr>
        <w:t>报价人所派出人员应服从采购人或其指定人员工作安排，满足现场安全措施，开展运维工作前，应办理相关工作手续。</w:t>
      </w:r>
    </w:p>
    <w:p>
      <w:pPr>
        <w:pStyle w:val="2"/>
      </w:pPr>
    </w:p>
    <w:p>
      <w:pPr>
        <w:pStyle w:val="8"/>
        <w:numPr>
          <w:ilvl w:val="0"/>
          <w:numId w:val="0"/>
        </w:numPr>
        <w:spacing w:line="360" w:lineRule="auto"/>
        <w:outlineLvl w:val="0"/>
        <w:rPr>
          <w:rFonts w:hint="default"/>
          <w:lang w:val="en-US" w:eastAsia="zh-CN"/>
        </w:rPr>
      </w:pPr>
      <w:r>
        <w:rPr>
          <w:rFonts w:hint="eastAsia"/>
          <w:lang w:val="en-US" w:eastAsia="zh-CN"/>
        </w:rPr>
        <w:t>7、人员保密要求</w:t>
      </w:r>
    </w:p>
    <w:p>
      <w:pPr>
        <w:widowControl/>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sz w:val="24"/>
          <w:szCs w:val="24"/>
          <w:lang w:val="en-US" w:eastAsia="zh-CN"/>
        </w:rPr>
        <w:t>报价人的</w:t>
      </w:r>
      <w:r>
        <w:rPr>
          <w:rFonts w:hint="eastAsia" w:ascii="仿宋" w:hAnsi="仿宋" w:eastAsia="仿宋" w:cs="仿宋"/>
          <w:color w:val="000000"/>
          <w:sz w:val="24"/>
          <w:szCs w:val="24"/>
        </w:rPr>
        <w:t>项目人员所获知的保密信息须在本单位内部谨慎的使用，只能透露给本单位直接参与项目的人员，透露的内容只能是与其工作相关的信息。</w:t>
      </w:r>
    </w:p>
    <w:p>
      <w:pPr>
        <w:widowControl/>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sz w:val="24"/>
          <w:szCs w:val="24"/>
          <w:lang w:val="en-US" w:eastAsia="zh-CN"/>
        </w:rPr>
        <w:t>报价人的</w:t>
      </w:r>
      <w:r>
        <w:rPr>
          <w:rFonts w:hint="eastAsia" w:ascii="仿宋" w:hAnsi="仿宋" w:eastAsia="仿宋" w:cs="仿宋"/>
          <w:color w:val="000000"/>
          <w:sz w:val="24"/>
          <w:szCs w:val="24"/>
        </w:rPr>
        <w:t>项目人员应当采取必要的措施防止保密信息被复制、泄漏或遗失。</w:t>
      </w:r>
      <w:r>
        <w:rPr>
          <w:rFonts w:hint="eastAsia" w:ascii="仿宋" w:hAnsi="仿宋" w:eastAsia="仿宋" w:cs="仿宋"/>
          <w:color w:val="000000"/>
          <w:sz w:val="24"/>
          <w:szCs w:val="24"/>
          <w:lang w:val="en-US" w:eastAsia="zh-CN"/>
        </w:rPr>
        <w:t>报价人的</w:t>
      </w:r>
      <w:r>
        <w:rPr>
          <w:rFonts w:hint="eastAsia" w:ascii="仿宋" w:hAnsi="仿宋" w:eastAsia="仿宋" w:cs="仿宋"/>
          <w:color w:val="000000"/>
          <w:sz w:val="24"/>
          <w:szCs w:val="24"/>
        </w:rPr>
        <w:t>项目人员亦不得依据保密信息，就任何问题，向第三方做出任何建议。</w:t>
      </w:r>
    </w:p>
    <w:p>
      <w:pPr>
        <w:widowControl/>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sz w:val="24"/>
          <w:szCs w:val="24"/>
          <w:lang w:val="en-US" w:eastAsia="zh-CN"/>
        </w:rPr>
        <w:t>报价人的</w:t>
      </w:r>
      <w:r>
        <w:rPr>
          <w:rFonts w:hint="eastAsia" w:ascii="仿宋" w:hAnsi="仿宋" w:eastAsia="仿宋" w:cs="仿宋"/>
          <w:color w:val="000000"/>
          <w:sz w:val="24"/>
          <w:szCs w:val="24"/>
        </w:rPr>
        <w:t>项目人员非经</w:t>
      </w:r>
      <w:r>
        <w:rPr>
          <w:rFonts w:hint="eastAsia" w:ascii="仿宋" w:hAnsi="仿宋" w:eastAsia="仿宋" w:cs="仿宋"/>
          <w:color w:val="000000"/>
          <w:sz w:val="24"/>
          <w:szCs w:val="24"/>
          <w:lang w:val="en-US" w:eastAsia="zh-CN"/>
        </w:rPr>
        <w:t>采购人</w:t>
      </w:r>
      <w:r>
        <w:rPr>
          <w:rFonts w:hint="eastAsia" w:ascii="仿宋" w:hAnsi="仿宋" w:eastAsia="仿宋" w:cs="仿宋"/>
          <w:color w:val="000000"/>
          <w:sz w:val="24"/>
          <w:szCs w:val="24"/>
        </w:rPr>
        <w:t>书面同意，</w:t>
      </w:r>
      <w:r>
        <w:rPr>
          <w:rFonts w:hint="eastAsia" w:ascii="仿宋" w:hAnsi="仿宋" w:eastAsia="仿宋" w:cs="仿宋"/>
          <w:color w:val="000000"/>
          <w:sz w:val="24"/>
          <w:szCs w:val="24"/>
          <w:lang w:val="en-US" w:eastAsia="zh-CN"/>
        </w:rPr>
        <w:t>报价人</w:t>
      </w:r>
      <w:r>
        <w:rPr>
          <w:rFonts w:hint="eastAsia" w:ascii="仿宋" w:hAnsi="仿宋" w:eastAsia="仿宋" w:cs="仿宋"/>
          <w:color w:val="000000"/>
          <w:sz w:val="24"/>
          <w:szCs w:val="24"/>
        </w:rPr>
        <w:t>及其相关人员应负保密责任，不得以任何方式就保密信息及工作成果之全部或部分泄漏、告知、复制、传播、或对外发表、或为自己及第三人使用。</w:t>
      </w:r>
    </w:p>
    <w:p>
      <w:pPr>
        <w:widowControl/>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r>
        <w:rPr>
          <w:rFonts w:hint="eastAsia" w:ascii="仿宋" w:hAnsi="仿宋" w:eastAsia="仿宋" w:cs="仿宋"/>
          <w:color w:val="000000"/>
          <w:sz w:val="24"/>
          <w:szCs w:val="24"/>
        </w:rPr>
        <w:t>在现场实施过程中，</w:t>
      </w:r>
      <w:r>
        <w:rPr>
          <w:rFonts w:hint="eastAsia" w:ascii="仿宋" w:hAnsi="仿宋" w:eastAsia="仿宋" w:cs="仿宋"/>
          <w:color w:val="000000"/>
          <w:sz w:val="24"/>
          <w:szCs w:val="24"/>
          <w:lang w:val="en-US" w:eastAsia="zh-CN"/>
        </w:rPr>
        <w:t>报价人的</w:t>
      </w:r>
      <w:r>
        <w:rPr>
          <w:rFonts w:hint="eastAsia" w:ascii="仿宋" w:hAnsi="仿宋" w:eastAsia="仿宋" w:cs="仿宋"/>
          <w:color w:val="000000"/>
          <w:sz w:val="24"/>
          <w:szCs w:val="24"/>
        </w:rPr>
        <w:t>项目人员必须在</w:t>
      </w:r>
      <w:r>
        <w:rPr>
          <w:rFonts w:hint="eastAsia" w:ascii="仿宋" w:hAnsi="仿宋" w:eastAsia="仿宋" w:cs="仿宋"/>
          <w:color w:val="000000"/>
          <w:sz w:val="24"/>
          <w:szCs w:val="24"/>
          <w:lang w:val="en-US" w:eastAsia="zh-CN"/>
        </w:rPr>
        <w:t>采购人</w:t>
      </w:r>
      <w:r>
        <w:rPr>
          <w:rFonts w:hint="eastAsia" w:ascii="仿宋" w:hAnsi="仿宋" w:eastAsia="仿宋" w:cs="仿宋"/>
          <w:color w:val="000000"/>
          <w:sz w:val="24"/>
          <w:szCs w:val="24"/>
        </w:rPr>
        <w:t>指定地点办公，并遵守</w:t>
      </w:r>
      <w:r>
        <w:rPr>
          <w:rFonts w:hint="eastAsia" w:ascii="仿宋" w:hAnsi="仿宋" w:eastAsia="仿宋" w:cs="仿宋"/>
          <w:color w:val="000000"/>
          <w:sz w:val="24"/>
          <w:szCs w:val="24"/>
          <w:lang w:val="en-US" w:eastAsia="zh-CN"/>
        </w:rPr>
        <w:t>其</w:t>
      </w:r>
      <w:r>
        <w:rPr>
          <w:rFonts w:hint="eastAsia" w:ascii="仿宋" w:hAnsi="仿宋" w:eastAsia="仿宋" w:cs="仿宋"/>
          <w:color w:val="000000"/>
          <w:sz w:val="24"/>
          <w:szCs w:val="24"/>
        </w:rPr>
        <w:t>关于第三方人员管理规定要求。未经许可不得将保密信息带离办公场所。</w:t>
      </w:r>
    </w:p>
    <w:p>
      <w:pPr>
        <w:widowControl/>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5）</w:t>
      </w:r>
      <w:r>
        <w:rPr>
          <w:rFonts w:hint="eastAsia" w:ascii="仿宋" w:hAnsi="仿宋" w:eastAsia="仿宋" w:cs="仿宋"/>
          <w:color w:val="000000"/>
          <w:sz w:val="24"/>
          <w:szCs w:val="24"/>
        </w:rPr>
        <w:t>项目验收结束后</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lang w:val="en-US" w:eastAsia="zh-CN"/>
        </w:rPr>
        <w:t>报价人的</w:t>
      </w:r>
      <w:r>
        <w:rPr>
          <w:rFonts w:hint="eastAsia" w:ascii="仿宋" w:hAnsi="仿宋" w:eastAsia="仿宋" w:cs="仿宋"/>
          <w:color w:val="000000"/>
          <w:sz w:val="24"/>
          <w:szCs w:val="24"/>
        </w:rPr>
        <w:t>项目人员不得保留登录系统的权限。如确实需要登录系统，需经</w:t>
      </w:r>
      <w:r>
        <w:rPr>
          <w:rFonts w:hint="eastAsia" w:ascii="仿宋" w:hAnsi="仿宋" w:eastAsia="仿宋" w:cs="仿宋"/>
          <w:color w:val="000000"/>
          <w:sz w:val="24"/>
          <w:szCs w:val="24"/>
          <w:lang w:val="en-US" w:eastAsia="zh-CN"/>
        </w:rPr>
        <w:t>采购</w:t>
      </w:r>
      <w:r>
        <w:rPr>
          <w:rFonts w:hint="eastAsia" w:ascii="仿宋" w:hAnsi="仿宋" w:eastAsia="仿宋" w:cs="仿宋"/>
          <w:color w:val="000000"/>
          <w:sz w:val="24"/>
          <w:szCs w:val="24"/>
        </w:rPr>
        <w:t>人的书面批准，且有</w:t>
      </w:r>
      <w:r>
        <w:rPr>
          <w:rFonts w:hint="eastAsia" w:ascii="仿宋" w:hAnsi="仿宋" w:eastAsia="仿宋" w:cs="仿宋"/>
          <w:color w:val="000000"/>
          <w:sz w:val="24"/>
          <w:szCs w:val="24"/>
          <w:lang w:val="en-US" w:eastAsia="zh-CN"/>
        </w:rPr>
        <w:t>采购</w:t>
      </w:r>
      <w:r>
        <w:rPr>
          <w:rFonts w:hint="eastAsia" w:ascii="仿宋" w:hAnsi="仿宋" w:eastAsia="仿宋" w:cs="仿宋"/>
          <w:color w:val="000000"/>
          <w:sz w:val="24"/>
          <w:szCs w:val="24"/>
        </w:rPr>
        <w:t>人在场监控方可进行相关操作。</w:t>
      </w:r>
    </w:p>
    <w:p>
      <w:pPr>
        <w:widowControl/>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6）</w:t>
      </w:r>
      <w:r>
        <w:rPr>
          <w:rFonts w:hint="eastAsia" w:ascii="仿宋" w:hAnsi="仿宋" w:eastAsia="仿宋" w:cs="仿宋"/>
          <w:color w:val="000000"/>
          <w:sz w:val="24"/>
          <w:szCs w:val="24"/>
          <w:lang w:val="en-US" w:eastAsia="zh-CN"/>
        </w:rPr>
        <w:t>报价人的</w:t>
      </w:r>
      <w:r>
        <w:rPr>
          <w:rFonts w:hint="eastAsia" w:ascii="仿宋" w:hAnsi="仿宋" w:eastAsia="仿宋" w:cs="仿宋"/>
          <w:color w:val="000000"/>
          <w:sz w:val="24"/>
          <w:szCs w:val="24"/>
        </w:rPr>
        <w:t>项目人员保证按</w:t>
      </w:r>
      <w:r>
        <w:rPr>
          <w:rFonts w:hint="eastAsia" w:ascii="仿宋" w:hAnsi="仿宋" w:eastAsia="仿宋" w:cs="仿宋"/>
          <w:color w:val="000000"/>
          <w:sz w:val="24"/>
          <w:szCs w:val="24"/>
          <w:lang w:val="en-US" w:eastAsia="zh-CN"/>
        </w:rPr>
        <w:t>采购</w:t>
      </w:r>
      <w:r>
        <w:rPr>
          <w:rFonts w:hint="eastAsia" w:ascii="仿宋" w:hAnsi="仿宋" w:eastAsia="仿宋" w:cs="仿宋"/>
          <w:color w:val="000000"/>
          <w:sz w:val="24"/>
          <w:szCs w:val="24"/>
        </w:rPr>
        <w:t>人项目管理部门确认的途径向</w:t>
      </w:r>
      <w:r>
        <w:rPr>
          <w:rFonts w:hint="eastAsia" w:ascii="仿宋" w:hAnsi="仿宋" w:eastAsia="仿宋" w:cs="仿宋"/>
          <w:color w:val="000000"/>
          <w:sz w:val="24"/>
          <w:szCs w:val="24"/>
          <w:lang w:val="en-US" w:eastAsia="zh-CN"/>
        </w:rPr>
        <w:t>采购</w:t>
      </w:r>
      <w:r>
        <w:rPr>
          <w:rFonts w:hint="eastAsia" w:ascii="仿宋" w:hAnsi="仿宋" w:eastAsia="仿宋" w:cs="仿宋"/>
          <w:color w:val="000000"/>
          <w:sz w:val="24"/>
          <w:szCs w:val="24"/>
        </w:rPr>
        <w:t>人提交或索取有关资料。</w:t>
      </w:r>
    </w:p>
    <w:p>
      <w:pPr>
        <w:pStyle w:val="2"/>
        <w:rPr>
          <w:rFonts w:hint="default"/>
          <w:lang w:val="en-US" w:eastAsia="zh-CN"/>
        </w:rPr>
      </w:pPr>
    </w:p>
    <w:p>
      <w:pPr>
        <w:pStyle w:val="8"/>
        <w:numPr>
          <w:ilvl w:val="0"/>
          <w:numId w:val="0"/>
        </w:numPr>
        <w:spacing w:line="360" w:lineRule="auto"/>
        <w:outlineLvl w:val="0"/>
        <w:rPr>
          <w:rFonts w:hint="eastAsia"/>
          <w:lang w:val="en-US" w:eastAsia="zh-CN"/>
        </w:rPr>
      </w:pPr>
      <w:r>
        <w:rPr>
          <w:rFonts w:hint="eastAsia"/>
          <w:lang w:val="en-US" w:eastAsia="zh-CN"/>
        </w:rPr>
        <w:t>8、技术资料和文件</w:t>
      </w:r>
    </w:p>
    <w:p>
      <w:pPr>
        <w:spacing w:line="360" w:lineRule="auto"/>
        <w:ind w:firstLine="480" w:firstLineChars="200"/>
        <w:rPr>
          <w:rFonts w:hint="eastAsia" w:ascii="仿宋" w:hAnsi="仿宋" w:eastAsia="仿宋" w:cs="仿宋"/>
          <w:color w:val="000000" w:themeColor="text1"/>
          <w:kern w:val="0"/>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kern w:val="0"/>
          <w:sz w:val="24"/>
          <w:szCs w:val="24"/>
          <w:highlight w:val="none"/>
          <w:lang w:val="en-US" w:eastAsia="zh-CN" w:bidi="ar-SA"/>
          <w14:textFill>
            <w14:solidFill>
              <w14:schemeClr w14:val="tx1"/>
            </w14:solidFill>
          </w14:textFill>
        </w:rPr>
        <w:t>报价人提供的文件和资料应能满足采购人进行维护和进一步完善的需要，应符合采购人标准规格，并向采购人需求提供项目的全部过程资料的电子版。</w:t>
      </w:r>
    </w:p>
    <w:p>
      <w:pPr>
        <w:spacing w:line="360" w:lineRule="auto"/>
        <w:ind w:firstLine="480" w:firstLineChars="200"/>
        <w:rPr>
          <w:rFonts w:hint="eastAsia" w:ascii="仿宋" w:hAnsi="仿宋" w:eastAsia="仿宋" w:cs="仿宋"/>
          <w:color w:val="000000" w:themeColor="text1"/>
          <w:kern w:val="0"/>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themeColor="text1"/>
          <w:kern w:val="0"/>
          <w:sz w:val="24"/>
          <w:szCs w:val="24"/>
          <w:highlight w:val="none"/>
          <w:lang w:val="en-US" w:eastAsia="zh-CN" w:bidi="ar-SA"/>
          <w14:textFill>
            <w14:solidFill>
              <w14:schemeClr w14:val="tx1"/>
            </w14:solidFill>
          </w14:textFill>
        </w:rPr>
        <w:t>报价人应负责在项目服务期满时将项目的全部有关服务要求包括不限于现场服务技术记录单、技术支持记录、维护服务报告等文档汇集成册交付给采购人。</w:t>
      </w:r>
    </w:p>
    <w:p>
      <w:pPr>
        <w:spacing w:line="360" w:lineRule="auto"/>
        <w:ind w:firstLine="480" w:firstLineChars="200"/>
        <w:rPr>
          <w:rFonts w:hint="eastAsia" w:ascii="仿宋" w:hAnsi="仿宋" w:eastAsia="仿宋" w:cs="仿宋"/>
          <w:color w:val="000000" w:themeColor="text1"/>
          <w:kern w:val="0"/>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kern w:val="0"/>
          <w:sz w:val="24"/>
          <w:szCs w:val="24"/>
          <w:highlight w:val="none"/>
          <w:lang w:val="en-US" w:eastAsia="zh-CN" w:bidi="ar-SA"/>
          <w14:textFill>
            <w14:solidFill>
              <w14:schemeClr w14:val="tx1"/>
            </w14:solidFill>
          </w14:textFill>
        </w:rPr>
        <w:t>报价人应向采购人需求提供项目的全部过程资料的电子版。</w:t>
      </w:r>
    </w:p>
    <w:p>
      <w:pPr>
        <w:pStyle w:val="2"/>
      </w:pPr>
    </w:p>
    <w:p>
      <w:pPr>
        <w:pStyle w:val="8"/>
        <w:numPr>
          <w:ilvl w:val="0"/>
          <w:numId w:val="0"/>
        </w:numPr>
        <w:spacing w:line="360" w:lineRule="auto"/>
        <w:outlineLvl w:val="0"/>
        <w:rPr>
          <w:rFonts w:hint="eastAsia"/>
          <w:lang w:val="en-US" w:eastAsia="zh-CN"/>
        </w:rPr>
      </w:pPr>
      <w:r>
        <w:rPr>
          <w:rFonts w:hint="eastAsia"/>
          <w:lang w:val="en-US" w:eastAsia="zh-CN"/>
        </w:rPr>
        <w:t>9、知识产权要求</w:t>
      </w:r>
    </w:p>
    <w:p>
      <w:pPr>
        <w:spacing w:line="360" w:lineRule="auto"/>
        <w:ind w:firstLine="480" w:firstLineChars="200"/>
        <w:rPr>
          <w:rFonts w:hint="eastAsia" w:ascii="仿宋" w:hAnsi="仿宋" w:eastAsia="仿宋" w:cs="仿宋"/>
          <w:color w:val="000000" w:themeColor="text1"/>
          <w:kern w:val="0"/>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bidi="ar-SA"/>
          <w14:textFill>
            <w14:solidFill>
              <w14:schemeClr w14:val="tx1"/>
            </w14:solidFill>
          </w14:textFill>
        </w:rPr>
        <w:t>在服务完成以后，报价人应向采购人提供该服务过程中形成的所有技术成果（包括但不限于：现场服务技术记录单、技术支持记录等）、项目建设文档、相关数据记录等。有关成果归采购人所有。</w:t>
      </w:r>
    </w:p>
    <w:p>
      <w:pPr>
        <w:spacing w:line="360" w:lineRule="auto"/>
        <w:ind w:firstLine="480" w:firstLineChars="200"/>
        <w:rPr>
          <w:rFonts w:hint="eastAsia" w:ascii="仿宋" w:hAnsi="仿宋" w:eastAsia="仿宋" w:cs="仿宋"/>
          <w:color w:val="000000" w:themeColor="text1"/>
          <w:kern w:val="0"/>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bidi="ar-SA"/>
          <w14:textFill>
            <w14:solidFill>
              <w14:schemeClr w14:val="tx1"/>
            </w14:solidFill>
          </w14:textFill>
        </w:rPr>
        <w:t>报价人应保证其服务过程中形成的产品、工具、模型、方法论、文档、知识资产及服务没有任何权利瑕疵，没有侵犯任何第三方权利。采购人在使用该产品或服务的任何一部分时，免受第三方提出的任何侵犯其知识产权的权利主张。如果任何人对采购人使用该产品及服务主张权利，由报价人负责处理一切纠纷及相关事宜，由此给采购人造成的损失，由报价人承担。</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D10D46"/>
    <w:multiLevelType w:val="multilevel"/>
    <w:tmpl w:val="96D10D46"/>
    <w:lvl w:ilvl="0" w:tentative="0">
      <w:start w:val="1"/>
      <w:numFmt w:val="decimal"/>
      <w:suff w:val="space"/>
      <w:lvlText w:val="5.%1"/>
      <w:lvlJc w:val="left"/>
      <w:pPr>
        <w:tabs>
          <w:tab w:val="left" w:pos="0"/>
        </w:tabs>
        <w:ind w:left="0" w:firstLine="0"/>
      </w:pPr>
      <w:rPr>
        <w:rFonts w:hint="default" w:ascii="Calibri" w:hAnsi="Calibri" w:cs="Calibri"/>
      </w:rPr>
    </w:lvl>
    <w:lvl w:ilvl="1" w:tentative="0">
      <w:start w:val="1"/>
      <w:numFmt w:val="decimal"/>
      <w:isLgl/>
      <w:suff w:val="space"/>
      <w:lvlText w:val="5.%2"/>
      <w:lvlJc w:val="left"/>
      <w:pPr>
        <w:tabs>
          <w:tab w:val="left" w:pos="0"/>
        </w:tabs>
        <w:ind w:left="0" w:firstLine="0"/>
      </w:pPr>
      <w:rPr>
        <w:rFonts w:ascii="Times New Roman" w:hAnsi="Times New Roman" w:cs="Times New Roman"/>
        <w:b w:val="0"/>
        <w:bCs w:val="0"/>
        <w:i w:val="0"/>
        <w:iCs w:val="0"/>
        <w:caps w:val="0"/>
        <w:smallCaps w:val="0"/>
        <w:strike w:val="0"/>
        <w:dstrike w:val="0"/>
        <w:snapToGrid w:val="0"/>
        <w:vanish w:val="0"/>
        <w:color w:val="000000"/>
        <w:spacing w:val="0"/>
        <w:kern w:val="0"/>
        <w:position w:val="0"/>
        <w:szCs w:val="0"/>
        <w:u w:val="none"/>
        <w:vertAlign w:val="baseline"/>
      </w:rPr>
    </w:lvl>
    <w:lvl w:ilvl="2" w:tentative="0">
      <w:start w:val="1"/>
      <w:numFmt w:val="decimal"/>
      <w:pStyle w:val="10"/>
      <w:suff w:val="space"/>
      <w:lvlText w:val="4.%3"/>
      <w:lvlJc w:val="left"/>
      <w:pPr>
        <w:tabs>
          <w:tab w:val="left" w:pos="0"/>
        </w:tabs>
        <w:ind w:left="0" w:firstLine="0"/>
      </w:pPr>
      <w:rPr>
        <w:rFonts w:hint="default" w:ascii="Calibri" w:hAnsi="Calibri" w:cs="Calibri"/>
        <w:b/>
        <w:i w:val="0"/>
      </w:rPr>
    </w:lvl>
    <w:lvl w:ilvl="3" w:tentative="0">
      <w:start w:val="1"/>
      <w:numFmt w:val="decimal"/>
      <w:isLgl/>
      <w:suff w:val="space"/>
      <w:lvlText w:val="%1.%2.%3.%4"/>
      <w:lvlJc w:val="left"/>
      <w:pPr>
        <w:ind w:left="0" w:firstLine="0"/>
      </w:pPr>
      <w:rPr>
        <w:rFonts w:hint="eastAsia"/>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D5409"/>
    <w:rsid w:val="011A24F4"/>
    <w:rsid w:val="016E0FF1"/>
    <w:rsid w:val="01763BCE"/>
    <w:rsid w:val="023870D5"/>
    <w:rsid w:val="02405F8A"/>
    <w:rsid w:val="0285372F"/>
    <w:rsid w:val="034B2E38"/>
    <w:rsid w:val="03A72764"/>
    <w:rsid w:val="03F37758"/>
    <w:rsid w:val="04702B56"/>
    <w:rsid w:val="057523EE"/>
    <w:rsid w:val="05A56F81"/>
    <w:rsid w:val="060A6FDB"/>
    <w:rsid w:val="061623F8"/>
    <w:rsid w:val="06480242"/>
    <w:rsid w:val="066C1A43"/>
    <w:rsid w:val="06F3181D"/>
    <w:rsid w:val="06FF01C2"/>
    <w:rsid w:val="08DD2784"/>
    <w:rsid w:val="08FC0E5C"/>
    <w:rsid w:val="091268D2"/>
    <w:rsid w:val="09712B17"/>
    <w:rsid w:val="09772245"/>
    <w:rsid w:val="09ED4C49"/>
    <w:rsid w:val="0A40746F"/>
    <w:rsid w:val="0A8F7AAE"/>
    <w:rsid w:val="0A971D70"/>
    <w:rsid w:val="0AAF0151"/>
    <w:rsid w:val="0B3B3792"/>
    <w:rsid w:val="0B7218AA"/>
    <w:rsid w:val="0BDB744F"/>
    <w:rsid w:val="0C670CE3"/>
    <w:rsid w:val="0CBE5160"/>
    <w:rsid w:val="0DA675E9"/>
    <w:rsid w:val="0DF625B5"/>
    <w:rsid w:val="0E5C0001"/>
    <w:rsid w:val="0E5C591E"/>
    <w:rsid w:val="0ECE5049"/>
    <w:rsid w:val="0EE505E5"/>
    <w:rsid w:val="0F7F4D33"/>
    <w:rsid w:val="102313C5"/>
    <w:rsid w:val="102A2753"/>
    <w:rsid w:val="10C502AE"/>
    <w:rsid w:val="12965764"/>
    <w:rsid w:val="12A460EB"/>
    <w:rsid w:val="13385187"/>
    <w:rsid w:val="13734957"/>
    <w:rsid w:val="13897791"/>
    <w:rsid w:val="13A520F1"/>
    <w:rsid w:val="143B7F8E"/>
    <w:rsid w:val="15DB2014"/>
    <w:rsid w:val="15E6711C"/>
    <w:rsid w:val="17286CD0"/>
    <w:rsid w:val="17836BED"/>
    <w:rsid w:val="17982698"/>
    <w:rsid w:val="17C62542"/>
    <w:rsid w:val="17CF1E32"/>
    <w:rsid w:val="17E07B9B"/>
    <w:rsid w:val="187C78C4"/>
    <w:rsid w:val="18950986"/>
    <w:rsid w:val="18952734"/>
    <w:rsid w:val="19597C05"/>
    <w:rsid w:val="19C808E7"/>
    <w:rsid w:val="19FE1C71"/>
    <w:rsid w:val="1A7E2606"/>
    <w:rsid w:val="1A885C21"/>
    <w:rsid w:val="1B43464B"/>
    <w:rsid w:val="1B7E7DF7"/>
    <w:rsid w:val="1C0263AC"/>
    <w:rsid w:val="1C6B4699"/>
    <w:rsid w:val="1CD64203"/>
    <w:rsid w:val="1CEF0D86"/>
    <w:rsid w:val="1CF218F5"/>
    <w:rsid w:val="1CF33ECD"/>
    <w:rsid w:val="1D3249F5"/>
    <w:rsid w:val="1E5F5CBE"/>
    <w:rsid w:val="1E6432D4"/>
    <w:rsid w:val="1EE703DC"/>
    <w:rsid w:val="20DA18DD"/>
    <w:rsid w:val="210D16C9"/>
    <w:rsid w:val="218617B3"/>
    <w:rsid w:val="21A30804"/>
    <w:rsid w:val="22461303"/>
    <w:rsid w:val="22804455"/>
    <w:rsid w:val="23204EEC"/>
    <w:rsid w:val="23AE44B6"/>
    <w:rsid w:val="25096983"/>
    <w:rsid w:val="27037402"/>
    <w:rsid w:val="270C1BCA"/>
    <w:rsid w:val="27960276"/>
    <w:rsid w:val="27AF0600"/>
    <w:rsid w:val="27F60D15"/>
    <w:rsid w:val="291B1D32"/>
    <w:rsid w:val="294C32E2"/>
    <w:rsid w:val="29C72969"/>
    <w:rsid w:val="29CC6A2D"/>
    <w:rsid w:val="2BA967CA"/>
    <w:rsid w:val="2C0003B4"/>
    <w:rsid w:val="2C2E2CD8"/>
    <w:rsid w:val="2DDD275B"/>
    <w:rsid w:val="2F5A0F01"/>
    <w:rsid w:val="2F762E67"/>
    <w:rsid w:val="3005243D"/>
    <w:rsid w:val="309D0C13"/>
    <w:rsid w:val="30B706BA"/>
    <w:rsid w:val="30E91417"/>
    <w:rsid w:val="31342FDA"/>
    <w:rsid w:val="3148438F"/>
    <w:rsid w:val="31EE28F9"/>
    <w:rsid w:val="32654377"/>
    <w:rsid w:val="326C1CFE"/>
    <w:rsid w:val="32BF4B25"/>
    <w:rsid w:val="33182487"/>
    <w:rsid w:val="34014CC9"/>
    <w:rsid w:val="3491604D"/>
    <w:rsid w:val="34936269"/>
    <w:rsid w:val="34A2025B"/>
    <w:rsid w:val="34ED6160"/>
    <w:rsid w:val="356C76A9"/>
    <w:rsid w:val="37150D55"/>
    <w:rsid w:val="37515F68"/>
    <w:rsid w:val="394C69E7"/>
    <w:rsid w:val="398C14D9"/>
    <w:rsid w:val="39DF3CFF"/>
    <w:rsid w:val="3A4735DB"/>
    <w:rsid w:val="3AF9494C"/>
    <w:rsid w:val="3C2C059D"/>
    <w:rsid w:val="3C53008C"/>
    <w:rsid w:val="3DE96EFA"/>
    <w:rsid w:val="3E8135D7"/>
    <w:rsid w:val="3EA15FF0"/>
    <w:rsid w:val="3EDE4585"/>
    <w:rsid w:val="3FF95D7C"/>
    <w:rsid w:val="40097857"/>
    <w:rsid w:val="401C5365"/>
    <w:rsid w:val="40534AFF"/>
    <w:rsid w:val="413F7AA0"/>
    <w:rsid w:val="41C757A4"/>
    <w:rsid w:val="42927B60"/>
    <w:rsid w:val="42DC297D"/>
    <w:rsid w:val="42EF4FB3"/>
    <w:rsid w:val="431D66A9"/>
    <w:rsid w:val="438D20D6"/>
    <w:rsid w:val="43DF3ECA"/>
    <w:rsid w:val="441B1DD7"/>
    <w:rsid w:val="444906F3"/>
    <w:rsid w:val="44586B88"/>
    <w:rsid w:val="44967C16"/>
    <w:rsid w:val="44BB06D3"/>
    <w:rsid w:val="457C0654"/>
    <w:rsid w:val="45B002FD"/>
    <w:rsid w:val="4642189D"/>
    <w:rsid w:val="46C6602A"/>
    <w:rsid w:val="47226FD9"/>
    <w:rsid w:val="47471B82"/>
    <w:rsid w:val="47507FEA"/>
    <w:rsid w:val="47541888"/>
    <w:rsid w:val="4851401A"/>
    <w:rsid w:val="486E697A"/>
    <w:rsid w:val="491F5EC6"/>
    <w:rsid w:val="49494CF1"/>
    <w:rsid w:val="496E4757"/>
    <w:rsid w:val="497942D6"/>
    <w:rsid w:val="4A8561FD"/>
    <w:rsid w:val="4B474778"/>
    <w:rsid w:val="4B8D2F06"/>
    <w:rsid w:val="4BA555CD"/>
    <w:rsid w:val="4BC418CB"/>
    <w:rsid w:val="4C06511B"/>
    <w:rsid w:val="4D0E4287"/>
    <w:rsid w:val="4D2910C1"/>
    <w:rsid w:val="4D3857A8"/>
    <w:rsid w:val="4F4B110E"/>
    <w:rsid w:val="4F5F526E"/>
    <w:rsid w:val="4F6F4D85"/>
    <w:rsid w:val="4F7A7FCB"/>
    <w:rsid w:val="4FDF0F5F"/>
    <w:rsid w:val="51703763"/>
    <w:rsid w:val="51890380"/>
    <w:rsid w:val="51FE4E43"/>
    <w:rsid w:val="545033D7"/>
    <w:rsid w:val="55286102"/>
    <w:rsid w:val="555B73CE"/>
    <w:rsid w:val="558F6181"/>
    <w:rsid w:val="55973D40"/>
    <w:rsid w:val="562B5EAA"/>
    <w:rsid w:val="563461C0"/>
    <w:rsid w:val="5652314D"/>
    <w:rsid w:val="56DE116E"/>
    <w:rsid w:val="57AA2DFF"/>
    <w:rsid w:val="57F875D8"/>
    <w:rsid w:val="59EE16C8"/>
    <w:rsid w:val="59F74948"/>
    <w:rsid w:val="5A1924BD"/>
    <w:rsid w:val="5B123195"/>
    <w:rsid w:val="5B490B80"/>
    <w:rsid w:val="5BB22BCA"/>
    <w:rsid w:val="5C2A62A9"/>
    <w:rsid w:val="5D7243BE"/>
    <w:rsid w:val="5DB0643F"/>
    <w:rsid w:val="5DF272AD"/>
    <w:rsid w:val="5E4C4C10"/>
    <w:rsid w:val="5EFC6636"/>
    <w:rsid w:val="5F901BDD"/>
    <w:rsid w:val="5F990328"/>
    <w:rsid w:val="60FA4DF7"/>
    <w:rsid w:val="61B825BC"/>
    <w:rsid w:val="6200468F"/>
    <w:rsid w:val="6241413E"/>
    <w:rsid w:val="62BD2580"/>
    <w:rsid w:val="62BD2EB9"/>
    <w:rsid w:val="64630F05"/>
    <w:rsid w:val="64B90B25"/>
    <w:rsid w:val="64E9765C"/>
    <w:rsid w:val="64EF09EB"/>
    <w:rsid w:val="650B5491"/>
    <w:rsid w:val="65136487"/>
    <w:rsid w:val="6597225C"/>
    <w:rsid w:val="65A92947"/>
    <w:rsid w:val="65C41AE8"/>
    <w:rsid w:val="676B07FC"/>
    <w:rsid w:val="67E2654F"/>
    <w:rsid w:val="6817003C"/>
    <w:rsid w:val="68724B60"/>
    <w:rsid w:val="688A4CB2"/>
    <w:rsid w:val="68B03FED"/>
    <w:rsid w:val="69D3258F"/>
    <w:rsid w:val="69D72179"/>
    <w:rsid w:val="69F10D61"/>
    <w:rsid w:val="6A3D3FA6"/>
    <w:rsid w:val="6B3B2294"/>
    <w:rsid w:val="6BF42CC8"/>
    <w:rsid w:val="6CAE4CE7"/>
    <w:rsid w:val="6CD75FEC"/>
    <w:rsid w:val="6D714693"/>
    <w:rsid w:val="6E5042A8"/>
    <w:rsid w:val="6FD11419"/>
    <w:rsid w:val="707B75D6"/>
    <w:rsid w:val="70A703CB"/>
    <w:rsid w:val="70CE5958"/>
    <w:rsid w:val="70FD7FEB"/>
    <w:rsid w:val="71092E34"/>
    <w:rsid w:val="713C6D66"/>
    <w:rsid w:val="715A543E"/>
    <w:rsid w:val="719374FA"/>
    <w:rsid w:val="71A55C17"/>
    <w:rsid w:val="7279614B"/>
    <w:rsid w:val="731E31D8"/>
    <w:rsid w:val="74246EF2"/>
    <w:rsid w:val="74B84215"/>
    <w:rsid w:val="755A5A0C"/>
    <w:rsid w:val="759D191D"/>
    <w:rsid w:val="75F23E97"/>
    <w:rsid w:val="761E4ABF"/>
    <w:rsid w:val="76290B75"/>
    <w:rsid w:val="76856AB9"/>
    <w:rsid w:val="770C0F88"/>
    <w:rsid w:val="77185B7F"/>
    <w:rsid w:val="771D13E7"/>
    <w:rsid w:val="773C1FA3"/>
    <w:rsid w:val="77CF6CE3"/>
    <w:rsid w:val="78497340"/>
    <w:rsid w:val="786079EA"/>
    <w:rsid w:val="78B96EEE"/>
    <w:rsid w:val="79A24CA6"/>
    <w:rsid w:val="79DA536E"/>
    <w:rsid w:val="7AAC4F5C"/>
    <w:rsid w:val="7AB94F83"/>
    <w:rsid w:val="7ACA3855"/>
    <w:rsid w:val="7D8B70AB"/>
    <w:rsid w:val="7E4436FD"/>
    <w:rsid w:val="7E6D4A02"/>
    <w:rsid w:val="7EC02D84"/>
    <w:rsid w:val="7ED625F7"/>
    <w:rsid w:val="7F761695"/>
    <w:rsid w:val="7FF57E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2"/>
    <w:basedOn w:val="1"/>
    <w:next w:val="1"/>
    <w:semiHidden/>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itle"/>
    <w:basedOn w:val="1"/>
    <w:next w:val="1"/>
    <w:qFormat/>
    <w:uiPriority w:val="0"/>
    <w:pPr>
      <w:spacing w:before="240" w:beforeLines="0" w:after="60" w:afterLines="0" w:line="760" w:lineRule="exact"/>
      <w:jc w:val="center"/>
      <w:outlineLvl w:val="0"/>
    </w:pPr>
    <w:rPr>
      <w:rFonts w:ascii="宋体" w:hAnsi="宋体" w:eastAsia="宋体" w:cs="Arial"/>
      <w:b/>
      <w:bCs/>
      <w:sz w:val="44"/>
      <w:szCs w:val="32"/>
    </w:rPr>
  </w:style>
  <w:style w:type="paragraph" w:styleId="5">
    <w:name w:val="Normal Indent"/>
    <w:basedOn w:val="1"/>
    <w:qFormat/>
    <w:uiPriority w:val="0"/>
    <w:pPr>
      <w:ind w:firstLine="624"/>
      <w:jc w:val="left"/>
    </w:pPr>
  </w:style>
  <w:style w:type="paragraph" w:customStyle="1" w:styleId="8">
    <w:name w:val="B2"/>
    <w:basedOn w:val="4"/>
    <w:qFormat/>
    <w:uiPriority w:val="0"/>
    <w:pPr>
      <w:spacing w:before="0" w:after="0" w:line="360" w:lineRule="auto"/>
    </w:pPr>
    <w:rPr>
      <w:rFonts w:ascii="宋体" w:hAnsi="宋体" w:eastAsia="宋体" w:cs="宋体"/>
      <w:sz w:val="28"/>
      <w:szCs w:val="28"/>
    </w:rPr>
  </w:style>
  <w:style w:type="paragraph" w:customStyle="1" w:styleId="9">
    <w:name w:val="缩正文"/>
    <w:basedOn w:val="1"/>
    <w:qFormat/>
    <w:uiPriority w:val="0"/>
    <w:pPr>
      <w:ind w:firstLine="420" w:firstLineChars="200"/>
    </w:pPr>
    <w:rPr>
      <w:rFonts w:ascii="宋体" w:hAnsi="宋体" w:eastAsia="宋体" w:cs="宋体"/>
      <w:szCs w:val="21"/>
    </w:rPr>
  </w:style>
  <w:style w:type="paragraph" w:customStyle="1" w:styleId="10">
    <w:name w:val="样式1"/>
    <w:basedOn w:val="1"/>
    <w:qFormat/>
    <w:uiPriority w:val="0"/>
    <w:pPr>
      <w:numPr>
        <w:ilvl w:val="2"/>
        <w:numId w:val="1"/>
      </w:numPr>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1815</Words>
  <Characters>1902</Characters>
  <Lines>0</Lines>
  <Paragraphs>0</Paragraphs>
  <TotalTime>2</TotalTime>
  <ScaleCrop>false</ScaleCrop>
  <LinksUpToDate>false</LinksUpToDate>
  <CharactersWithSpaces>1919</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2025-05-20T08:41:00Z</dcterms:created>
  <dc:creator>NESX</dc:creator>
  <cp:lastModifiedBy>张荣锦</cp:lastModifiedBy>
  <cp:lastPrinted>2025-10-29T02:34:00Z</cp:lastPrinted>
  <dcterms:modified xsi:type="dcterms:W3CDTF">2026-01-07T00:46:01Z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KSOTemplateDocerSaveRecord">
    <vt:lpwstr>eyJoZGlkIjoiNTdkMTVlMGM4ZGY5ODZmMmYwZThkNWQ3NjQyN2E3MGMiLCJ1c2VySWQiOiI1NDI1NjA3NjgifQ==</vt:lpwstr>
  </property>
  <property fmtid="{D5CDD505-2E9C-101B-9397-08002B2CF9AE}" pid="4" name="ICV">
    <vt:lpwstr>EA5B2136BFC3478FACFC32DD1ECC5FF5_12</vt:lpwstr>
  </property>
</Properties>
</file>