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p>
    <w:p>
      <w:pPr>
        <w:rPr>
          <w:color w:val="auto"/>
        </w:rPr>
      </w:pPr>
    </w:p>
    <w:p>
      <w:pPr>
        <w:autoSpaceDE w:val="0"/>
        <w:autoSpaceDN w:val="0"/>
        <w:adjustRightInd w:val="0"/>
        <w:spacing w:after="312" w:afterLines="100" w:line="360" w:lineRule="auto"/>
        <w:jc w:val="center"/>
        <w:rPr>
          <w:rFonts w:ascii="宋体" w:hAnsi="宋体"/>
          <w:b/>
          <w:bCs/>
          <w:color w:val="auto"/>
          <w:kern w:val="0"/>
          <w:sz w:val="36"/>
          <w:szCs w:val="36"/>
        </w:rPr>
      </w:pPr>
      <w:r>
        <w:rPr>
          <w:rFonts w:hint="eastAsia" w:ascii="宋体" w:hAnsi="宋体"/>
          <w:b/>
          <w:bCs/>
          <w:color w:val="auto"/>
          <w:kern w:val="0"/>
          <w:sz w:val="36"/>
          <w:szCs w:val="36"/>
        </w:rPr>
        <w:t>承包商</w:t>
      </w:r>
      <w:r>
        <w:rPr>
          <w:rFonts w:hint="eastAsia" w:ascii="宋体" w:hAnsi="宋体"/>
          <w:b/>
          <w:bCs/>
          <w:color w:val="auto"/>
          <w:kern w:val="0"/>
          <w:sz w:val="36"/>
          <w:szCs w:val="36"/>
          <w:lang w:eastAsia="zh-CN"/>
        </w:rPr>
        <w:t>（</w:t>
      </w:r>
      <w:r>
        <w:rPr>
          <w:rFonts w:hint="eastAsia" w:ascii="宋体" w:hAnsi="宋体"/>
          <w:b/>
          <w:bCs/>
          <w:color w:val="auto"/>
          <w:kern w:val="0"/>
          <w:sz w:val="36"/>
          <w:szCs w:val="36"/>
          <w:lang w:val="en-US" w:eastAsia="zh-CN"/>
        </w:rPr>
        <w:t>监理单位</w:t>
      </w:r>
      <w:r>
        <w:rPr>
          <w:rFonts w:hint="eastAsia" w:ascii="宋体" w:hAnsi="宋体"/>
          <w:b/>
          <w:bCs/>
          <w:color w:val="auto"/>
          <w:kern w:val="0"/>
          <w:sz w:val="36"/>
          <w:szCs w:val="36"/>
          <w:lang w:eastAsia="zh-CN"/>
        </w:rPr>
        <w:t>）</w:t>
      </w:r>
      <w:r>
        <w:rPr>
          <w:rFonts w:hint="eastAsia" w:ascii="宋体" w:hAnsi="宋体"/>
          <w:b/>
          <w:bCs/>
          <w:color w:val="auto"/>
          <w:kern w:val="0"/>
          <w:sz w:val="36"/>
          <w:szCs w:val="36"/>
        </w:rPr>
        <w:t>安全协议</w:t>
      </w:r>
    </w:p>
    <w:p>
      <w:pPr>
        <w:spacing w:line="470" w:lineRule="exact"/>
        <w:ind w:firstLine="480" w:firstLineChars="20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甲方：</w:t>
      </w:r>
      <w:r>
        <w:rPr>
          <w:rFonts w:hint="eastAsia" w:ascii="Times New Roman" w:hAnsi="Times New Roman" w:eastAsia="宋体" w:cs="Times New Roman"/>
          <w:color w:val="auto"/>
          <w:sz w:val="24"/>
          <w:highlight w:val="none"/>
        </w:rPr>
        <w:t>天生桥二级</w:t>
      </w:r>
      <w:r>
        <w:rPr>
          <w:rFonts w:hint="eastAsia" w:cs="Times New Roman"/>
          <w:color w:val="auto"/>
          <w:sz w:val="24"/>
          <w:highlight w:val="none"/>
          <w:lang w:val="en-US" w:eastAsia="zh-CN"/>
        </w:rPr>
        <w:t>水力</w:t>
      </w:r>
      <w:r>
        <w:rPr>
          <w:rFonts w:hint="eastAsia" w:ascii="Times New Roman" w:hAnsi="Times New Roman" w:eastAsia="宋体" w:cs="Times New Roman"/>
          <w:color w:val="auto"/>
          <w:sz w:val="24"/>
          <w:highlight w:val="none"/>
        </w:rPr>
        <w:t>发电有限公司</w:t>
      </w:r>
      <w:r>
        <w:rPr>
          <w:rFonts w:hint="eastAsia" w:ascii="Times New Roman" w:hAnsi="Times New Roman" w:eastAsia="宋体" w:cs="Times New Roman"/>
          <w:color w:val="auto"/>
          <w:sz w:val="24"/>
        </w:rPr>
        <w:t>天生桥水力发电总厂</w:t>
      </w:r>
    </w:p>
    <w:p>
      <w:pPr>
        <w:tabs>
          <w:tab w:val="left" w:pos="1988"/>
        </w:tabs>
        <w:spacing w:line="470" w:lineRule="exact"/>
        <w:ind w:firstLine="480" w:firstLineChars="200"/>
        <w:rPr>
          <w:color w:val="auto"/>
          <w:sz w:val="24"/>
        </w:rPr>
      </w:pPr>
      <w:r>
        <w:rPr>
          <w:rFonts w:hint="eastAsia" w:ascii="Times New Roman" w:hAnsi="Times New Roman" w:eastAsia="宋体" w:cs="Times New Roman"/>
          <w:color w:val="auto"/>
          <w:sz w:val="24"/>
        </w:rPr>
        <w:t>乙方：</w:t>
      </w:r>
      <w:sdt>
        <w:sdtPr>
          <w:rPr>
            <w:rFonts w:hint="eastAsia" w:ascii="Times New Roman" w:hAnsi="Times New Roman" w:eastAsia="宋体" w:cs="Times New Roman"/>
            <w:color w:val="auto"/>
            <w:sz w:val="24"/>
            <w:lang w:val="en-US" w:eastAsia="zh-CN"/>
          </w:rPr>
          <w:alias w:val="乙方当事人全称"/>
          <w:tag w:val="乙方当事人全称"/>
          <w:id w:val="147472829"/>
          <w:placeholder>
            <w:docPart w:val="{9136c5ea-72a9-4e93-953a-28b02f7fa8d2}"/>
          </w:placeholder>
          <w:text/>
        </w:sdtPr>
        <w:sdtEndPr>
          <w:rPr>
            <w:rFonts w:hint="eastAsia" w:ascii="宋体" w:hAnsi="宋体" w:eastAsia="宋体" w:cs="Times New Roman"/>
            <w:color w:val="auto"/>
            <w:kern w:val="0"/>
            <w:sz w:val="24"/>
            <w:szCs w:val="24"/>
            <w:highlight w:val="none"/>
            <w:u w:val="single"/>
            <w:shd w:val="clear" w:color="auto" w:fill="auto"/>
            <w:lang w:val="en-US" w:eastAsia="zh-CN"/>
          </w:rPr>
        </w:sdtEndPr>
        <w:sdtContent>
          <w:r>
            <w:rPr>
              <w:rFonts w:hint="eastAsia" w:cs="Times New Roman"/>
              <w:color w:val="auto"/>
              <w:sz w:val="24"/>
              <w:lang w:val="en-US" w:eastAsia="zh-CN"/>
            </w:rPr>
            <w:tab/>
          </w:r>
        </w:sdtContent>
      </w:sdt>
    </w:p>
    <w:p>
      <w:pPr>
        <w:spacing w:line="470" w:lineRule="exact"/>
        <w:ind w:firstLine="480" w:firstLineChars="200"/>
        <w:rPr>
          <w:rFonts w:hint="eastAsia"/>
          <w:color w:val="auto"/>
          <w:sz w:val="24"/>
        </w:rPr>
      </w:pPr>
    </w:p>
    <w:p>
      <w:pPr>
        <w:spacing w:line="470" w:lineRule="exact"/>
        <w:ind w:firstLine="480" w:firstLineChars="200"/>
        <w:rPr>
          <w:color w:val="auto"/>
          <w:sz w:val="24"/>
        </w:rPr>
      </w:pPr>
      <w:r>
        <w:rPr>
          <w:rFonts w:hint="eastAsia"/>
          <w:color w:val="auto"/>
          <w:sz w:val="24"/>
        </w:rPr>
        <w:t>为进一步明确双方的安全管理责任，</w:t>
      </w:r>
      <w:r>
        <w:rPr>
          <w:rFonts w:hint="eastAsia"/>
          <w:color w:val="auto"/>
          <w:sz w:val="24"/>
          <w:lang w:val="en-US" w:eastAsia="zh-CN"/>
        </w:rPr>
        <w:t>加强对</w:t>
      </w:r>
      <w:r>
        <w:rPr>
          <w:rFonts w:hint="eastAsia"/>
          <w:color w:val="auto"/>
          <w:sz w:val="24"/>
        </w:rPr>
        <w:t>施工中人身、设备的安全</w:t>
      </w:r>
      <w:r>
        <w:rPr>
          <w:rFonts w:hint="eastAsia"/>
          <w:color w:val="auto"/>
          <w:sz w:val="24"/>
          <w:lang w:val="en-US" w:eastAsia="zh-CN"/>
        </w:rPr>
        <w:t>监管</w:t>
      </w:r>
      <w:r>
        <w:rPr>
          <w:rFonts w:hint="eastAsia"/>
          <w:color w:val="auto"/>
          <w:sz w:val="24"/>
        </w:rPr>
        <w:t>，根据《中华人民共和国安全生产法》</w:t>
      </w:r>
      <w:r>
        <w:rPr>
          <w:rFonts w:hint="eastAsia"/>
          <w:color w:val="auto"/>
          <w:sz w:val="24"/>
          <w:lang w:eastAsia="zh-CN"/>
        </w:rPr>
        <w:t>、</w:t>
      </w:r>
      <w:r>
        <w:rPr>
          <w:rFonts w:hint="eastAsia"/>
          <w:color w:val="auto"/>
          <w:sz w:val="24"/>
        </w:rPr>
        <w:t>《建设工程安全生产管理条例》</w:t>
      </w:r>
      <w:r>
        <w:rPr>
          <w:rFonts w:hint="eastAsia"/>
          <w:color w:val="auto"/>
          <w:sz w:val="24"/>
          <w:lang w:val="en-US" w:eastAsia="zh-CN"/>
        </w:rPr>
        <w:t>和《建设工程监理规范》</w:t>
      </w:r>
      <w:r>
        <w:rPr>
          <w:rFonts w:hint="eastAsia"/>
          <w:color w:val="auto"/>
          <w:sz w:val="24"/>
        </w:rPr>
        <w:t>及有关政策的相关规定，按照“安全第一、预防为主、综合治理”的方针，经甲乙双方协商同意并达成如下协议，本协议作为合同的附件，具有同等的法律效力。</w:t>
      </w:r>
    </w:p>
    <w:p>
      <w:pPr>
        <w:spacing w:line="470" w:lineRule="exact"/>
        <w:ind w:firstLine="482" w:firstLineChars="200"/>
        <w:rPr>
          <w:b/>
          <w:color w:val="auto"/>
          <w:sz w:val="24"/>
        </w:rPr>
      </w:pPr>
      <w:r>
        <w:rPr>
          <w:rFonts w:hint="eastAsia"/>
          <w:b/>
          <w:color w:val="auto"/>
          <w:sz w:val="24"/>
        </w:rPr>
        <w:t>第一条甲方安全责任</w:t>
      </w:r>
    </w:p>
    <w:p>
      <w:pPr>
        <w:spacing w:line="470" w:lineRule="exact"/>
        <w:ind w:firstLine="480" w:firstLineChars="200"/>
        <w:rPr>
          <w:color w:val="auto"/>
          <w:sz w:val="24"/>
        </w:rPr>
      </w:pPr>
      <w:r>
        <w:rPr>
          <w:rFonts w:hint="eastAsia"/>
          <w:color w:val="auto"/>
          <w:sz w:val="24"/>
        </w:rPr>
        <w:t>1、甲方不得对乙方提出不符合安全生产法律、法规和强制性标准规定的要求。</w:t>
      </w:r>
    </w:p>
    <w:p>
      <w:pPr>
        <w:spacing w:line="470" w:lineRule="exact"/>
        <w:ind w:firstLine="480" w:firstLineChars="200"/>
        <w:rPr>
          <w:color w:val="auto"/>
          <w:sz w:val="24"/>
        </w:rPr>
      </w:pPr>
      <w:r>
        <w:rPr>
          <w:rFonts w:hint="eastAsia"/>
          <w:color w:val="auto"/>
          <w:sz w:val="24"/>
        </w:rPr>
        <w:t>2、甲方在开工前，应对乙方</w:t>
      </w:r>
      <w:r>
        <w:rPr>
          <w:rFonts w:hint="eastAsia"/>
          <w:color w:val="auto"/>
          <w:sz w:val="24"/>
          <w:lang w:val="en-US" w:eastAsia="zh-CN"/>
        </w:rPr>
        <w:t>总监</w:t>
      </w:r>
      <w:r>
        <w:rPr>
          <w:rFonts w:hint="eastAsia"/>
          <w:color w:val="auto"/>
          <w:sz w:val="24"/>
        </w:rPr>
        <w:t>、</w:t>
      </w:r>
      <w:r>
        <w:rPr>
          <w:rFonts w:hint="eastAsia"/>
          <w:color w:val="auto"/>
          <w:sz w:val="24"/>
          <w:lang w:val="en-US" w:eastAsia="zh-CN"/>
        </w:rPr>
        <w:t>专业监理工程师、监理员等</w:t>
      </w:r>
      <w:r>
        <w:rPr>
          <w:rFonts w:hint="eastAsia"/>
          <w:color w:val="auto"/>
          <w:sz w:val="24"/>
        </w:rPr>
        <w:t>进行项目全面交底，并经双方相关人员当面签字确认。其中包括项目主要和重大风险辨识和应急预案等内容。</w:t>
      </w:r>
    </w:p>
    <w:p>
      <w:pPr>
        <w:spacing w:line="470" w:lineRule="exact"/>
        <w:ind w:firstLine="480" w:firstLineChars="200"/>
        <w:rPr>
          <w:color w:val="auto"/>
          <w:sz w:val="24"/>
        </w:rPr>
      </w:pPr>
      <w:r>
        <w:rPr>
          <w:rFonts w:hint="eastAsia"/>
          <w:color w:val="auto"/>
          <w:sz w:val="24"/>
          <w:lang w:val="en-US" w:eastAsia="zh-CN"/>
        </w:rPr>
        <w:t>3</w:t>
      </w:r>
      <w:r>
        <w:rPr>
          <w:rFonts w:hint="eastAsia"/>
          <w:color w:val="auto"/>
          <w:sz w:val="24"/>
        </w:rPr>
        <w:t>、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color w:val="auto"/>
          <w:sz w:val="24"/>
        </w:rPr>
      </w:pPr>
      <w:r>
        <w:rPr>
          <w:rFonts w:hint="eastAsia"/>
          <w:color w:val="auto"/>
          <w:sz w:val="24"/>
          <w:lang w:val="en-US" w:eastAsia="zh-CN"/>
        </w:rPr>
        <w:t>4</w:t>
      </w:r>
      <w:r>
        <w:rPr>
          <w:rFonts w:hint="eastAsia"/>
          <w:color w:val="auto"/>
          <w:sz w:val="24"/>
        </w:rPr>
        <w:t>、甲方在乙方进场前，应对乙方</w:t>
      </w:r>
      <w:r>
        <w:rPr>
          <w:rFonts w:hint="eastAsia"/>
          <w:color w:val="auto"/>
          <w:sz w:val="24"/>
          <w:lang w:val="en-US" w:eastAsia="zh-CN"/>
        </w:rPr>
        <w:t>总监</w:t>
      </w:r>
      <w:r>
        <w:rPr>
          <w:rFonts w:hint="eastAsia"/>
          <w:color w:val="auto"/>
          <w:sz w:val="24"/>
        </w:rPr>
        <w:t>、</w:t>
      </w:r>
      <w:r>
        <w:rPr>
          <w:rFonts w:hint="eastAsia"/>
          <w:color w:val="auto"/>
          <w:sz w:val="24"/>
          <w:lang w:val="en-US" w:eastAsia="zh-CN"/>
        </w:rPr>
        <w:t>专业监理工程师、监理员等开展</w:t>
      </w:r>
      <w:r>
        <w:rPr>
          <w:rFonts w:hint="eastAsia"/>
          <w:color w:val="auto"/>
          <w:sz w:val="24"/>
        </w:rPr>
        <w:t>安全教育培训，考试合格方可进场</w:t>
      </w:r>
      <w:r>
        <w:rPr>
          <w:rFonts w:hint="eastAsia"/>
          <w:color w:val="auto"/>
          <w:sz w:val="24"/>
          <w:lang w:val="en-US" w:eastAsia="zh-CN"/>
        </w:rPr>
        <w:t>开展监理服务</w:t>
      </w:r>
      <w:r>
        <w:rPr>
          <w:rFonts w:hint="eastAsia"/>
          <w:color w:val="auto"/>
          <w:sz w:val="24"/>
        </w:rPr>
        <w:t>。</w:t>
      </w:r>
    </w:p>
    <w:p>
      <w:pPr>
        <w:spacing w:line="470" w:lineRule="exact"/>
        <w:ind w:firstLine="480" w:firstLineChars="200"/>
        <w:rPr>
          <w:rFonts w:hint="eastAsia"/>
          <w:color w:val="auto"/>
          <w:sz w:val="24"/>
        </w:rPr>
      </w:pPr>
      <w:r>
        <w:rPr>
          <w:rFonts w:hint="eastAsia"/>
          <w:color w:val="auto"/>
          <w:sz w:val="24"/>
          <w:lang w:val="en-US" w:eastAsia="zh-CN"/>
        </w:rPr>
        <w:t>5</w:t>
      </w:r>
      <w:r>
        <w:rPr>
          <w:rFonts w:hint="eastAsia"/>
          <w:color w:val="auto"/>
          <w:sz w:val="24"/>
        </w:rPr>
        <w:t>、负责</w:t>
      </w:r>
      <w:r>
        <w:rPr>
          <w:rFonts w:hint="eastAsia" w:ascii="Times New Roman" w:hAnsi="Times New Roman"/>
          <w:color w:val="auto"/>
          <w:sz w:val="24"/>
          <w:szCs w:val="24"/>
          <w:lang w:val="en-US" w:eastAsia="zh-CN"/>
        </w:rPr>
        <w:t>监理</w:t>
      </w:r>
      <w:r>
        <w:rPr>
          <w:rFonts w:hint="eastAsia"/>
          <w:color w:val="auto"/>
          <w:sz w:val="24"/>
        </w:rPr>
        <w:t>合同中规定的由甲方承担的其他安全生产责任。</w:t>
      </w:r>
    </w:p>
    <w:p>
      <w:pPr>
        <w:spacing w:line="470" w:lineRule="exact"/>
        <w:ind w:firstLine="482" w:firstLineChars="200"/>
        <w:rPr>
          <w:b/>
          <w:color w:val="auto"/>
          <w:sz w:val="24"/>
        </w:rPr>
      </w:pPr>
      <w:r>
        <w:rPr>
          <w:rFonts w:hint="eastAsia"/>
          <w:b/>
          <w:color w:val="auto"/>
          <w:sz w:val="24"/>
        </w:rPr>
        <w:t>第二条乙方安全责任</w:t>
      </w:r>
    </w:p>
    <w:p>
      <w:pPr>
        <w:spacing w:line="470" w:lineRule="exact"/>
        <w:ind w:firstLine="480" w:firstLineChars="200"/>
        <w:rPr>
          <w:color w:val="auto"/>
          <w:sz w:val="24"/>
        </w:rPr>
      </w:pPr>
      <w:r>
        <w:rPr>
          <w:rFonts w:hint="eastAsia"/>
          <w:color w:val="auto"/>
          <w:sz w:val="24"/>
        </w:rPr>
        <w:t>1、乙方应</w:t>
      </w:r>
      <w:r>
        <w:rPr>
          <w:rFonts w:hint="eastAsia"/>
          <w:color w:val="auto"/>
          <w:sz w:val="24"/>
          <w:lang w:val="en-US" w:eastAsia="zh-CN"/>
        </w:rPr>
        <w:t>根据法律法规、工程建设强制性标准履行建设工程安全生产管理的监理职责，并应将安全生产管理的监理内容、方法和措施纳入监理规划及监理实施细则中</w:t>
      </w:r>
      <w:r>
        <w:rPr>
          <w:rFonts w:hint="eastAsia"/>
          <w:color w:val="auto"/>
          <w:sz w:val="24"/>
        </w:rPr>
        <w:t>。</w:t>
      </w:r>
    </w:p>
    <w:p>
      <w:pPr>
        <w:spacing w:line="470" w:lineRule="exact"/>
        <w:ind w:firstLine="480" w:firstLineChars="200"/>
        <w:rPr>
          <w:rFonts w:hint="default" w:eastAsia="宋体"/>
          <w:color w:val="auto"/>
          <w:sz w:val="24"/>
          <w:lang w:val="en-US" w:eastAsia="zh-CN"/>
        </w:rPr>
      </w:pPr>
      <w:r>
        <w:rPr>
          <w:rFonts w:hint="eastAsia"/>
          <w:color w:val="auto"/>
          <w:sz w:val="24"/>
        </w:rPr>
        <w:t>2、</w:t>
      </w:r>
      <w:r>
        <w:rPr>
          <w:rFonts w:hint="eastAsia"/>
          <w:color w:val="auto"/>
          <w:sz w:val="24"/>
          <w:lang w:val="en-US" w:eastAsia="zh-CN"/>
        </w:rPr>
        <w:t>乙方应审查施工单位现场安全生产规章制度的建立和实施情况，并应审查施工单位安全生产许可证及施工单位项目经理、专责安全生产管理人员和特种作业人员的资格，同时应核查施工机械和设施的安全许可验收手续。</w:t>
      </w:r>
    </w:p>
    <w:p>
      <w:pPr>
        <w:spacing w:line="470" w:lineRule="exact"/>
        <w:ind w:firstLine="480" w:firstLineChars="200"/>
        <w:rPr>
          <w:rFonts w:hint="default"/>
          <w:color w:val="auto"/>
          <w:sz w:val="24"/>
          <w:lang w:val="en-US" w:eastAsia="zh-CN"/>
        </w:rPr>
      </w:pPr>
      <w:r>
        <w:rPr>
          <w:rFonts w:hint="eastAsia"/>
          <w:color w:val="auto"/>
          <w:sz w:val="24"/>
          <w:lang w:val="en-US" w:eastAsia="zh-CN"/>
        </w:rPr>
        <w:t>3、乙方应审查施工单位报审的专项施工方案，主要包括编审程序是否符合相关规定，安全技术措施是否符合工程建设强制性标准。并要求施工单位按已批准的专项施工方案组织施工。</w:t>
      </w:r>
    </w:p>
    <w:p>
      <w:pPr>
        <w:spacing w:line="470" w:lineRule="exact"/>
        <w:ind w:firstLine="480" w:firstLineChars="200"/>
        <w:rPr>
          <w:rFonts w:hint="default"/>
          <w:color w:val="auto"/>
          <w:sz w:val="24"/>
          <w:lang w:val="en-US" w:eastAsia="zh-CN"/>
        </w:rPr>
      </w:pPr>
      <w:r>
        <w:rPr>
          <w:rFonts w:hint="eastAsia"/>
          <w:color w:val="auto"/>
          <w:sz w:val="24"/>
          <w:lang w:val="en-US" w:eastAsia="zh-CN"/>
        </w:rPr>
        <w:t>4、对超过一定规模的危险性较大的分部分项工程的专项施工方案，乙方应检查施工单位组织专家进行论证、审查的情况以及是否附具安全验算结果。</w:t>
      </w:r>
    </w:p>
    <w:p>
      <w:pPr>
        <w:spacing w:line="470" w:lineRule="exact"/>
        <w:ind w:firstLine="480" w:firstLineChars="200"/>
        <w:rPr>
          <w:color w:val="auto"/>
          <w:sz w:val="24"/>
        </w:rPr>
      </w:pPr>
      <w:r>
        <w:rPr>
          <w:rFonts w:hint="eastAsia"/>
          <w:color w:val="auto"/>
          <w:sz w:val="24"/>
          <w:lang w:val="en-US" w:eastAsia="zh-CN"/>
        </w:rPr>
        <w:t>5、</w:t>
      </w:r>
      <w:r>
        <w:rPr>
          <w:rFonts w:hint="eastAsia"/>
          <w:color w:val="auto"/>
          <w:sz w:val="24"/>
        </w:rPr>
        <w:t>乙方应当保证本单位安全生产条件所需资金的投入，对所</w:t>
      </w:r>
      <w:r>
        <w:rPr>
          <w:rFonts w:hint="eastAsia"/>
          <w:color w:val="auto"/>
          <w:sz w:val="24"/>
          <w:lang w:val="en-US" w:eastAsia="zh-CN"/>
        </w:rPr>
        <w:t>监管</w:t>
      </w:r>
      <w:r>
        <w:rPr>
          <w:rFonts w:hint="eastAsia"/>
          <w:color w:val="auto"/>
          <w:sz w:val="24"/>
        </w:rPr>
        <w:t>的建设工程进行安全检查并做好记录。</w:t>
      </w:r>
    </w:p>
    <w:p>
      <w:pPr>
        <w:spacing w:line="470" w:lineRule="exact"/>
        <w:ind w:firstLine="480" w:firstLineChars="200"/>
        <w:rPr>
          <w:color w:val="auto"/>
          <w:sz w:val="24"/>
        </w:rPr>
      </w:pPr>
      <w:r>
        <w:rPr>
          <w:rFonts w:hint="eastAsia"/>
          <w:color w:val="auto"/>
          <w:sz w:val="24"/>
          <w:lang w:val="en-US" w:eastAsia="zh-CN"/>
        </w:rPr>
        <w:t>6</w:t>
      </w:r>
      <w:r>
        <w:rPr>
          <w:rFonts w:hint="eastAsia"/>
          <w:color w:val="auto"/>
          <w:sz w:val="24"/>
        </w:rPr>
        <w:t>、乙方的项目负责人应当由取得相应执业资格的人员担任，按照国家、地方及甲方有关安全生产事故事件报告处理的规定及时、如实报告生产安全事故事件。</w:t>
      </w:r>
    </w:p>
    <w:p>
      <w:pPr>
        <w:spacing w:line="470" w:lineRule="exact"/>
        <w:ind w:firstLine="480" w:firstLineChars="200"/>
        <w:rPr>
          <w:rFonts w:hint="eastAsia" w:eastAsia="宋体"/>
          <w:color w:val="auto"/>
          <w:sz w:val="24"/>
          <w:lang w:val="en-US" w:eastAsia="zh-CN"/>
        </w:rPr>
      </w:pPr>
      <w:r>
        <w:rPr>
          <w:rFonts w:hint="eastAsia"/>
          <w:color w:val="auto"/>
          <w:sz w:val="24"/>
          <w:lang w:val="en-US" w:eastAsia="zh-CN"/>
        </w:rPr>
        <w:t>7</w:t>
      </w:r>
      <w:r>
        <w:rPr>
          <w:rFonts w:hint="eastAsia"/>
          <w:color w:val="auto"/>
          <w:sz w:val="24"/>
        </w:rPr>
        <w:t>、工程施工前，乙方应</w:t>
      </w:r>
      <w:r>
        <w:rPr>
          <w:rFonts w:hint="eastAsia"/>
          <w:color w:val="auto"/>
          <w:sz w:val="24"/>
          <w:lang w:val="en-US" w:eastAsia="zh-CN"/>
        </w:rPr>
        <w:t>对项目</w:t>
      </w:r>
      <w:r>
        <w:rPr>
          <w:rFonts w:hint="eastAsia"/>
          <w:color w:val="auto"/>
          <w:sz w:val="24"/>
        </w:rPr>
        <w:t>做好风险分析，</w:t>
      </w:r>
      <w:r>
        <w:rPr>
          <w:rFonts w:hint="eastAsia"/>
          <w:color w:val="auto"/>
          <w:sz w:val="24"/>
          <w:lang w:val="en-US" w:eastAsia="zh-CN"/>
        </w:rPr>
        <w:t>梳理现场安全管控措施</w:t>
      </w:r>
      <w:r>
        <w:rPr>
          <w:rFonts w:hint="eastAsia"/>
          <w:color w:val="auto"/>
          <w:sz w:val="24"/>
        </w:rPr>
        <w:t>。每日施工前，督促施工单位通过“班前会”对作业人员交待安全措施和注意事项，人员出入现场精神状态检查。</w:t>
      </w:r>
      <w:r>
        <w:rPr>
          <w:rFonts w:hint="eastAsia"/>
          <w:color w:val="auto"/>
          <w:sz w:val="24"/>
          <w:lang w:val="en-US" w:eastAsia="zh-CN"/>
        </w:rPr>
        <w:t>同时定期参加站班会，依据规定监督站班会有效开展。</w:t>
      </w:r>
    </w:p>
    <w:p>
      <w:pPr>
        <w:spacing w:line="470" w:lineRule="exact"/>
        <w:ind w:firstLine="480" w:firstLineChars="200"/>
        <w:rPr>
          <w:color w:val="auto"/>
          <w:sz w:val="24"/>
        </w:rPr>
      </w:pPr>
      <w:r>
        <w:rPr>
          <w:rFonts w:hint="eastAsia"/>
          <w:color w:val="auto"/>
          <w:sz w:val="24"/>
          <w:lang w:val="en-US" w:eastAsia="zh-CN"/>
        </w:rPr>
        <w:t>8</w:t>
      </w:r>
      <w:r>
        <w:rPr>
          <w:rFonts w:hint="eastAsia"/>
          <w:color w:val="auto"/>
          <w:sz w:val="24"/>
        </w:rPr>
        <w:t>、乙方应为现场监理人员购买意外伤害保险。</w:t>
      </w:r>
    </w:p>
    <w:p>
      <w:pPr>
        <w:spacing w:line="470" w:lineRule="exact"/>
        <w:ind w:firstLine="480" w:firstLineChars="200"/>
        <w:rPr>
          <w:color w:val="auto"/>
          <w:sz w:val="24"/>
        </w:rPr>
      </w:pPr>
      <w:r>
        <w:rPr>
          <w:rFonts w:hint="eastAsia"/>
          <w:color w:val="auto"/>
          <w:sz w:val="24"/>
          <w:lang w:val="en-US" w:eastAsia="zh-CN"/>
        </w:rPr>
        <w:t>9</w:t>
      </w:r>
      <w:r>
        <w:rPr>
          <w:rFonts w:hint="eastAsia"/>
          <w:color w:val="auto"/>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color w:val="auto"/>
          <w:sz w:val="24"/>
        </w:rPr>
      </w:pPr>
      <w:r>
        <w:rPr>
          <w:rFonts w:hint="eastAsia"/>
          <w:color w:val="auto"/>
          <w:sz w:val="24"/>
          <w:lang w:val="en-US" w:eastAsia="zh-CN"/>
        </w:rPr>
        <w:t>10</w:t>
      </w:r>
      <w:r>
        <w:rPr>
          <w:rFonts w:hint="eastAsia"/>
          <w:color w:val="auto"/>
          <w:sz w:val="24"/>
        </w:rPr>
        <w:t>、乙方应服从甲方的监督检查，按时完成甲方提出的整改要求；参加甲方组织召开的有关会议，并落实会议所提出的有关要求。</w:t>
      </w:r>
    </w:p>
    <w:p>
      <w:pPr>
        <w:spacing w:line="470" w:lineRule="exact"/>
        <w:ind w:firstLine="480" w:firstLineChars="200"/>
        <w:rPr>
          <w:rFonts w:hint="default" w:eastAsia="宋体"/>
          <w:color w:val="auto"/>
          <w:sz w:val="24"/>
          <w:lang w:val="en-US" w:eastAsia="zh-CN"/>
        </w:rPr>
      </w:pPr>
      <w:r>
        <w:rPr>
          <w:rFonts w:hint="eastAsia"/>
          <w:color w:val="auto"/>
          <w:sz w:val="24"/>
          <w:lang w:val="en-US" w:eastAsia="zh-CN"/>
        </w:rPr>
        <w:t>11</w:t>
      </w:r>
      <w:r>
        <w:rPr>
          <w:rFonts w:hint="eastAsia"/>
          <w:color w:val="auto"/>
          <w:sz w:val="24"/>
        </w:rPr>
        <w:t>、</w:t>
      </w:r>
      <w:r>
        <w:rPr>
          <w:rFonts w:hint="eastAsia"/>
          <w:color w:val="auto"/>
          <w:sz w:val="24"/>
          <w:lang w:val="en-US" w:eastAsia="zh-CN"/>
        </w:rPr>
        <w:t>乙方应巡视检查危险性较大的分部分项工程专项施工方案实施情况，发现工程存在安全事故隐患时，应下发监理通知单，要求施工单位整改；情况严重时，应签发工程暂停令，并应及时报告建设单位。施工单位拒不整改或不停止施工时，应及时向有关主管部门报审监理报告。</w:t>
      </w:r>
    </w:p>
    <w:p>
      <w:pPr>
        <w:spacing w:line="470" w:lineRule="exact"/>
        <w:ind w:firstLine="480" w:firstLineChars="200"/>
        <w:rPr>
          <w:color w:val="auto"/>
          <w:sz w:val="24"/>
        </w:rPr>
      </w:pPr>
      <w:r>
        <w:rPr>
          <w:rFonts w:hint="eastAsia"/>
          <w:color w:val="auto"/>
          <w:sz w:val="24"/>
          <w:lang w:val="en-US" w:eastAsia="zh-CN"/>
        </w:rPr>
        <w:t>12、</w:t>
      </w:r>
      <w:r>
        <w:rPr>
          <w:rFonts w:hint="eastAsia"/>
          <w:color w:val="auto"/>
          <w:sz w:val="24"/>
        </w:rPr>
        <w:t>负责法律法规及监理合同中规定的由乙方承担的其他安全生产责任。</w:t>
      </w:r>
    </w:p>
    <w:p>
      <w:pPr>
        <w:spacing w:line="470" w:lineRule="exact"/>
        <w:ind w:firstLine="482" w:firstLineChars="200"/>
        <w:rPr>
          <w:b/>
          <w:color w:val="auto"/>
          <w:sz w:val="24"/>
        </w:rPr>
      </w:pPr>
      <w:r>
        <w:rPr>
          <w:rFonts w:hint="eastAsia"/>
          <w:b/>
          <w:color w:val="auto"/>
          <w:sz w:val="24"/>
        </w:rPr>
        <w:t>第三条违约责任</w:t>
      </w:r>
    </w:p>
    <w:p>
      <w:pPr>
        <w:spacing w:line="470" w:lineRule="exact"/>
        <w:ind w:firstLine="480" w:firstLineChars="200"/>
        <w:rPr>
          <w:color w:val="auto"/>
          <w:sz w:val="24"/>
        </w:rPr>
      </w:pPr>
      <w:r>
        <w:rPr>
          <w:rFonts w:hint="eastAsia"/>
          <w:color w:val="auto"/>
          <w:sz w:val="24"/>
        </w:rPr>
        <w:t>1、甲方未尽到本方安全责任，造成的损失由甲方承担。</w:t>
      </w:r>
    </w:p>
    <w:p>
      <w:pPr>
        <w:spacing w:line="470" w:lineRule="exact"/>
        <w:ind w:firstLine="480" w:firstLineChars="200"/>
        <w:rPr>
          <w:color w:val="auto"/>
          <w:sz w:val="24"/>
        </w:rPr>
      </w:pPr>
      <w:r>
        <w:rPr>
          <w:rFonts w:hint="eastAsia"/>
          <w:color w:val="auto"/>
          <w:sz w:val="24"/>
        </w:rPr>
        <w:t>2、在协议有效期内，甲方发现乙方违反本协议的有关内容，将按照南方电网公司、</w:t>
      </w:r>
      <w:r>
        <w:rPr>
          <w:rFonts w:hint="eastAsia"/>
          <w:color w:val="auto"/>
          <w:sz w:val="24"/>
          <w:highlight w:val="none"/>
          <w:lang w:val="en-US" w:eastAsia="zh-CN"/>
        </w:rPr>
        <w:t>南方电网储能股份有限</w:t>
      </w:r>
      <w:r>
        <w:rPr>
          <w:rFonts w:hint="eastAsia"/>
          <w:color w:val="auto"/>
          <w:sz w:val="24"/>
          <w:highlight w:val="none"/>
        </w:rPr>
        <w:t>公司和</w:t>
      </w:r>
      <w:r>
        <w:rPr>
          <w:rFonts w:hint="eastAsia"/>
          <w:color w:val="auto"/>
          <w:sz w:val="24"/>
        </w:rPr>
        <w:t>甲方相关的规章制度给予处罚。</w:t>
      </w:r>
    </w:p>
    <w:p>
      <w:pPr>
        <w:spacing w:line="470" w:lineRule="exact"/>
        <w:ind w:firstLine="480" w:firstLineChars="200"/>
        <w:rPr>
          <w:color w:val="auto"/>
          <w:sz w:val="24"/>
        </w:rPr>
      </w:pPr>
      <w:r>
        <w:rPr>
          <w:rFonts w:hint="eastAsia"/>
          <w:color w:val="auto"/>
          <w:sz w:val="24"/>
        </w:rPr>
        <w:t>3、触犯国家、行业有关安全生产和环境保护的法律、法规、规程的，由责任方承担相应法律责任。</w:t>
      </w:r>
    </w:p>
    <w:p>
      <w:pPr>
        <w:spacing w:line="470" w:lineRule="exact"/>
        <w:ind w:firstLine="480" w:firstLineChars="200"/>
        <w:rPr>
          <w:color w:val="auto"/>
          <w:sz w:val="24"/>
        </w:rPr>
      </w:pPr>
      <w:r>
        <w:rPr>
          <w:rFonts w:hint="eastAsia"/>
          <w:color w:val="auto"/>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color w:val="auto"/>
          <w:sz w:val="24"/>
        </w:rPr>
      </w:pPr>
      <w:r>
        <w:rPr>
          <w:rFonts w:hint="eastAsia"/>
          <w:color w:val="auto"/>
          <w:sz w:val="24"/>
        </w:rPr>
        <w:t>5、乙方未尽到其应尽的安全责任，甲方有权要求乙方立即停工整改，由此引起的后果及损失由乙方承担。</w:t>
      </w:r>
    </w:p>
    <w:p>
      <w:pPr>
        <w:spacing w:line="470" w:lineRule="exact"/>
        <w:ind w:firstLine="482" w:firstLineChars="200"/>
        <w:rPr>
          <w:b/>
          <w:color w:val="auto"/>
          <w:sz w:val="24"/>
        </w:rPr>
      </w:pPr>
      <w:r>
        <w:rPr>
          <w:rFonts w:hint="eastAsia"/>
          <w:b/>
          <w:color w:val="auto"/>
          <w:sz w:val="24"/>
        </w:rPr>
        <w:t>第四条安健环业绩考核</w:t>
      </w:r>
    </w:p>
    <w:p>
      <w:pPr>
        <w:spacing w:line="470" w:lineRule="exact"/>
        <w:ind w:firstLine="480" w:firstLineChars="200"/>
        <w:rPr>
          <w:color w:val="auto"/>
          <w:sz w:val="24"/>
        </w:rPr>
      </w:pPr>
      <w:r>
        <w:rPr>
          <w:rFonts w:hint="eastAsia"/>
          <w:color w:val="auto"/>
          <w:sz w:val="24"/>
        </w:rPr>
        <w:t>1、为了落实安健环管理的责任，甲方对乙方在施工现场进行</w:t>
      </w:r>
      <w:r>
        <w:rPr>
          <w:color w:val="auto"/>
          <w:sz w:val="24"/>
        </w:rPr>
        <w:t>HSE</w:t>
      </w:r>
      <w:r>
        <w:rPr>
          <w:rFonts w:hint="eastAsia"/>
          <w:color w:val="auto"/>
          <w:sz w:val="24"/>
        </w:rPr>
        <w:t>管理考核，具体执行《施工现场</w:t>
      </w:r>
      <w:r>
        <w:rPr>
          <w:rFonts w:hint="eastAsia"/>
          <w:color w:val="auto"/>
          <w:sz w:val="24"/>
          <w:lang w:val="en-US" w:eastAsia="zh-CN"/>
        </w:rPr>
        <w:t>监理工作</w:t>
      </w:r>
      <w:r>
        <w:rPr>
          <w:color w:val="auto"/>
          <w:sz w:val="24"/>
        </w:rPr>
        <w:t>HSE</w:t>
      </w:r>
      <w:r>
        <w:rPr>
          <w:rFonts w:hint="eastAsia"/>
          <w:color w:val="auto"/>
          <w:sz w:val="24"/>
        </w:rPr>
        <w:t>奖罚规定》（附件）。</w:t>
      </w:r>
    </w:p>
    <w:p>
      <w:pPr>
        <w:spacing w:line="470" w:lineRule="exact"/>
        <w:ind w:firstLine="480" w:firstLineChars="200"/>
        <w:rPr>
          <w:color w:val="auto"/>
          <w:sz w:val="24"/>
          <w:highlight w:val="yellow"/>
        </w:rPr>
      </w:pPr>
      <w:r>
        <w:rPr>
          <w:rFonts w:hint="eastAsia"/>
          <w:color w:val="auto"/>
          <w:sz w:val="24"/>
        </w:rPr>
        <w:t>2、</w:t>
      </w:r>
      <w:r>
        <w:rPr>
          <w:rFonts w:hint="eastAsia"/>
          <w:color w:val="auto"/>
          <w:sz w:val="24"/>
          <w:highlight w:val="none"/>
        </w:rPr>
        <w:t>考核金额累计一般不超过合同总价的</w:t>
      </w:r>
      <w:r>
        <w:rPr>
          <w:rFonts w:hint="eastAsia"/>
          <w:color w:val="auto"/>
          <w:sz w:val="24"/>
          <w:highlight w:val="none"/>
          <w:lang w:val="en-US" w:eastAsia="zh-CN"/>
        </w:rPr>
        <w:t>2</w:t>
      </w:r>
      <w:r>
        <w:rPr>
          <w:rFonts w:hint="eastAsia"/>
          <w:color w:val="auto"/>
          <w:sz w:val="24"/>
          <w:highlight w:val="none"/>
        </w:rPr>
        <w:t>0%</w:t>
      </w:r>
      <w:r>
        <w:rPr>
          <w:rFonts w:hint="eastAsia"/>
          <w:color w:val="auto"/>
          <w:sz w:val="24"/>
          <w:highlight w:val="none"/>
          <w:lang w:val="en-US" w:eastAsia="zh-CN"/>
        </w:rPr>
        <w:t xml:space="preserve"> </w:t>
      </w:r>
      <w:r>
        <w:rPr>
          <w:rFonts w:hint="eastAsia"/>
          <w:color w:val="auto"/>
          <w:sz w:val="24"/>
          <w:highlight w:val="none"/>
        </w:rPr>
        <w:t>。</w:t>
      </w:r>
    </w:p>
    <w:p>
      <w:pPr>
        <w:spacing w:line="470" w:lineRule="exact"/>
        <w:ind w:firstLine="482" w:firstLineChars="200"/>
        <w:rPr>
          <w:b/>
          <w:color w:val="auto"/>
          <w:sz w:val="24"/>
        </w:rPr>
      </w:pPr>
      <w:r>
        <w:rPr>
          <w:rFonts w:hint="eastAsia"/>
          <w:b/>
          <w:color w:val="auto"/>
          <w:sz w:val="24"/>
        </w:rPr>
        <w:t>第五条其他</w:t>
      </w:r>
    </w:p>
    <w:p>
      <w:pPr>
        <w:spacing w:line="470" w:lineRule="exact"/>
        <w:ind w:firstLine="480" w:firstLineChars="200"/>
        <w:rPr>
          <w:color w:val="auto"/>
          <w:sz w:val="24"/>
        </w:rPr>
      </w:pPr>
      <w:r>
        <w:rPr>
          <w:rFonts w:hint="eastAsia"/>
          <w:color w:val="auto"/>
          <w:sz w:val="24"/>
        </w:rPr>
        <w:t>1、本协议作为承包合同的有效组成部分，与承包合同同时生效和终止。</w:t>
      </w:r>
    </w:p>
    <w:p>
      <w:pPr>
        <w:spacing w:line="470" w:lineRule="exact"/>
        <w:ind w:firstLine="480" w:firstLineChars="200"/>
        <w:rPr>
          <w:color w:val="auto"/>
          <w:sz w:val="24"/>
        </w:rPr>
      </w:pPr>
      <w:r>
        <w:rPr>
          <w:rFonts w:hint="eastAsia"/>
          <w:color w:val="auto"/>
          <w:sz w:val="24"/>
        </w:rPr>
        <w:t>2、本协议如有争议，争议解决办法与合同争议解决办法相同。</w:t>
      </w:r>
    </w:p>
    <w:p>
      <w:pPr>
        <w:spacing w:line="470" w:lineRule="exact"/>
        <w:ind w:firstLine="480" w:firstLineChars="200"/>
        <w:rPr>
          <w:color w:val="auto"/>
          <w:sz w:val="24"/>
        </w:rPr>
      </w:pPr>
      <w:r>
        <w:rPr>
          <w:rFonts w:hint="eastAsia"/>
          <w:color w:val="auto"/>
          <w:sz w:val="24"/>
        </w:rPr>
        <w:t>3、本协议未尽事宜，双方协商解决。</w:t>
      </w:r>
    </w:p>
    <w:p>
      <w:pPr>
        <w:spacing w:line="470" w:lineRule="exact"/>
        <w:ind w:firstLine="480" w:firstLineChars="200"/>
        <w:rPr>
          <w:color w:val="auto"/>
          <w:sz w:val="24"/>
        </w:rPr>
      </w:pPr>
      <w:r>
        <w:rPr>
          <w:rFonts w:hint="eastAsia"/>
          <w:color w:val="auto"/>
          <w:sz w:val="24"/>
        </w:rPr>
        <w:t>4、如有与国家和地方有关规定相悖的，按国家和地方有关规定执行。</w:t>
      </w:r>
    </w:p>
    <w:p>
      <w:pPr>
        <w:spacing w:line="470" w:lineRule="exact"/>
        <w:ind w:firstLine="480" w:firstLineChars="200"/>
        <w:rPr>
          <w:color w:val="auto"/>
          <w:sz w:val="24"/>
        </w:rPr>
      </w:pPr>
      <w:r>
        <w:rPr>
          <w:rFonts w:hint="eastAsia"/>
          <w:color w:val="auto"/>
          <w:sz w:val="24"/>
        </w:rPr>
        <w:t>5、本协议一式</w:t>
      </w:r>
      <w:r>
        <w:rPr>
          <w:rFonts w:hint="eastAsia"/>
          <w:color w:val="auto"/>
          <w:sz w:val="24"/>
          <w:lang w:val="en-US" w:eastAsia="zh-CN"/>
        </w:rPr>
        <w:t>贰</w:t>
      </w:r>
      <w:r>
        <w:rPr>
          <w:rFonts w:hint="eastAsia"/>
          <w:color w:val="auto"/>
          <w:sz w:val="24"/>
        </w:rPr>
        <w:t>份，甲乙双方各执</w:t>
      </w:r>
      <w:r>
        <w:rPr>
          <w:rFonts w:hint="eastAsia"/>
          <w:color w:val="auto"/>
          <w:sz w:val="24"/>
          <w:lang w:val="en-US" w:eastAsia="zh-CN"/>
        </w:rPr>
        <w:t>壹</w:t>
      </w:r>
      <w:r>
        <w:rPr>
          <w:rFonts w:hint="eastAsia"/>
          <w:color w:val="auto"/>
          <w:sz w:val="24"/>
        </w:rPr>
        <w:t>份，签字盖章后即生效</w:t>
      </w:r>
    </w:p>
    <w:p>
      <w:pPr>
        <w:spacing w:line="500" w:lineRule="exact"/>
        <w:ind w:left="4080" w:hanging="4080" w:hangingChars="1700"/>
        <w:jc w:val="left"/>
        <w:rPr>
          <w:color w:val="auto"/>
          <w:sz w:val="24"/>
        </w:rPr>
      </w:pPr>
    </w:p>
    <w:p>
      <w:pPr>
        <w:spacing w:line="500" w:lineRule="exact"/>
        <w:ind w:left="4080" w:hanging="4080" w:hangingChars="1700"/>
        <w:jc w:val="left"/>
        <w:rPr>
          <w:color w:val="auto"/>
          <w:sz w:val="24"/>
        </w:rPr>
      </w:pPr>
      <w:r>
        <w:rPr>
          <w:rFonts w:hint="eastAsia"/>
          <w:color w:val="auto"/>
          <w:sz w:val="24"/>
        </w:rPr>
        <w:t>甲方：</w:t>
      </w:r>
      <w:r>
        <w:rPr>
          <w:rFonts w:hint="eastAsia"/>
          <w:color w:val="auto"/>
          <w:sz w:val="24"/>
          <w:highlight w:val="none"/>
        </w:rPr>
        <w:t>天生桥二级</w:t>
      </w:r>
      <w:r>
        <w:rPr>
          <w:rFonts w:hint="eastAsia"/>
          <w:color w:val="auto"/>
          <w:sz w:val="24"/>
          <w:highlight w:val="none"/>
          <w:lang w:val="en-US" w:eastAsia="zh-CN"/>
        </w:rPr>
        <w:t>水力</w:t>
      </w:r>
      <w:r>
        <w:rPr>
          <w:rFonts w:hint="eastAsia"/>
          <w:color w:val="auto"/>
          <w:sz w:val="24"/>
          <w:highlight w:val="none"/>
        </w:rPr>
        <w:t>发电有限公司</w:t>
      </w:r>
      <w:r>
        <w:rPr>
          <w:rFonts w:hint="eastAsia"/>
          <w:color w:val="auto"/>
          <w:sz w:val="24"/>
        </w:rPr>
        <w:t xml:space="preserve">      </w:t>
      </w:r>
      <w:r>
        <w:rPr>
          <w:color w:val="auto"/>
          <w:sz w:val="24"/>
        </w:rPr>
        <w:t xml:space="preserve"> </w:t>
      </w:r>
      <w:r>
        <w:rPr>
          <w:rFonts w:hint="eastAsia"/>
          <w:color w:val="auto"/>
          <w:sz w:val="24"/>
        </w:rPr>
        <w:t>乙方：</w:t>
      </w:r>
      <w:r>
        <w:rPr>
          <w:color w:val="auto"/>
          <w:sz w:val="24"/>
        </w:rPr>
        <w:t xml:space="preserve"> </w:t>
      </w:r>
      <w:r>
        <w:rPr>
          <w:rFonts w:hint="eastAsia"/>
          <w:color w:val="auto"/>
          <w:sz w:val="24"/>
        </w:rPr>
        <w:t xml:space="preserve">              </w:t>
      </w:r>
    </w:p>
    <w:p>
      <w:pPr>
        <w:spacing w:line="470" w:lineRule="exact"/>
        <w:ind w:left="6479" w:leftChars="228" w:hanging="6000" w:hangingChars="2500"/>
        <w:jc w:val="left"/>
        <w:rPr>
          <w:color w:val="auto"/>
          <w:sz w:val="24"/>
        </w:rPr>
      </w:pPr>
    </w:p>
    <w:p>
      <w:pPr>
        <w:spacing w:line="500" w:lineRule="exact"/>
        <w:ind w:left="4080" w:hanging="4080" w:hangingChars="1700"/>
        <w:jc w:val="left"/>
        <w:rPr>
          <w:color w:val="auto"/>
          <w:sz w:val="24"/>
        </w:rPr>
      </w:pPr>
      <w:r>
        <w:rPr>
          <w:rFonts w:hint="eastAsia"/>
          <w:color w:val="auto"/>
          <w:sz w:val="24"/>
        </w:rPr>
        <w:t xml:space="preserve">                             </w:t>
      </w:r>
    </w:p>
    <w:p>
      <w:pPr>
        <w:spacing w:line="470" w:lineRule="exact"/>
        <w:ind w:left="6479" w:leftChars="228" w:hanging="6000" w:hangingChars="2500"/>
        <w:jc w:val="left"/>
        <w:rPr>
          <w:color w:val="auto"/>
          <w:sz w:val="24"/>
        </w:rPr>
      </w:pPr>
    </w:p>
    <w:p>
      <w:pPr>
        <w:spacing w:line="470" w:lineRule="exact"/>
        <w:ind w:firstLine="480" w:firstLineChars="200"/>
        <w:rPr>
          <w:color w:val="auto"/>
          <w:sz w:val="24"/>
        </w:rPr>
      </w:pPr>
      <w:r>
        <w:rPr>
          <w:rFonts w:hint="eastAsia"/>
          <w:color w:val="auto"/>
          <w:sz w:val="24"/>
        </w:rPr>
        <w:t xml:space="preserve">                     </w:t>
      </w:r>
    </w:p>
    <w:p>
      <w:pPr>
        <w:spacing w:line="470" w:lineRule="exact"/>
        <w:ind w:firstLine="480" w:firstLineChars="200"/>
        <w:rPr>
          <w:color w:val="auto"/>
          <w:sz w:val="24"/>
        </w:rPr>
      </w:pPr>
      <w:r>
        <w:rPr>
          <w:rFonts w:hint="eastAsia"/>
          <w:color w:val="auto"/>
          <w:sz w:val="24"/>
        </w:rPr>
        <w:t>代表：　　　　　　　　　                      　代表：</w:t>
      </w:r>
    </w:p>
    <w:p>
      <w:pPr>
        <w:spacing w:line="470" w:lineRule="exact"/>
        <w:ind w:firstLine="480" w:firstLineChars="200"/>
        <w:rPr>
          <w:color w:val="auto"/>
          <w:sz w:val="24"/>
        </w:rPr>
      </w:pPr>
      <w:r>
        <w:rPr>
          <w:rFonts w:hint="eastAsia"/>
          <w:color w:val="auto"/>
          <w:sz w:val="24"/>
        </w:rPr>
        <w:t>　　</w:t>
      </w:r>
    </w:p>
    <w:p>
      <w:pPr>
        <w:spacing w:line="470" w:lineRule="exact"/>
        <w:ind w:firstLine="480" w:firstLineChars="200"/>
        <w:rPr>
          <w:color w:val="auto"/>
          <w:sz w:val="24"/>
        </w:rPr>
      </w:pPr>
      <w:r>
        <w:rPr>
          <w:rFonts w:hint="eastAsia"/>
          <w:color w:val="auto"/>
          <w:sz w:val="24"/>
        </w:rPr>
        <w:t>日期：　年　月　日                             日期：　　年　月　日</w:t>
      </w:r>
    </w:p>
    <w:p>
      <w:pPr>
        <w:widowControl/>
        <w:spacing w:line="360" w:lineRule="auto"/>
        <w:contextualSpacing/>
        <w:jc w:val="left"/>
        <w:outlineLvl w:val="0"/>
        <w:rPr>
          <w:color w:val="auto"/>
          <w:sz w:val="24"/>
        </w:rPr>
      </w:pPr>
    </w:p>
    <w:p>
      <w:pPr>
        <w:widowControl/>
        <w:spacing w:line="360" w:lineRule="auto"/>
        <w:contextualSpacing/>
        <w:jc w:val="left"/>
        <w:outlineLvl w:val="0"/>
        <w:rPr>
          <w:color w:val="auto"/>
          <w:sz w:val="24"/>
        </w:rPr>
      </w:pPr>
    </w:p>
    <w:p>
      <w:pPr>
        <w:pStyle w:val="2"/>
      </w:pPr>
      <w:bookmarkStart w:id="5" w:name="_GoBack"/>
      <w:bookmarkEnd w:id="5"/>
    </w:p>
    <w:p>
      <w:pPr>
        <w:spacing w:line="470" w:lineRule="exact"/>
        <w:ind w:firstLine="480" w:firstLineChars="200"/>
        <w:rPr>
          <w:color w:val="auto"/>
          <w:sz w:val="24"/>
        </w:rPr>
      </w:pPr>
      <w:r>
        <w:rPr>
          <w:rFonts w:hint="eastAsia"/>
          <w:color w:val="auto"/>
          <w:sz w:val="24"/>
        </w:rPr>
        <w:t>甲方安全监管监督人：</w:t>
      </w:r>
    </w:p>
    <w:p>
      <w:pPr>
        <w:spacing w:line="470" w:lineRule="exact"/>
        <w:ind w:firstLine="480" w:firstLineChars="200"/>
        <w:rPr>
          <w:color w:val="auto"/>
          <w:sz w:val="24"/>
        </w:rPr>
      </w:pPr>
    </w:p>
    <w:p>
      <w:pPr>
        <w:spacing w:line="470" w:lineRule="exact"/>
        <w:ind w:firstLine="480" w:firstLineChars="200"/>
        <w:rPr>
          <w:color w:val="auto"/>
          <w:sz w:val="24"/>
        </w:rPr>
      </w:pPr>
      <w:r>
        <w:rPr>
          <w:rFonts w:hint="eastAsia"/>
          <w:color w:val="auto"/>
          <w:sz w:val="24"/>
        </w:rPr>
        <w:t>日期：　年　月　日</w:t>
      </w:r>
    </w:p>
    <w:p>
      <w:pPr>
        <w:pStyle w:val="174"/>
        <w:spacing w:line="360" w:lineRule="auto"/>
        <w:rPr>
          <w:rFonts w:ascii="黑体" w:hAnsi="宋体" w:eastAsia="黑体"/>
          <w:bCs/>
          <w:color w:val="auto"/>
          <w:kern w:val="44"/>
          <w:szCs w:val="21"/>
        </w:rPr>
      </w:pPr>
      <w:r>
        <w:br w:type="page"/>
      </w:r>
      <w:r>
        <w:rPr>
          <w:rFonts w:hint="eastAsia" w:ascii="黑体" w:hAnsi="宋体" w:eastAsia="黑体"/>
          <w:bCs/>
          <w:color w:val="auto"/>
          <w:kern w:val="44"/>
          <w:sz w:val="28"/>
          <w:szCs w:val="28"/>
        </w:rPr>
        <w:t>附件</w:t>
      </w:r>
    </w:p>
    <w:p>
      <w:pPr>
        <w:widowControl/>
        <w:spacing w:line="360" w:lineRule="auto"/>
        <w:contextualSpacing/>
        <w:jc w:val="both"/>
        <w:outlineLvl w:val="0"/>
        <w:rPr>
          <w:rFonts w:hint="eastAsia" w:ascii="黑体" w:hAnsi="宋体" w:eastAsia="黑体"/>
          <w:bCs/>
          <w:color w:val="auto"/>
          <w:kern w:val="44"/>
          <w:sz w:val="30"/>
          <w:szCs w:val="30"/>
          <w:lang w:val="en-US" w:eastAsia="zh-CN"/>
        </w:rPr>
      </w:pPr>
      <w:r>
        <w:rPr>
          <w:rFonts w:hint="eastAsia" w:ascii="黑体" w:hAnsi="宋体" w:eastAsia="黑体"/>
          <w:bCs/>
          <w:color w:val="auto"/>
          <w:kern w:val="44"/>
          <w:sz w:val="30"/>
          <w:szCs w:val="30"/>
          <w:lang w:val="en-US" w:eastAsia="zh-CN"/>
        </w:rPr>
        <w:t>一、施工</w:t>
      </w:r>
      <w:r>
        <w:rPr>
          <w:rFonts w:hint="eastAsia" w:ascii="黑体" w:hAnsi="宋体" w:eastAsia="黑体"/>
          <w:bCs/>
          <w:color w:val="auto"/>
          <w:kern w:val="44"/>
          <w:sz w:val="30"/>
          <w:szCs w:val="30"/>
        </w:rPr>
        <w:t>现场</w:t>
      </w:r>
      <w:r>
        <w:rPr>
          <w:rFonts w:hint="eastAsia" w:ascii="黑体" w:hAnsi="宋体" w:eastAsia="黑体"/>
          <w:bCs/>
          <w:color w:val="auto"/>
          <w:kern w:val="44"/>
          <w:sz w:val="30"/>
          <w:szCs w:val="30"/>
          <w:lang w:val="en-US" w:eastAsia="zh-CN"/>
        </w:rPr>
        <w:t>监理工作</w:t>
      </w:r>
      <w:r>
        <w:rPr>
          <w:rFonts w:ascii="黑体" w:hAnsi="宋体" w:eastAsia="黑体"/>
          <w:bCs/>
          <w:color w:val="auto"/>
          <w:kern w:val="44"/>
          <w:sz w:val="30"/>
          <w:szCs w:val="30"/>
        </w:rPr>
        <w:t>HSE</w:t>
      </w:r>
      <w:r>
        <w:rPr>
          <w:rFonts w:hint="eastAsia" w:ascii="黑体" w:hAnsi="宋体" w:eastAsia="黑体"/>
          <w:bCs/>
          <w:color w:val="auto"/>
          <w:kern w:val="44"/>
          <w:sz w:val="30"/>
          <w:szCs w:val="30"/>
        </w:rPr>
        <w:t>奖罚规定</w:t>
      </w:r>
    </w:p>
    <w:p>
      <w:pPr>
        <w:pStyle w:val="34"/>
        <w:spacing w:line="360" w:lineRule="auto"/>
        <w:ind w:firstLine="480"/>
        <w:rPr>
          <w:i/>
          <w:color w:val="auto"/>
          <w:sz w:val="24"/>
          <w:szCs w:val="24"/>
          <w:lang w:eastAsia="zh-CN"/>
        </w:rPr>
      </w:pPr>
    </w:p>
    <w:p>
      <w:pPr>
        <w:adjustRightInd w:val="0"/>
        <w:spacing w:line="470" w:lineRule="exact"/>
        <w:ind w:firstLine="522" w:firstLineChars="200"/>
        <w:jc w:val="left"/>
        <w:outlineLvl w:val="1"/>
        <w:rPr>
          <w:rFonts w:asciiTheme="minorEastAsia" w:hAnsiTheme="minorEastAsia" w:eastAsiaTheme="minorEastAsia" w:cstheme="minorEastAsia"/>
          <w:b/>
          <w:color w:val="auto"/>
          <w:spacing w:val="10"/>
          <w:sz w:val="24"/>
        </w:rPr>
      </w:pPr>
      <w:bookmarkStart w:id="0" w:name="_Toc301180784"/>
      <w:bookmarkStart w:id="1" w:name="_Toc256713128"/>
      <w:r>
        <w:rPr>
          <w:rFonts w:hint="eastAsia" w:asciiTheme="minorEastAsia" w:hAnsiTheme="minorEastAsia" w:eastAsiaTheme="minorEastAsia" w:cstheme="minorEastAsia"/>
          <w:b/>
          <w:color w:val="auto"/>
          <w:spacing w:val="10"/>
          <w:sz w:val="24"/>
        </w:rPr>
        <w:t>一、说明</w:t>
      </w:r>
      <w:bookmarkEnd w:id="0"/>
      <w:bookmarkEnd w:id="1"/>
    </w:p>
    <w:p>
      <w:pPr>
        <w:spacing w:line="470" w:lineRule="exact"/>
        <w:ind w:firstLine="480" w:firstLineChars="200"/>
        <w:rPr>
          <w:rFonts w:asciiTheme="minorEastAsia" w:hAnsiTheme="minorEastAsia" w:eastAsiaTheme="minorEastAsia" w:cstheme="minorEastAsia"/>
          <w:color w:val="auto"/>
          <w:sz w:val="24"/>
        </w:rPr>
      </w:pPr>
      <w:bookmarkStart w:id="2" w:name="_Toc526137039"/>
      <w:r>
        <w:rPr>
          <w:rFonts w:hint="eastAsia" w:asciiTheme="minorEastAsia" w:hAnsiTheme="minorEastAsia" w:eastAsiaTheme="minorEastAsia" w:cstheme="minorEastAsia"/>
          <w:color w:val="auto"/>
          <w:sz w:val="24"/>
        </w:rPr>
        <w:t>1、依照合同相关条款的约定，本规定作为合同要求具体化的延伸，甲方对乙方HSE管理的任何不符合现象具有奖惩的权利。</w:t>
      </w:r>
    </w:p>
    <w:p>
      <w:pPr>
        <w:spacing w:line="47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2、HSE处罚主要依据中国南方电网有限责任公司《基建工程安全文明施工检查评价标准表式》</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《南方电网储能股份有限公司安全生产违章管理业务指导书》</w:t>
      </w:r>
      <w:r>
        <w:rPr>
          <w:rFonts w:hint="eastAsia" w:asciiTheme="minorEastAsia" w:hAnsiTheme="minorEastAsia" w:eastAsiaTheme="minorEastAsia" w:cstheme="minorEastAsia"/>
          <w:color w:val="auto"/>
          <w:sz w:val="24"/>
        </w:rPr>
        <w:t>中相关表格内容。</w:t>
      </w:r>
    </w:p>
    <w:p>
      <w:pPr>
        <w:spacing w:line="47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3、乙方的现场活动/生产/服务应满足和符合甲方的HSE管理要求和相关管理规则、标准。</w:t>
      </w:r>
    </w:p>
    <w:p>
      <w:pPr>
        <w:spacing w:line="470" w:lineRule="exact"/>
        <w:ind w:firstLine="480" w:firstLineChars="200"/>
        <w:rPr>
          <w:color w:val="auto"/>
          <w:sz w:val="24"/>
        </w:rPr>
      </w:pPr>
      <w:r>
        <w:rPr>
          <w:rFonts w:hint="eastAsia"/>
          <w:color w:val="auto"/>
          <w:sz w:val="24"/>
          <w:lang w:val="en-US" w:eastAsia="zh-CN"/>
        </w:rPr>
        <w:t>4、</w:t>
      </w:r>
      <w:r>
        <w:rPr>
          <w:rFonts w:hint="eastAsia"/>
          <w:color w:val="auto"/>
          <w:sz w:val="24"/>
        </w:rPr>
        <w:t>安健环违约扣款由甲方发出违约通知书，乙方到银行缴纳</w:t>
      </w:r>
      <w:r>
        <w:rPr>
          <w:rFonts w:hint="eastAsia"/>
          <w:color w:val="auto"/>
          <w:sz w:val="24"/>
          <w:lang w:eastAsia="zh-CN"/>
        </w:rPr>
        <w:t>，</w:t>
      </w:r>
      <w:r>
        <w:rPr>
          <w:rFonts w:hint="eastAsia"/>
          <w:color w:val="auto"/>
          <w:sz w:val="24"/>
          <w:lang w:val="en-US" w:eastAsia="zh-CN"/>
        </w:rPr>
        <w:t>对违约情况做不出合理解释，却又拒绝支付违约扣款的，则从合同中结算阶段扣除</w:t>
      </w:r>
      <w:r>
        <w:rPr>
          <w:rFonts w:hint="eastAsia"/>
          <w:color w:val="auto"/>
          <w:sz w:val="24"/>
        </w:rPr>
        <w:t>。</w:t>
      </w:r>
    </w:p>
    <w:p>
      <w:pPr>
        <w:spacing w:line="470" w:lineRule="exact"/>
        <w:ind w:firstLine="480" w:firstLineChars="200"/>
        <w:rPr>
          <w:rFonts w:ascii="宋体" w:hAnsi="宋体"/>
          <w:bCs/>
          <w:color w:val="auto"/>
          <w:sz w:val="24"/>
        </w:rPr>
      </w:pPr>
      <w:r>
        <w:rPr>
          <w:rFonts w:hint="eastAsia" w:ascii="宋体" w:hAnsi="宋体"/>
          <w:bCs/>
          <w:color w:val="auto"/>
          <w:sz w:val="24"/>
          <w:lang w:val="en-US" w:eastAsia="zh-CN"/>
        </w:rPr>
        <w:t>5</w:t>
      </w:r>
      <w:r>
        <w:rPr>
          <w:rFonts w:hint="eastAsia" w:ascii="宋体" w:hAnsi="宋体"/>
          <w:bCs/>
          <w:color w:val="auto"/>
          <w:sz w:val="24"/>
        </w:rPr>
        <w:t>、由于乙方责任造成的政府部门、甲方做出的处罚，乙方</w:t>
      </w:r>
      <w:r>
        <w:rPr>
          <w:rFonts w:hint="eastAsia"/>
          <w:color w:val="auto"/>
          <w:sz w:val="24"/>
        </w:rPr>
        <w:t>应无条件接受全部处罚</w:t>
      </w:r>
      <w:r>
        <w:rPr>
          <w:rFonts w:hint="eastAsia" w:ascii="宋体" w:hAnsi="宋体"/>
          <w:bCs/>
          <w:color w:val="auto"/>
          <w:sz w:val="24"/>
        </w:rPr>
        <w:t>。</w:t>
      </w:r>
    </w:p>
    <w:p>
      <w:pPr>
        <w:spacing w:line="470" w:lineRule="exact"/>
        <w:ind w:firstLine="480" w:firstLineChars="200"/>
        <w:rPr>
          <w:rFonts w:hint="eastAsia" w:asciiTheme="minorEastAsia" w:hAnsiTheme="minorEastAsia" w:eastAsiaTheme="minorEastAsia" w:cstheme="minorEastAsia"/>
          <w:color w:val="auto"/>
          <w:sz w:val="24"/>
        </w:rPr>
      </w:pPr>
      <w:r>
        <w:rPr>
          <w:rFonts w:hint="eastAsia"/>
          <w:color w:val="auto"/>
          <w:sz w:val="24"/>
          <w:lang w:val="en-US" w:eastAsia="zh-CN"/>
        </w:rPr>
        <w:t>6、</w:t>
      </w:r>
      <w:r>
        <w:rPr>
          <w:rFonts w:hint="eastAsia"/>
          <w:color w:val="auto"/>
          <w:sz w:val="24"/>
        </w:rPr>
        <w:t>安全处罚作为现场</w:t>
      </w:r>
      <w:r>
        <w:rPr>
          <w:color w:val="auto"/>
          <w:sz w:val="24"/>
        </w:rPr>
        <w:t>HSE</w:t>
      </w:r>
      <w:r>
        <w:rPr>
          <w:rFonts w:hint="eastAsia"/>
          <w:color w:val="auto"/>
          <w:sz w:val="24"/>
        </w:rPr>
        <w:t>管理的一种手段，甲方提出安全处罚应做到有理有据。</w:t>
      </w:r>
      <w:bookmarkEnd w:id="2"/>
    </w:p>
    <w:p>
      <w:pPr>
        <w:adjustRightInd w:val="0"/>
        <w:spacing w:line="470" w:lineRule="exact"/>
        <w:ind w:firstLine="522" w:firstLineChars="200"/>
        <w:jc w:val="left"/>
        <w:outlineLvl w:val="1"/>
        <w:rPr>
          <w:rFonts w:asciiTheme="minorEastAsia" w:hAnsiTheme="minorEastAsia" w:eastAsiaTheme="minorEastAsia" w:cstheme="minorEastAsia"/>
          <w:b/>
          <w:color w:val="auto"/>
          <w:spacing w:val="10"/>
          <w:sz w:val="24"/>
        </w:rPr>
      </w:pPr>
      <w:bookmarkStart w:id="3" w:name="_Toc301180785"/>
      <w:r>
        <w:rPr>
          <w:rFonts w:hint="eastAsia" w:asciiTheme="minorEastAsia" w:hAnsiTheme="minorEastAsia" w:eastAsiaTheme="minorEastAsia" w:cstheme="minorEastAsia"/>
          <w:b/>
          <w:color w:val="auto"/>
          <w:spacing w:val="10"/>
          <w:sz w:val="24"/>
        </w:rPr>
        <w:t>二、基本处罚标准</w:t>
      </w:r>
      <w:bookmarkEnd w:id="3"/>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w:t>
      </w:r>
      <w:r>
        <w:rPr>
          <w:rFonts w:hint="eastAsia" w:asciiTheme="minorEastAsia" w:hAnsiTheme="minorEastAsia" w:eastAsiaTheme="minorEastAsia" w:cstheme="minorEastAsia"/>
          <w:bCs/>
          <w:color w:val="auto"/>
          <w:sz w:val="24"/>
          <w:lang w:val="en-US" w:eastAsia="zh-CN"/>
        </w:rPr>
        <w:t>现场</w:t>
      </w:r>
      <w:r>
        <w:rPr>
          <w:rFonts w:hint="eastAsia" w:asciiTheme="minorEastAsia" w:hAnsiTheme="minorEastAsia" w:eastAsiaTheme="minorEastAsia" w:cstheme="minorEastAsia"/>
          <w:bCs/>
          <w:color w:val="auto"/>
          <w:sz w:val="24"/>
        </w:rPr>
        <w:t>发生轻伤事故，给予</w:t>
      </w:r>
      <w:r>
        <w:rPr>
          <w:rFonts w:hint="eastAsia" w:asciiTheme="minorEastAsia" w:hAnsiTheme="minorEastAsia" w:eastAsiaTheme="minorEastAsia" w:cstheme="minorEastAsia"/>
          <w:bCs/>
          <w:color w:val="auto"/>
          <w:sz w:val="24"/>
          <w:lang w:val="en-US" w:eastAsia="zh-CN"/>
        </w:rPr>
        <w:t>监理</w:t>
      </w:r>
      <w:r>
        <w:rPr>
          <w:rFonts w:hint="eastAsia" w:asciiTheme="minorEastAsia" w:hAnsiTheme="minorEastAsia" w:eastAsiaTheme="minorEastAsia" w:cstheme="minorEastAsia"/>
          <w:bCs/>
          <w:color w:val="auto"/>
          <w:sz w:val="24"/>
        </w:rPr>
        <w:t>单位扣款1000元。</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3、发生重伤事故，给予</w:t>
      </w:r>
      <w:r>
        <w:rPr>
          <w:rFonts w:hint="eastAsia" w:asciiTheme="minorEastAsia" w:hAnsiTheme="minorEastAsia" w:eastAsiaTheme="minorEastAsia" w:cstheme="minorEastAsia"/>
          <w:bCs/>
          <w:color w:val="auto"/>
          <w:sz w:val="24"/>
          <w:lang w:val="en-US" w:eastAsia="zh-CN"/>
        </w:rPr>
        <w:t>监理</w:t>
      </w:r>
      <w:r>
        <w:rPr>
          <w:rFonts w:hint="eastAsia" w:asciiTheme="minorEastAsia" w:hAnsiTheme="minorEastAsia" w:eastAsiaTheme="minorEastAsia" w:cstheme="minorEastAsia"/>
          <w:bCs/>
          <w:color w:val="auto"/>
          <w:sz w:val="24"/>
        </w:rPr>
        <w:t>单位扣款5000元。</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4、发生人身死亡责任事故每人次处以4万元扣款； </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5、一般火灾事故处以1000元扣款（有人身伤亡的按上述款项并处）。</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6、发生食物或职业中毒事故，扣款100</w:t>
      </w:r>
      <w:r>
        <w:rPr>
          <w:rFonts w:hint="eastAsia" w:asciiTheme="minorEastAsia" w:hAnsiTheme="minorEastAsia" w:eastAsiaTheme="minorEastAsia" w:cstheme="minorEastAsia"/>
          <w:bCs/>
          <w:color w:val="auto"/>
          <w:sz w:val="24"/>
          <w:lang w:val="en-US" w:eastAsia="zh-CN"/>
        </w:rPr>
        <w:t>0</w:t>
      </w:r>
      <w:r>
        <w:rPr>
          <w:rFonts w:hint="eastAsia" w:asciiTheme="minorEastAsia" w:hAnsiTheme="minorEastAsia" w:eastAsiaTheme="minorEastAsia" w:cstheme="minorEastAsia"/>
          <w:bCs/>
          <w:color w:val="auto"/>
          <w:sz w:val="24"/>
        </w:rPr>
        <w:t>元。</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7、因废料、废气造成环境污染的， 扣款100</w:t>
      </w:r>
      <w:r>
        <w:rPr>
          <w:rFonts w:hint="eastAsia" w:asciiTheme="minorEastAsia" w:hAnsiTheme="minorEastAsia" w:eastAsiaTheme="minorEastAsia" w:cstheme="minorEastAsia"/>
          <w:bCs/>
          <w:color w:val="auto"/>
          <w:sz w:val="24"/>
          <w:lang w:val="en-US" w:eastAsia="zh-CN"/>
        </w:rPr>
        <w:t>0</w:t>
      </w:r>
      <w:r>
        <w:rPr>
          <w:rFonts w:hint="eastAsia" w:asciiTheme="minorEastAsia" w:hAnsiTheme="minorEastAsia" w:eastAsiaTheme="minorEastAsia" w:cstheme="minorEastAsia"/>
          <w:bCs/>
          <w:color w:val="auto"/>
          <w:sz w:val="24"/>
        </w:rPr>
        <w:t>元。</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asciiTheme="minorEastAsia" w:hAnsiTheme="minorEastAsia" w:eastAsiaTheme="minorEastAsia" w:cstheme="minorEastAsia"/>
          <w:bCs/>
          <w:color w:val="auto"/>
          <w:sz w:val="24"/>
        </w:rPr>
        <w:t>8</w:t>
      </w:r>
      <w:r>
        <w:rPr>
          <w:rFonts w:hint="eastAsia" w:asciiTheme="minorEastAsia" w:hAnsiTheme="minorEastAsia" w:eastAsiaTheme="minorEastAsia" w:cstheme="minorEastAsia"/>
          <w:bCs/>
          <w:color w:val="auto"/>
          <w:sz w:val="24"/>
        </w:rPr>
        <w:t>、对甲方以检查通报、检查会议纪要等形式提出的整改要求；乙方逾期不整改或拒绝整改的，</w:t>
      </w:r>
      <w:r>
        <w:rPr>
          <w:rFonts w:hint="eastAsia" w:ascii="宋体" w:hAnsi="宋体"/>
          <w:bCs/>
          <w:color w:val="auto"/>
          <w:sz w:val="24"/>
        </w:rPr>
        <w:t>酌情给予扣款1000-3000元；依然不能满足管理要求的，甲方有权要求乙方更换责任人员，甚至停工整改</w:t>
      </w:r>
      <w:r>
        <w:rPr>
          <w:rFonts w:hint="eastAsia" w:asciiTheme="minorEastAsia" w:hAnsiTheme="minorEastAsia" w:eastAsiaTheme="minorEastAsia" w:cstheme="minorEastAsia"/>
          <w:bCs/>
          <w:color w:val="auto"/>
          <w:sz w:val="24"/>
        </w:rPr>
        <w:t>。</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lang w:val="en-US" w:eastAsia="zh-CN"/>
        </w:rPr>
        <w:t>9</w:t>
      </w:r>
      <w:r>
        <w:rPr>
          <w:rFonts w:hint="eastAsia" w:asciiTheme="minorEastAsia" w:hAnsiTheme="minorEastAsia" w:eastAsiaTheme="minorEastAsia" w:cstheme="minorEastAsia"/>
          <w:bCs/>
          <w:color w:val="auto"/>
          <w:sz w:val="24"/>
        </w:rPr>
        <w:t>、工程建设过程中，乙方的管理人员对甲方管理人员提出的合理安全管理要求，不予配合的，处扣款500元。甚至采取谩骂、威胁等行为的，甲方有权要求乙方清退、更换责任人员，并处扣款1000元。</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w:t>
      </w:r>
      <w:r>
        <w:rPr>
          <w:rFonts w:hint="eastAsia" w:asciiTheme="minorEastAsia" w:hAnsiTheme="minorEastAsia" w:eastAsiaTheme="minorEastAsia" w:cstheme="minorEastAsia"/>
          <w:bCs/>
          <w:color w:val="auto"/>
          <w:sz w:val="24"/>
          <w:lang w:val="en-US" w:eastAsia="zh-CN"/>
        </w:rPr>
        <w:t>0</w:t>
      </w:r>
      <w:r>
        <w:rPr>
          <w:rFonts w:hint="eastAsia" w:asciiTheme="minorEastAsia" w:hAnsiTheme="minorEastAsia" w:eastAsiaTheme="minorEastAsia" w:cstheme="minorEastAsia"/>
          <w:bCs/>
          <w:color w:val="auto"/>
          <w:sz w:val="24"/>
        </w:rPr>
        <w:t>、</w:t>
      </w:r>
      <w:r>
        <w:rPr>
          <w:rFonts w:hint="eastAsia" w:ascii="宋体" w:hAnsi="宋体"/>
          <w:bCs/>
          <w:color w:val="auto"/>
          <w:sz w:val="24"/>
        </w:rPr>
        <w:t>现场因安全、职业健康、环境保护</w:t>
      </w:r>
      <w:r>
        <w:rPr>
          <w:rFonts w:hint="eastAsia" w:asciiTheme="minorEastAsia" w:hAnsiTheme="minorEastAsia" w:eastAsiaTheme="minorEastAsia" w:cstheme="minorEastAsia"/>
          <w:bCs/>
          <w:color w:val="auto"/>
          <w:sz w:val="24"/>
        </w:rPr>
        <w:t>监督不到位或违章违法行为</w:t>
      </w:r>
      <w:r>
        <w:rPr>
          <w:rFonts w:hint="eastAsia" w:asciiTheme="minorEastAsia" w:hAnsiTheme="minorEastAsia" w:eastAsiaTheme="minorEastAsia" w:cstheme="minorEastAsia"/>
          <w:bCs/>
          <w:color w:val="auto"/>
          <w:sz w:val="24"/>
          <w:lang w:val="en-US" w:eastAsia="zh-CN"/>
        </w:rPr>
        <w:t>频繁发生</w:t>
      </w:r>
      <w:r>
        <w:rPr>
          <w:rFonts w:hint="eastAsia" w:asciiTheme="minorEastAsia" w:hAnsiTheme="minorEastAsia" w:eastAsiaTheme="minorEastAsia" w:cstheme="minorEastAsia"/>
          <w:bCs/>
          <w:color w:val="auto"/>
          <w:sz w:val="24"/>
        </w:rPr>
        <w:t>等原因，被甲方暂停施工的，给予</w:t>
      </w:r>
      <w:r>
        <w:rPr>
          <w:rFonts w:hint="eastAsia" w:asciiTheme="minorEastAsia" w:hAnsiTheme="minorEastAsia" w:eastAsiaTheme="minorEastAsia" w:cstheme="minorEastAsia"/>
          <w:bCs/>
          <w:color w:val="auto"/>
          <w:sz w:val="24"/>
          <w:lang w:val="en-US" w:eastAsia="zh-CN"/>
        </w:rPr>
        <w:t>监理单位</w:t>
      </w:r>
      <w:r>
        <w:rPr>
          <w:rFonts w:hint="eastAsia" w:asciiTheme="minorEastAsia" w:hAnsiTheme="minorEastAsia" w:eastAsiaTheme="minorEastAsia" w:cstheme="minorEastAsia"/>
          <w:bCs/>
          <w:color w:val="auto"/>
          <w:sz w:val="24"/>
        </w:rPr>
        <w:t>扣款1000元/起。</w:t>
      </w:r>
    </w:p>
    <w:p>
      <w:pPr>
        <w:tabs>
          <w:tab w:val="left" w:pos="1314"/>
        </w:tabs>
        <w:spacing w:line="470" w:lineRule="exact"/>
        <w:ind w:left="-80" w:leftChars="-38" w:firstLine="480" w:firstLineChars="200"/>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w:t>
      </w:r>
      <w:r>
        <w:rPr>
          <w:rFonts w:hint="eastAsia" w:asciiTheme="minorEastAsia" w:hAnsiTheme="minorEastAsia" w:eastAsiaTheme="minorEastAsia" w:cstheme="minorEastAsia"/>
          <w:bCs/>
          <w:color w:val="auto"/>
          <w:sz w:val="24"/>
          <w:lang w:val="en-US" w:eastAsia="zh-CN"/>
        </w:rPr>
        <w:t>1</w:t>
      </w:r>
      <w:r>
        <w:rPr>
          <w:rFonts w:hint="eastAsia" w:asciiTheme="minorEastAsia" w:hAnsiTheme="minorEastAsia" w:eastAsiaTheme="minorEastAsia" w:cstheme="minorEastAsia"/>
          <w:bCs/>
          <w:color w:val="auto"/>
          <w:sz w:val="24"/>
        </w:rPr>
        <w:t>、乙方现场监管人员酒后进入施工现场，扣款1000元。</w:t>
      </w:r>
    </w:p>
    <w:p>
      <w:pPr>
        <w:tabs>
          <w:tab w:val="left" w:pos="1314"/>
        </w:tabs>
        <w:spacing w:line="470" w:lineRule="exact"/>
        <w:ind w:left="-80" w:leftChars="-38" w:firstLine="482" w:firstLineChars="200"/>
        <w:rPr>
          <w:rFonts w:asciiTheme="minorEastAsia" w:hAnsiTheme="minorEastAsia" w:eastAsiaTheme="minorEastAsia" w:cstheme="minorEastAsia"/>
          <w:b/>
          <w:bCs/>
          <w:color w:val="auto"/>
          <w:sz w:val="24"/>
        </w:rPr>
      </w:pPr>
      <w:bookmarkStart w:id="4" w:name="_Toc301180786"/>
      <w:r>
        <w:rPr>
          <w:rFonts w:hint="eastAsia" w:asciiTheme="minorEastAsia" w:hAnsiTheme="minorEastAsia" w:eastAsiaTheme="minorEastAsia" w:cstheme="minorEastAsia"/>
          <w:b/>
          <w:bCs/>
          <w:color w:val="auto"/>
          <w:sz w:val="24"/>
        </w:rPr>
        <w:t>三、HSE管理考核标准</w:t>
      </w:r>
      <w:bookmarkEnd w:id="4"/>
    </w:p>
    <w:p>
      <w:pPr>
        <w:spacing w:line="360" w:lineRule="auto"/>
        <w:rPr>
          <w:rFonts w:asciiTheme="minorEastAsia" w:hAnsiTheme="minorEastAsia" w:eastAsiaTheme="minorEastAsia" w:cstheme="minorEastAsia"/>
          <w:b/>
          <w:bCs/>
          <w:color w:val="auto"/>
          <w:kern w:val="0"/>
          <w:sz w:val="24"/>
        </w:rPr>
      </w:pPr>
    </w:p>
    <w:p>
      <w:pPr>
        <w:spacing w:line="360" w:lineRule="auto"/>
        <w:rPr>
          <w:rFonts w:hint="default" w:asciiTheme="minorEastAsia" w:hAnsiTheme="minorEastAsia" w:eastAsiaTheme="minorEastAsia" w:cstheme="minorEastAsia"/>
          <w:b/>
          <w:bCs/>
          <w:color w:val="auto"/>
          <w:kern w:val="0"/>
          <w:sz w:val="24"/>
          <w:lang w:val="en-US" w:eastAsia="zh-CN"/>
        </w:rPr>
      </w:pPr>
      <w:r>
        <w:rPr>
          <w:rFonts w:asciiTheme="minorEastAsia" w:hAnsiTheme="minorEastAsia" w:eastAsiaTheme="minorEastAsia" w:cstheme="minorEastAsia"/>
          <w:b/>
          <w:bCs/>
          <w:color w:val="auto"/>
          <w:kern w:val="0"/>
          <w:sz w:val="24"/>
        </w:rPr>
        <w:t>1</w:t>
      </w:r>
      <w:r>
        <w:rPr>
          <w:rFonts w:hint="eastAsia" w:asciiTheme="minorEastAsia" w:hAnsiTheme="minorEastAsia" w:eastAsiaTheme="minorEastAsia" w:cstheme="minorEastAsia"/>
          <w:b/>
          <w:bCs/>
          <w:color w:val="auto"/>
          <w:kern w:val="0"/>
          <w:sz w:val="24"/>
        </w:rPr>
        <w:t>、</w:t>
      </w:r>
      <w:r>
        <w:rPr>
          <w:rFonts w:hint="eastAsia" w:asciiTheme="minorEastAsia" w:hAnsiTheme="minorEastAsia" w:eastAsiaTheme="minorEastAsia" w:cstheme="minorEastAsia"/>
          <w:b/>
          <w:bCs/>
          <w:color w:val="auto"/>
          <w:kern w:val="0"/>
          <w:sz w:val="24"/>
          <w:lang w:val="en-US" w:eastAsia="zh-CN"/>
        </w:rPr>
        <w:t>监理项目部安全文明检查管理</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（1）未建立安全检查制度或制度不能有效运行，检查整改工作未形成闭环管理的，处罚</w:t>
      </w:r>
      <w:r>
        <w:rPr>
          <w:rFonts w:hint="eastAsia" w:asciiTheme="minorEastAsia" w:hAnsiTheme="minorEastAsia" w:eastAsiaTheme="minorEastAsia" w:cstheme="minorEastAsia"/>
          <w:bCs/>
          <w:color w:val="auto"/>
          <w:kern w:val="0"/>
          <w:sz w:val="24"/>
          <w:lang w:val="en-US" w:eastAsia="zh-CN"/>
        </w:rPr>
        <w:t>1</w:t>
      </w:r>
      <w:r>
        <w:rPr>
          <w:rFonts w:hint="eastAsia" w:asciiTheme="minorEastAsia" w:hAnsiTheme="minorEastAsia" w:eastAsiaTheme="minorEastAsia" w:cstheme="minorEastAsia"/>
          <w:bCs/>
          <w:color w:val="auto"/>
          <w:kern w:val="0"/>
          <w:sz w:val="24"/>
        </w:rPr>
        <w:t>00</w:t>
      </w:r>
      <w:r>
        <w:rPr>
          <w:rFonts w:hint="eastAsia" w:asciiTheme="minorEastAsia" w:hAnsiTheme="minorEastAsia" w:eastAsiaTheme="minorEastAsia" w:cstheme="minorEastAsia"/>
          <w:bCs/>
          <w:color w:val="auto"/>
          <w:kern w:val="0"/>
          <w:sz w:val="24"/>
          <w:lang w:val="en-US" w:eastAsia="zh-CN"/>
        </w:rPr>
        <w:t>0</w:t>
      </w:r>
      <w:r>
        <w:rPr>
          <w:rFonts w:hint="eastAsia" w:asciiTheme="minorEastAsia" w:hAnsiTheme="minorEastAsia" w:eastAsiaTheme="minorEastAsia" w:cstheme="minorEastAsia"/>
          <w:bCs/>
          <w:color w:val="auto"/>
          <w:kern w:val="0"/>
          <w:sz w:val="24"/>
        </w:rPr>
        <w:t>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（2）对甲方的整改要求、工作联系单未能按时进行整改，扣款</w:t>
      </w:r>
      <w:r>
        <w:rPr>
          <w:rFonts w:hint="eastAsia" w:asciiTheme="minorEastAsia" w:hAnsiTheme="minorEastAsia" w:eastAsiaTheme="minorEastAsia" w:cstheme="minorEastAsia"/>
          <w:bCs/>
          <w:color w:val="auto"/>
          <w:kern w:val="0"/>
          <w:sz w:val="24"/>
          <w:lang w:val="en-US" w:eastAsia="zh-CN"/>
        </w:rPr>
        <w:t>2</w:t>
      </w:r>
      <w:r>
        <w:rPr>
          <w:rFonts w:hint="eastAsia" w:asciiTheme="minorEastAsia" w:hAnsiTheme="minorEastAsia" w:eastAsiaTheme="minorEastAsia" w:cstheme="minorEastAsia"/>
          <w:bCs/>
          <w:color w:val="auto"/>
          <w:kern w:val="0"/>
          <w:sz w:val="24"/>
        </w:rPr>
        <w:t>00元/项；再次检查仍未按要求完成的，加倍处罚。</w:t>
      </w:r>
    </w:p>
    <w:p>
      <w:pPr>
        <w:spacing w:line="360" w:lineRule="auto"/>
        <w:ind w:firstLine="480" w:firstLineChars="200"/>
        <w:rPr>
          <w:rFonts w:hint="eastAsia"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（3）未</w:t>
      </w:r>
      <w:r>
        <w:rPr>
          <w:rFonts w:hint="eastAsia" w:asciiTheme="minorEastAsia" w:hAnsiTheme="minorEastAsia" w:eastAsiaTheme="minorEastAsia" w:cstheme="minorEastAsia"/>
          <w:bCs/>
          <w:color w:val="auto"/>
          <w:kern w:val="0"/>
          <w:sz w:val="24"/>
          <w:lang w:val="en-US" w:eastAsia="zh-CN"/>
        </w:rPr>
        <w:t>定期</w:t>
      </w:r>
      <w:r>
        <w:rPr>
          <w:rFonts w:hint="eastAsia" w:asciiTheme="minorEastAsia" w:hAnsiTheme="minorEastAsia" w:eastAsiaTheme="minorEastAsia" w:cstheme="minorEastAsia"/>
          <w:bCs/>
          <w:color w:val="auto"/>
          <w:kern w:val="0"/>
          <w:sz w:val="24"/>
        </w:rPr>
        <w:t>开展周、月的自行安全检查的，扣款</w:t>
      </w:r>
      <w:r>
        <w:rPr>
          <w:rFonts w:hint="eastAsia" w:asciiTheme="minorEastAsia" w:hAnsiTheme="minorEastAsia" w:eastAsiaTheme="minorEastAsia" w:cstheme="minorEastAsia"/>
          <w:bCs/>
          <w:color w:val="auto"/>
          <w:kern w:val="0"/>
          <w:sz w:val="24"/>
          <w:lang w:val="en-US" w:eastAsia="zh-CN"/>
        </w:rPr>
        <w:t>2</w:t>
      </w:r>
      <w:r>
        <w:rPr>
          <w:rFonts w:hint="eastAsia" w:asciiTheme="minorEastAsia" w:hAnsiTheme="minorEastAsia" w:eastAsiaTheme="minorEastAsia" w:cstheme="minorEastAsia"/>
          <w:bCs/>
          <w:color w:val="auto"/>
          <w:kern w:val="0"/>
          <w:sz w:val="24"/>
        </w:rPr>
        <w:t>00元。</w:t>
      </w:r>
    </w:p>
    <w:p>
      <w:pPr>
        <w:spacing w:line="360" w:lineRule="auto"/>
        <w:ind w:firstLine="480" w:firstLineChars="200"/>
        <w:rPr>
          <w:rFonts w:hint="eastAsia" w:asciiTheme="minorEastAsia" w:hAnsiTheme="minorEastAsia" w:eastAsiaTheme="minorEastAsia" w:cstheme="minorEastAsia"/>
          <w:bCs/>
          <w:color w:val="auto"/>
          <w:kern w:val="0"/>
          <w:sz w:val="24"/>
          <w:lang w:val="en-US" w:eastAsia="zh-CN"/>
        </w:rPr>
      </w:pPr>
      <w:r>
        <w:rPr>
          <w:rFonts w:hint="eastAsia" w:asciiTheme="minorEastAsia" w:hAnsiTheme="minorEastAsia" w:eastAsiaTheme="minorEastAsia" w:cstheme="minorEastAsia"/>
          <w:bCs/>
          <w:color w:val="auto"/>
          <w:kern w:val="0"/>
          <w:sz w:val="24"/>
          <w:lang w:eastAsia="zh-CN"/>
        </w:rPr>
        <w:t>（</w:t>
      </w:r>
      <w:r>
        <w:rPr>
          <w:rFonts w:hint="eastAsia" w:asciiTheme="minorEastAsia" w:hAnsiTheme="minorEastAsia" w:eastAsiaTheme="minorEastAsia" w:cstheme="minorEastAsia"/>
          <w:bCs/>
          <w:color w:val="auto"/>
          <w:kern w:val="0"/>
          <w:sz w:val="24"/>
          <w:lang w:val="en-US" w:eastAsia="zh-CN"/>
        </w:rPr>
        <w:t>4</w:t>
      </w:r>
      <w:r>
        <w:rPr>
          <w:rFonts w:hint="eastAsia" w:asciiTheme="minorEastAsia" w:hAnsiTheme="minorEastAsia" w:eastAsiaTheme="minorEastAsia" w:cstheme="minorEastAsia"/>
          <w:bCs/>
          <w:color w:val="auto"/>
          <w:kern w:val="0"/>
          <w:sz w:val="24"/>
          <w:lang w:eastAsia="zh-CN"/>
        </w:rPr>
        <w:t>）</w:t>
      </w:r>
      <w:r>
        <w:rPr>
          <w:rFonts w:hint="eastAsia" w:asciiTheme="minorEastAsia" w:hAnsiTheme="minorEastAsia" w:eastAsiaTheme="minorEastAsia" w:cstheme="minorEastAsia"/>
          <w:bCs/>
          <w:color w:val="auto"/>
          <w:kern w:val="0"/>
          <w:sz w:val="24"/>
          <w:lang w:val="en-US" w:eastAsia="zh-CN"/>
        </w:rPr>
        <w:t>未定期报送月、季报表的，扣款200元/次。</w:t>
      </w:r>
    </w:p>
    <w:p>
      <w:pPr>
        <w:spacing w:line="360" w:lineRule="auto"/>
        <w:rPr>
          <w:rFonts w:asciiTheme="minorEastAsia" w:hAnsiTheme="minorEastAsia" w:eastAsiaTheme="minorEastAsia" w:cstheme="minorEastAsia"/>
          <w:b/>
          <w:bCs/>
          <w:color w:val="auto"/>
          <w:kern w:val="0"/>
          <w:sz w:val="24"/>
        </w:rPr>
      </w:pPr>
      <w:r>
        <w:rPr>
          <w:rFonts w:asciiTheme="minorEastAsia" w:hAnsiTheme="minorEastAsia" w:eastAsiaTheme="minorEastAsia" w:cstheme="minorEastAsia"/>
          <w:b/>
          <w:bCs/>
          <w:color w:val="auto"/>
          <w:kern w:val="0"/>
          <w:sz w:val="24"/>
        </w:rPr>
        <w:t>2</w:t>
      </w:r>
      <w:r>
        <w:rPr>
          <w:rFonts w:hint="eastAsia" w:asciiTheme="minorEastAsia" w:hAnsiTheme="minorEastAsia" w:eastAsiaTheme="minorEastAsia" w:cstheme="minorEastAsia"/>
          <w:b/>
          <w:bCs/>
          <w:color w:val="auto"/>
          <w:kern w:val="0"/>
          <w:sz w:val="24"/>
        </w:rPr>
        <w:t>、安全教育培训</w:t>
      </w:r>
    </w:p>
    <w:p>
      <w:pPr>
        <w:spacing w:line="360" w:lineRule="auto"/>
        <w:ind w:firstLine="480" w:firstLineChars="200"/>
        <w:rPr>
          <w:rFonts w:hint="eastAsia" w:asciiTheme="minorEastAsia" w:hAnsiTheme="minorEastAsia" w:eastAsiaTheme="minorEastAsia" w:cstheme="minorEastAsia"/>
          <w:bCs/>
          <w:color w:val="auto"/>
          <w:kern w:val="0"/>
          <w:sz w:val="24"/>
          <w:highlight w:val="none"/>
          <w:lang w:eastAsia="zh-CN"/>
        </w:rPr>
      </w:pPr>
      <w:r>
        <w:rPr>
          <w:rFonts w:hint="eastAsia" w:asciiTheme="minorEastAsia" w:hAnsiTheme="minorEastAsia" w:eastAsiaTheme="minorEastAsia" w:cstheme="minorEastAsia"/>
          <w:bCs/>
          <w:color w:val="auto"/>
          <w:kern w:val="0"/>
          <w:sz w:val="24"/>
          <w:highlight w:val="none"/>
        </w:rPr>
        <w:t>（1）</w:t>
      </w:r>
      <w:r>
        <w:rPr>
          <w:rFonts w:hint="eastAsia" w:asciiTheme="minorEastAsia" w:hAnsiTheme="minorEastAsia" w:eastAsiaTheme="minorEastAsia" w:cstheme="minorEastAsia"/>
          <w:bCs/>
          <w:color w:val="auto"/>
          <w:kern w:val="0"/>
          <w:sz w:val="24"/>
        </w:rPr>
        <w:t>未建立安全教育培训制度或制度不能有效运行的，扣款200元</w:t>
      </w:r>
      <w:r>
        <w:rPr>
          <w:rFonts w:hint="eastAsia" w:asciiTheme="minorEastAsia" w:hAnsiTheme="minorEastAsia" w:eastAsiaTheme="minorEastAsia" w:cstheme="minorEastAsia"/>
          <w:bCs/>
          <w:color w:val="auto"/>
          <w:kern w:val="0"/>
          <w:sz w:val="24"/>
          <w:highlight w:val="none"/>
          <w:lang w:eastAsia="zh-CN"/>
        </w:rPr>
        <w:t>。</w:t>
      </w:r>
    </w:p>
    <w:p>
      <w:pPr>
        <w:spacing w:line="360" w:lineRule="auto"/>
        <w:ind w:firstLine="480" w:firstLineChars="200"/>
        <w:rPr>
          <w:rFonts w:hint="eastAsia" w:asciiTheme="minorEastAsia" w:hAnsiTheme="minorEastAsia" w:eastAsiaTheme="minorEastAsia" w:cstheme="minorEastAsia"/>
          <w:bCs/>
          <w:color w:val="auto"/>
          <w:kern w:val="0"/>
          <w:sz w:val="24"/>
          <w:highlight w:val="yellow"/>
          <w:lang w:val="en-US" w:eastAsia="zh-CN"/>
        </w:rPr>
      </w:pPr>
      <w:r>
        <w:rPr>
          <w:rFonts w:hint="eastAsia" w:asciiTheme="minorEastAsia" w:hAnsiTheme="minorEastAsia" w:eastAsiaTheme="minorEastAsia" w:cstheme="minorEastAsia"/>
          <w:bCs/>
          <w:color w:val="auto"/>
          <w:kern w:val="0"/>
          <w:sz w:val="24"/>
        </w:rPr>
        <w:t>（2）对新进</w:t>
      </w:r>
      <w:r>
        <w:rPr>
          <w:rFonts w:hint="eastAsia" w:asciiTheme="minorEastAsia" w:hAnsiTheme="minorEastAsia" w:eastAsiaTheme="minorEastAsia" w:cstheme="minorEastAsia"/>
          <w:bCs/>
          <w:color w:val="auto"/>
          <w:kern w:val="0"/>
          <w:sz w:val="24"/>
          <w:lang w:val="en-US" w:eastAsia="zh-CN"/>
        </w:rPr>
        <w:t>监理</w:t>
      </w:r>
      <w:r>
        <w:rPr>
          <w:rFonts w:hint="eastAsia" w:asciiTheme="minorEastAsia" w:hAnsiTheme="minorEastAsia" w:eastAsiaTheme="minorEastAsia" w:cstheme="minorEastAsia"/>
          <w:bCs/>
          <w:color w:val="auto"/>
          <w:kern w:val="0"/>
          <w:sz w:val="24"/>
        </w:rPr>
        <w:t>人员不</w:t>
      </w:r>
      <w:r>
        <w:rPr>
          <w:rFonts w:hint="eastAsia" w:asciiTheme="minorEastAsia" w:hAnsiTheme="minorEastAsia" w:eastAsiaTheme="minorEastAsia" w:cstheme="minorEastAsia"/>
          <w:bCs/>
          <w:color w:val="auto"/>
          <w:kern w:val="0"/>
          <w:sz w:val="24"/>
          <w:lang w:val="en-US" w:eastAsia="zh-CN"/>
        </w:rPr>
        <w:t>配合建设单位</w:t>
      </w:r>
      <w:r>
        <w:rPr>
          <w:rFonts w:hint="eastAsia" w:asciiTheme="minorEastAsia" w:hAnsiTheme="minorEastAsia" w:eastAsiaTheme="minorEastAsia" w:cstheme="minorEastAsia"/>
          <w:bCs/>
          <w:color w:val="auto"/>
          <w:kern w:val="0"/>
          <w:sz w:val="24"/>
        </w:rPr>
        <w:t>开展入场安全教育或不</w:t>
      </w:r>
      <w:r>
        <w:rPr>
          <w:rFonts w:hint="eastAsia" w:asciiTheme="minorEastAsia" w:hAnsiTheme="minorEastAsia" w:eastAsiaTheme="minorEastAsia" w:cstheme="minorEastAsia"/>
          <w:bCs/>
          <w:color w:val="auto"/>
          <w:kern w:val="0"/>
          <w:sz w:val="24"/>
          <w:lang w:val="en-US" w:eastAsia="zh-CN"/>
        </w:rPr>
        <w:t>参加</w:t>
      </w:r>
      <w:r>
        <w:rPr>
          <w:rFonts w:hint="eastAsia" w:asciiTheme="minorEastAsia" w:hAnsiTheme="minorEastAsia" w:eastAsiaTheme="minorEastAsia" w:cstheme="minorEastAsia"/>
          <w:bCs/>
          <w:color w:val="auto"/>
          <w:kern w:val="0"/>
          <w:sz w:val="24"/>
        </w:rPr>
        <w:t>安全培训及考试，教育培训记录不完整的，扣款200元/人。</w:t>
      </w:r>
    </w:p>
    <w:p>
      <w:pPr>
        <w:spacing w:line="360" w:lineRule="auto"/>
        <w:rPr>
          <w:rFonts w:asciiTheme="minorEastAsia" w:hAnsiTheme="minorEastAsia" w:eastAsiaTheme="minorEastAsia" w:cstheme="minorEastAsia"/>
          <w:b/>
          <w:bCs/>
          <w:color w:val="auto"/>
          <w:kern w:val="0"/>
          <w:sz w:val="24"/>
        </w:rPr>
      </w:pPr>
      <w:r>
        <w:rPr>
          <w:rFonts w:asciiTheme="minorEastAsia" w:hAnsiTheme="minorEastAsia" w:eastAsiaTheme="minorEastAsia" w:cstheme="minorEastAsia"/>
          <w:b/>
          <w:bCs/>
          <w:color w:val="auto"/>
          <w:kern w:val="0"/>
          <w:sz w:val="24"/>
        </w:rPr>
        <w:t>3</w:t>
      </w:r>
      <w:r>
        <w:rPr>
          <w:rFonts w:hint="eastAsia" w:asciiTheme="minorEastAsia" w:hAnsiTheme="minorEastAsia" w:eastAsiaTheme="minorEastAsia" w:cstheme="minorEastAsia"/>
          <w:b/>
          <w:bCs/>
          <w:color w:val="auto"/>
          <w:kern w:val="0"/>
          <w:sz w:val="24"/>
        </w:rPr>
        <w:t>、个人安全防护用品</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（1）个人安全防护用品管理不规范的，扣款</w:t>
      </w:r>
      <w:r>
        <w:rPr>
          <w:rFonts w:asciiTheme="minorEastAsia" w:hAnsiTheme="minorEastAsia" w:eastAsiaTheme="minorEastAsia" w:cstheme="minorEastAsia"/>
          <w:bCs/>
          <w:color w:val="auto"/>
          <w:kern w:val="0"/>
          <w:sz w:val="24"/>
        </w:rPr>
        <w:t>2</w:t>
      </w:r>
      <w:r>
        <w:rPr>
          <w:rFonts w:hint="eastAsia" w:asciiTheme="minorEastAsia" w:hAnsiTheme="minorEastAsia" w:eastAsiaTheme="minorEastAsia" w:cstheme="minorEastAsia"/>
          <w:bCs/>
          <w:color w:val="auto"/>
          <w:kern w:val="0"/>
          <w:sz w:val="24"/>
        </w:rPr>
        <w:t>00元。</w:t>
      </w:r>
    </w:p>
    <w:p>
      <w:pPr>
        <w:spacing w:line="360" w:lineRule="auto"/>
        <w:rPr>
          <w:rFonts w:asciiTheme="minorEastAsia" w:hAnsiTheme="minorEastAsia" w:eastAsiaTheme="minorEastAsia" w:cstheme="minorEastAsia"/>
          <w:b/>
          <w:bCs/>
          <w:color w:val="auto"/>
          <w:kern w:val="0"/>
          <w:sz w:val="24"/>
        </w:rPr>
      </w:pPr>
      <w:r>
        <w:rPr>
          <w:rFonts w:asciiTheme="minorEastAsia" w:hAnsiTheme="minorEastAsia" w:eastAsiaTheme="minorEastAsia" w:cstheme="minorEastAsia"/>
          <w:b/>
          <w:bCs/>
          <w:color w:val="auto"/>
          <w:kern w:val="0"/>
          <w:sz w:val="24"/>
        </w:rPr>
        <w:t>4</w:t>
      </w:r>
      <w:r>
        <w:rPr>
          <w:rFonts w:hint="eastAsia" w:asciiTheme="minorEastAsia" w:hAnsiTheme="minorEastAsia" w:eastAsiaTheme="minorEastAsia" w:cstheme="minorEastAsia"/>
          <w:b/>
          <w:bCs/>
          <w:color w:val="auto"/>
          <w:kern w:val="0"/>
          <w:sz w:val="24"/>
        </w:rPr>
        <w:t>、对施工单位安全监督管理不到位，主要如下：</w:t>
      </w:r>
    </w:p>
    <w:p>
      <w:pPr>
        <w:spacing w:line="360" w:lineRule="auto"/>
        <w:ind w:firstLine="480" w:firstLineChars="200"/>
        <w:rPr>
          <w:rFonts w:hint="eastAsia" w:asciiTheme="minorEastAsia" w:hAnsiTheme="minorEastAsia" w:eastAsiaTheme="minorEastAsia" w:cstheme="minorEastAsia"/>
          <w:bCs/>
          <w:color w:val="auto"/>
          <w:kern w:val="0"/>
          <w:sz w:val="24"/>
          <w:lang w:val="en-US" w:eastAsia="zh-CN"/>
        </w:rPr>
      </w:pPr>
      <w:r>
        <w:rPr>
          <w:rFonts w:hint="eastAsia" w:asciiTheme="minorEastAsia" w:hAnsiTheme="minorEastAsia" w:eastAsiaTheme="minorEastAsia" w:cstheme="minorEastAsia"/>
          <w:bCs/>
          <w:color w:val="auto"/>
          <w:kern w:val="0"/>
          <w:sz w:val="24"/>
        </w:rPr>
        <w:t>（1）没有督促施工单位在施工区域内的危险场所或部位设置明显的安全警示标志或使用不符合国家标准或行业标准的安全警示标志的，视情况扣款200/处。</w:t>
      </w:r>
      <w:r>
        <w:rPr>
          <w:rFonts w:hint="eastAsia" w:asciiTheme="minorEastAsia" w:hAnsiTheme="minorEastAsia" w:eastAsiaTheme="minorEastAsia" w:cstheme="minorEastAsia"/>
          <w:bCs/>
          <w:color w:val="auto"/>
          <w:kern w:val="0"/>
          <w:sz w:val="24"/>
          <w:lang w:val="en-US" w:eastAsia="zh-CN"/>
        </w:rPr>
        <w:t>督促后施工单位未落实</w:t>
      </w:r>
      <w:r>
        <w:rPr>
          <w:rFonts w:hint="eastAsia" w:asciiTheme="minorEastAsia" w:hAnsiTheme="minorEastAsia" w:eastAsiaTheme="minorEastAsia" w:cstheme="minorEastAsia"/>
          <w:bCs/>
          <w:color w:val="auto"/>
          <w:kern w:val="0"/>
          <w:sz w:val="24"/>
        </w:rPr>
        <w:t>视情况</w:t>
      </w:r>
      <w:r>
        <w:rPr>
          <w:rFonts w:hint="eastAsia" w:asciiTheme="minorEastAsia" w:hAnsiTheme="minorEastAsia" w:eastAsiaTheme="minorEastAsia" w:cstheme="minorEastAsia"/>
          <w:bCs/>
          <w:color w:val="auto"/>
          <w:kern w:val="0"/>
          <w:sz w:val="24"/>
          <w:lang w:eastAsia="zh-CN"/>
        </w:rPr>
        <w:t>，</w:t>
      </w:r>
      <w:r>
        <w:rPr>
          <w:rFonts w:hint="eastAsia" w:asciiTheme="minorEastAsia" w:hAnsiTheme="minorEastAsia" w:eastAsiaTheme="minorEastAsia" w:cstheme="minorEastAsia"/>
          <w:bCs/>
          <w:color w:val="auto"/>
          <w:kern w:val="0"/>
          <w:sz w:val="24"/>
        </w:rPr>
        <w:t>扣款</w:t>
      </w:r>
      <w:r>
        <w:rPr>
          <w:rFonts w:hint="eastAsia" w:asciiTheme="minorEastAsia" w:hAnsiTheme="minorEastAsia" w:eastAsiaTheme="minorEastAsia" w:cstheme="minorEastAsia"/>
          <w:bCs/>
          <w:color w:val="auto"/>
          <w:kern w:val="0"/>
          <w:sz w:val="24"/>
          <w:lang w:val="en-US" w:eastAsia="zh-CN"/>
        </w:rPr>
        <w:t>1</w:t>
      </w:r>
      <w:r>
        <w:rPr>
          <w:rFonts w:hint="eastAsia" w:asciiTheme="minorEastAsia" w:hAnsiTheme="minorEastAsia" w:eastAsiaTheme="minorEastAsia" w:cstheme="minorEastAsia"/>
          <w:bCs/>
          <w:color w:val="auto"/>
          <w:kern w:val="0"/>
          <w:sz w:val="24"/>
        </w:rPr>
        <w:t>00</w:t>
      </w:r>
      <w:r>
        <w:rPr>
          <w:rFonts w:hint="eastAsia" w:asciiTheme="minorEastAsia" w:hAnsiTheme="minorEastAsia" w:eastAsiaTheme="minorEastAsia" w:cstheme="minorEastAsia"/>
          <w:bCs/>
          <w:color w:val="auto"/>
          <w:kern w:val="0"/>
          <w:sz w:val="24"/>
          <w:lang w:val="en-US" w:eastAsia="zh-CN"/>
        </w:rPr>
        <w:t>元</w:t>
      </w:r>
      <w:r>
        <w:rPr>
          <w:rFonts w:hint="eastAsia" w:asciiTheme="minorEastAsia" w:hAnsiTheme="minorEastAsia" w:eastAsiaTheme="minorEastAsia" w:cstheme="minorEastAsia"/>
          <w:bCs/>
          <w:color w:val="auto"/>
          <w:kern w:val="0"/>
          <w:sz w:val="24"/>
        </w:rPr>
        <w:t>/处。</w:t>
      </w:r>
    </w:p>
    <w:p>
      <w:pPr>
        <w:spacing w:line="360" w:lineRule="auto"/>
        <w:ind w:firstLine="480" w:firstLineChars="200"/>
        <w:rPr>
          <w:rFonts w:asciiTheme="minorEastAsia" w:hAnsiTheme="minorEastAsia" w:eastAsiaTheme="minorEastAsia" w:cstheme="minorEastAsia"/>
          <w:bCs/>
          <w:color w:val="auto"/>
          <w:kern w:val="0"/>
          <w:sz w:val="24"/>
          <w:highlight w:val="none"/>
        </w:rPr>
      </w:pPr>
      <w:r>
        <w:rPr>
          <w:rFonts w:hint="eastAsia" w:asciiTheme="minorEastAsia" w:hAnsiTheme="minorEastAsia" w:eastAsiaTheme="minorEastAsia" w:cstheme="minorEastAsia"/>
          <w:bCs/>
          <w:color w:val="auto"/>
          <w:kern w:val="0"/>
          <w:sz w:val="24"/>
          <w:highlight w:val="none"/>
        </w:rPr>
        <w:t>（2）</w:t>
      </w:r>
      <w:r>
        <w:rPr>
          <w:rFonts w:hint="eastAsia" w:asciiTheme="minorEastAsia" w:hAnsiTheme="minorEastAsia" w:eastAsiaTheme="minorEastAsia" w:cstheme="minorEastAsia"/>
          <w:bCs/>
          <w:color w:val="auto"/>
          <w:kern w:val="0"/>
          <w:sz w:val="24"/>
          <w:highlight w:val="none"/>
          <w:lang w:val="en-US" w:eastAsia="zh-CN"/>
        </w:rPr>
        <w:t>未督促施工单位</w:t>
      </w:r>
      <w:r>
        <w:rPr>
          <w:rFonts w:hint="eastAsia" w:asciiTheme="minorEastAsia" w:hAnsiTheme="minorEastAsia" w:eastAsiaTheme="minorEastAsia" w:cstheme="minorEastAsia"/>
          <w:bCs/>
          <w:color w:val="auto"/>
          <w:kern w:val="0"/>
          <w:sz w:val="24"/>
          <w:highlight w:val="none"/>
        </w:rPr>
        <w:t>施工作业区施工警戒、施工公告、安全纪律牌、安全警告标志、重大危险源告知牌等不完善，扣款</w:t>
      </w:r>
      <w:r>
        <w:rPr>
          <w:rFonts w:asciiTheme="minorEastAsia" w:hAnsiTheme="minorEastAsia" w:eastAsiaTheme="minorEastAsia" w:cstheme="minorEastAsia"/>
          <w:bCs/>
          <w:color w:val="auto"/>
          <w:kern w:val="0"/>
          <w:sz w:val="24"/>
          <w:highlight w:val="none"/>
        </w:rPr>
        <w:t>2</w:t>
      </w:r>
      <w:r>
        <w:rPr>
          <w:rFonts w:hint="eastAsia" w:asciiTheme="minorEastAsia" w:hAnsiTheme="minorEastAsia" w:eastAsiaTheme="minorEastAsia" w:cstheme="minorEastAsia"/>
          <w:bCs/>
          <w:color w:val="auto"/>
          <w:kern w:val="0"/>
          <w:sz w:val="24"/>
          <w:highlight w:val="none"/>
        </w:rPr>
        <w:t>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（3）</w:t>
      </w:r>
      <w:r>
        <w:rPr>
          <w:rFonts w:hint="eastAsia" w:asciiTheme="minorEastAsia" w:hAnsiTheme="minorEastAsia" w:eastAsiaTheme="minorEastAsia" w:cstheme="minorEastAsia"/>
          <w:bCs/>
          <w:color w:val="auto"/>
          <w:kern w:val="0"/>
          <w:sz w:val="24"/>
          <w:lang w:val="en-US" w:eastAsia="zh-CN"/>
        </w:rPr>
        <w:t>未检查（督促）施工方对</w:t>
      </w:r>
      <w:r>
        <w:rPr>
          <w:rFonts w:hint="eastAsia" w:asciiTheme="minorEastAsia" w:hAnsiTheme="minorEastAsia" w:eastAsiaTheme="minorEastAsia" w:cstheme="minorEastAsia"/>
          <w:bCs/>
          <w:color w:val="auto"/>
          <w:kern w:val="0"/>
          <w:sz w:val="24"/>
        </w:rPr>
        <w:t>临空面</w:t>
      </w:r>
      <w:r>
        <w:rPr>
          <w:rFonts w:hint="eastAsia" w:asciiTheme="minorEastAsia" w:hAnsiTheme="minorEastAsia" w:eastAsiaTheme="minorEastAsia" w:cstheme="minorEastAsia"/>
          <w:bCs/>
          <w:color w:val="auto"/>
          <w:kern w:val="0"/>
          <w:sz w:val="24"/>
          <w:lang w:val="en-US" w:eastAsia="zh-CN"/>
        </w:rPr>
        <w:t>未设置</w:t>
      </w:r>
      <w:r>
        <w:rPr>
          <w:rFonts w:hint="eastAsia" w:asciiTheme="minorEastAsia" w:hAnsiTheme="minorEastAsia" w:eastAsiaTheme="minorEastAsia" w:cstheme="minorEastAsia"/>
          <w:bCs/>
          <w:color w:val="auto"/>
          <w:kern w:val="0"/>
          <w:sz w:val="24"/>
        </w:rPr>
        <w:t>防护栏或设置不规范的，视情况扣款</w:t>
      </w:r>
      <w:r>
        <w:rPr>
          <w:rFonts w:hint="eastAsia" w:asciiTheme="minorEastAsia" w:hAnsiTheme="minorEastAsia" w:eastAsiaTheme="minorEastAsia" w:cstheme="minorEastAsia"/>
          <w:bCs/>
          <w:color w:val="auto"/>
          <w:kern w:val="0"/>
          <w:sz w:val="24"/>
          <w:lang w:val="en-US" w:eastAsia="zh-CN"/>
        </w:rPr>
        <w:t>200-1</w:t>
      </w:r>
      <w:r>
        <w:rPr>
          <w:rFonts w:hint="eastAsia" w:asciiTheme="minorEastAsia" w:hAnsiTheme="minorEastAsia" w:eastAsiaTheme="minorEastAsia" w:cstheme="minorEastAsia"/>
          <w:bCs/>
          <w:color w:val="auto"/>
          <w:kern w:val="0"/>
          <w:sz w:val="24"/>
        </w:rPr>
        <w:t>00</w:t>
      </w:r>
      <w:r>
        <w:rPr>
          <w:rFonts w:hint="eastAsia" w:asciiTheme="minorEastAsia" w:hAnsiTheme="minorEastAsia" w:eastAsiaTheme="minorEastAsia" w:cstheme="minorEastAsia"/>
          <w:bCs/>
          <w:color w:val="auto"/>
          <w:kern w:val="0"/>
          <w:sz w:val="24"/>
          <w:lang w:val="en-US" w:eastAsia="zh-CN"/>
        </w:rPr>
        <w:t>0</w:t>
      </w:r>
      <w:r>
        <w:rPr>
          <w:rFonts w:hint="eastAsia" w:asciiTheme="minorEastAsia" w:hAnsiTheme="minorEastAsia" w:eastAsiaTheme="minorEastAsia" w:cstheme="minorEastAsia"/>
          <w:bCs/>
          <w:color w:val="auto"/>
          <w:kern w:val="0"/>
          <w:sz w:val="24"/>
        </w:rPr>
        <w:t>元/处。</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4</w:t>
      </w: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对施工单位</w:t>
      </w:r>
      <w:r>
        <w:rPr>
          <w:rFonts w:hint="eastAsia" w:asciiTheme="minorEastAsia" w:hAnsiTheme="minorEastAsia" w:eastAsiaTheme="minorEastAsia" w:cstheme="minorEastAsia"/>
          <w:bCs/>
          <w:color w:val="auto"/>
          <w:kern w:val="0"/>
          <w:sz w:val="24"/>
        </w:rPr>
        <w:t>存在安全网未验收或验收不合格即投入使用</w:t>
      </w:r>
      <w:r>
        <w:rPr>
          <w:rFonts w:hint="eastAsia" w:asciiTheme="minorEastAsia" w:hAnsiTheme="minorEastAsia" w:eastAsiaTheme="minorEastAsia" w:cstheme="minorEastAsia"/>
          <w:bCs/>
          <w:color w:val="auto"/>
          <w:kern w:val="0"/>
          <w:sz w:val="24"/>
          <w:lang w:val="en-US" w:eastAsia="zh-CN"/>
        </w:rPr>
        <w:t>的情形不制止或默认的，</w:t>
      </w:r>
      <w:r>
        <w:rPr>
          <w:rFonts w:hint="eastAsia" w:asciiTheme="minorEastAsia" w:hAnsiTheme="minorEastAsia" w:eastAsiaTheme="minorEastAsia" w:cstheme="minorEastAsia"/>
          <w:bCs/>
          <w:color w:val="auto"/>
          <w:kern w:val="0"/>
          <w:sz w:val="24"/>
        </w:rPr>
        <w:t>扣款</w:t>
      </w:r>
      <w:r>
        <w:rPr>
          <w:rFonts w:asciiTheme="minorEastAsia" w:hAnsiTheme="minorEastAsia" w:eastAsiaTheme="minorEastAsia" w:cstheme="minorEastAsia"/>
          <w:bCs/>
          <w:color w:val="auto"/>
          <w:kern w:val="0"/>
          <w:sz w:val="24"/>
        </w:rPr>
        <w:t>2</w:t>
      </w:r>
      <w:r>
        <w:rPr>
          <w:rFonts w:hint="eastAsia" w:asciiTheme="minorEastAsia" w:hAnsiTheme="minorEastAsia" w:eastAsiaTheme="minorEastAsia" w:cstheme="minorEastAsia"/>
          <w:bCs/>
          <w:color w:val="auto"/>
          <w:kern w:val="0"/>
          <w:sz w:val="24"/>
        </w:rPr>
        <w:t>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5</w:t>
      </w: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对施工单位</w:t>
      </w:r>
      <w:r>
        <w:rPr>
          <w:rFonts w:hint="eastAsia" w:asciiTheme="minorEastAsia" w:hAnsiTheme="minorEastAsia" w:eastAsiaTheme="minorEastAsia" w:cstheme="minorEastAsia"/>
          <w:bCs/>
          <w:color w:val="auto"/>
          <w:kern w:val="0"/>
          <w:sz w:val="24"/>
        </w:rPr>
        <w:t>存在高处危险作业的平台、走道、斜道等处未装设防护栏杆或未设防护立网情况，</w:t>
      </w:r>
      <w:r>
        <w:rPr>
          <w:rFonts w:hint="eastAsia" w:asciiTheme="minorEastAsia" w:hAnsiTheme="minorEastAsia" w:eastAsiaTheme="minorEastAsia" w:cstheme="minorEastAsia"/>
          <w:bCs/>
          <w:color w:val="auto"/>
          <w:kern w:val="0"/>
          <w:sz w:val="24"/>
          <w:lang w:val="en-US" w:eastAsia="zh-CN"/>
        </w:rPr>
        <w:t>未制止或督促整改的</w:t>
      </w:r>
      <w:r>
        <w:rPr>
          <w:rFonts w:hint="eastAsia" w:asciiTheme="minorEastAsia" w:hAnsiTheme="minorEastAsia" w:eastAsiaTheme="minorEastAsia" w:cstheme="minorEastAsia"/>
          <w:bCs/>
          <w:color w:val="auto"/>
          <w:kern w:val="0"/>
          <w:sz w:val="24"/>
        </w:rPr>
        <w:t>扣款200元。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6</w:t>
      </w:r>
      <w:r>
        <w:rPr>
          <w:rFonts w:hint="eastAsia" w:asciiTheme="minorEastAsia" w:hAnsiTheme="minorEastAsia" w:eastAsiaTheme="minorEastAsia" w:cstheme="minorEastAsia"/>
          <w:bCs/>
          <w:color w:val="auto"/>
          <w:kern w:val="0"/>
          <w:sz w:val="24"/>
        </w:rPr>
        <w:t>）未有效督促施工单位在施工现场、高处作业区域的孔洞牢固设置标准盖板或围栏，扣款200元。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7</w:t>
      </w:r>
      <w:r>
        <w:rPr>
          <w:rFonts w:hint="eastAsia" w:asciiTheme="minorEastAsia" w:hAnsiTheme="minorEastAsia" w:eastAsiaTheme="minorEastAsia" w:cstheme="minorEastAsia"/>
          <w:bCs/>
          <w:color w:val="auto"/>
          <w:kern w:val="0"/>
          <w:sz w:val="24"/>
        </w:rPr>
        <w:t>）未要求施工单位在深沟、深坑四周设置安全警戒线</w:t>
      </w:r>
      <w:r>
        <w:rPr>
          <w:rFonts w:hint="eastAsia" w:asciiTheme="minorEastAsia" w:hAnsiTheme="minorEastAsia" w:eastAsiaTheme="minorEastAsia" w:cstheme="minorEastAsia"/>
          <w:bCs/>
          <w:color w:val="auto"/>
          <w:kern w:val="0"/>
          <w:sz w:val="24"/>
          <w:lang w:eastAsia="zh-CN"/>
        </w:rPr>
        <w:t>、</w:t>
      </w:r>
      <w:r>
        <w:rPr>
          <w:rFonts w:hint="eastAsia" w:asciiTheme="minorEastAsia" w:hAnsiTheme="minorEastAsia" w:eastAsiaTheme="minorEastAsia" w:cstheme="minorEastAsia"/>
          <w:bCs/>
          <w:color w:val="auto"/>
          <w:kern w:val="0"/>
          <w:sz w:val="24"/>
        </w:rPr>
        <w:t>围栏、夜间警告灯，扣款200元。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8</w:t>
      </w:r>
      <w:r>
        <w:rPr>
          <w:rFonts w:hint="eastAsia" w:asciiTheme="minorEastAsia" w:hAnsiTheme="minorEastAsia" w:eastAsiaTheme="minorEastAsia" w:cstheme="minorEastAsia"/>
          <w:bCs/>
          <w:color w:val="auto"/>
          <w:kern w:val="0"/>
          <w:sz w:val="24"/>
        </w:rPr>
        <w:t>）高处交叉作业、拆除工程等危险作业，未要求施工单位设置安全警戒标志旗绳</w:t>
      </w:r>
      <w:r>
        <w:rPr>
          <w:rFonts w:hint="eastAsia" w:asciiTheme="minorEastAsia" w:hAnsiTheme="minorEastAsia" w:eastAsiaTheme="minorEastAsia" w:cstheme="minorEastAsia"/>
          <w:bCs/>
          <w:color w:val="auto"/>
          <w:kern w:val="0"/>
          <w:sz w:val="24"/>
          <w:lang w:val="en-US" w:eastAsia="zh-CN"/>
        </w:rPr>
        <w:t>或隔离区的</w:t>
      </w:r>
      <w:r>
        <w:rPr>
          <w:rFonts w:hint="eastAsia" w:asciiTheme="minorEastAsia" w:hAnsiTheme="minorEastAsia" w:eastAsiaTheme="minorEastAsia" w:cstheme="minorEastAsia"/>
          <w:bCs/>
          <w:color w:val="auto"/>
          <w:kern w:val="0"/>
          <w:sz w:val="24"/>
        </w:rPr>
        <w:t>扣款200元。</w:t>
      </w:r>
    </w:p>
    <w:p>
      <w:pPr>
        <w:spacing w:line="360" w:lineRule="auto"/>
        <w:ind w:firstLine="480" w:firstLineChars="200"/>
        <w:rPr>
          <w:rFonts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9</w:t>
      </w:r>
      <w:r>
        <w:rPr>
          <w:rFonts w:hint="eastAsia" w:asciiTheme="minorEastAsia" w:hAnsiTheme="minorEastAsia" w:eastAsiaTheme="minorEastAsia" w:cstheme="minorEastAsia"/>
          <w:bCs/>
          <w:color w:val="auto"/>
          <w:kern w:val="0"/>
          <w:sz w:val="24"/>
        </w:rPr>
        <w:t>）未要求施工单位高处作业临边设防护栏杆和踢脚板，扣款200元。</w:t>
      </w:r>
    </w:p>
    <w:p>
      <w:pPr>
        <w:spacing w:line="360" w:lineRule="auto"/>
        <w:ind w:firstLine="480" w:firstLineChars="200"/>
        <w:rPr>
          <w:rFonts w:hint="eastAsia" w:asciiTheme="minorEastAsia" w:hAnsiTheme="minorEastAsia" w:eastAsiaTheme="minorEastAsia" w:cstheme="minorEastAsia"/>
          <w:bCs/>
          <w:color w:val="auto"/>
          <w:kern w:val="0"/>
          <w:sz w:val="24"/>
        </w:rPr>
      </w:pPr>
      <w:r>
        <w:rPr>
          <w:rFonts w:hint="eastAsia" w:asciiTheme="minorEastAsia" w:hAnsiTheme="minorEastAsia" w:eastAsiaTheme="minorEastAsia" w:cstheme="minorEastAsia"/>
          <w:bCs/>
          <w:color w:val="auto"/>
          <w:kern w:val="0"/>
          <w:sz w:val="24"/>
        </w:rPr>
        <w:t>（1</w:t>
      </w:r>
      <w:r>
        <w:rPr>
          <w:rFonts w:hint="eastAsia" w:asciiTheme="minorEastAsia" w:hAnsiTheme="minorEastAsia" w:eastAsiaTheme="minorEastAsia" w:cstheme="minorEastAsia"/>
          <w:bCs/>
          <w:color w:val="auto"/>
          <w:kern w:val="0"/>
          <w:sz w:val="24"/>
          <w:lang w:val="en-US" w:eastAsia="zh-CN"/>
        </w:rPr>
        <w:t>0</w:t>
      </w:r>
      <w:r>
        <w:rPr>
          <w:rFonts w:hint="eastAsia" w:asciiTheme="minorEastAsia" w:hAnsiTheme="minorEastAsia" w:eastAsiaTheme="minorEastAsia" w:cstheme="minorEastAsia"/>
          <w:bCs/>
          <w:color w:val="auto"/>
          <w:kern w:val="0"/>
          <w:sz w:val="24"/>
        </w:rPr>
        <w:t>）安全设施损坏或有缺陷未及时</w:t>
      </w:r>
      <w:r>
        <w:rPr>
          <w:rFonts w:hint="eastAsia" w:asciiTheme="minorEastAsia" w:hAnsiTheme="minorEastAsia" w:eastAsiaTheme="minorEastAsia" w:cstheme="minorEastAsia"/>
          <w:bCs/>
          <w:color w:val="auto"/>
          <w:kern w:val="0"/>
          <w:sz w:val="24"/>
          <w:lang w:val="en-US" w:eastAsia="zh-CN"/>
        </w:rPr>
        <w:t>督促施工单位</w:t>
      </w:r>
      <w:r>
        <w:rPr>
          <w:rFonts w:hint="eastAsia" w:asciiTheme="minorEastAsia" w:hAnsiTheme="minorEastAsia" w:eastAsiaTheme="minorEastAsia" w:cstheme="minorEastAsia"/>
          <w:bCs/>
          <w:color w:val="auto"/>
          <w:kern w:val="0"/>
          <w:sz w:val="24"/>
        </w:rPr>
        <w:t>组织维修或更换</w:t>
      </w:r>
      <w:r>
        <w:rPr>
          <w:rFonts w:hint="eastAsia" w:asciiTheme="minorEastAsia" w:hAnsiTheme="minorEastAsia" w:eastAsiaTheme="minorEastAsia" w:cstheme="minorEastAsia"/>
          <w:bCs/>
          <w:color w:val="auto"/>
          <w:kern w:val="0"/>
          <w:sz w:val="24"/>
          <w:lang w:eastAsia="zh-CN"/>
        </w:rPr>
        <w:t>，</w:t>
      </w:r>
      <w:r>
        <w:rPr>
          <w:rFonts w:hint="eastAsia" w:asciiTheme="minorEastAsia" w:hAnsiTheme="minorEastAsia" w:eastAsiaTheme="minorEastAsia" w:cstheme="minorEastAsia"/>
          <w:bCs/>
          <w:color w:val="auto"/>
          <w:kern w:val="0"/>
          <w:sz w:val="24"/>
        </w:rPr>
        <w:t>工作完毕后不及时回收，扣款200元/处。</w:t>
      </w:r>
    </w:p>
    <w:p>
      <w:pPr>
        <w:spacing w:line="360" w:lineRule="auto"/>
        <w:ind w:firstLine="480" w:firstLineChars="200"/>
        <w:rPr>
          <w:rFonts w:hint="eastAsia" w:asciiTheme="minorEastAsia" w:hAnsiTheme="minorEastAsia" w:eastAsiaTheme="minorEastAsia" w:cstheme="minorEastAsia"/>
          <w:bCs/>
          <w:color w:val="auto"/>
          <w:kern w:val="0"/>
          <w:sz w:val="24"/>
          <w:lang w:val="en-US" w:eastAsia="zh-CN"/>
        </w:rPr>
      </w:pPr>
      <w:r>
        <w:rPr>
          <w:rFonts w:hint="eastAsia" w:asciiTheme="minorEastAsia" w:hAnsiTheme="minorEastAsia" w:eastAsiaTheme="minorEastAsia" w:cstheme="minorEastAsia"/>
          <w:bCs/>
          <w:color w:val="auto"/>
          <w:kern w:val="0"/>
          <w:sz w:val="24"/>
        </w:rPr>
        <w:t>（1</w:t>
      </w:r>
      <w:r>
        <w:rPr>
          <w:rFonts w:hint="eastAsia" w:asciiTheme="minorEastAsia" w:hAnsiTheme="minorEastAsia" w:eastAsiaTheme="minorEastAsia" w:cstheme="minorEastAsia"/>
          <w:bCs/>
          <w:color w:val="auto"/>
          <w:kern w:val="0"/>
          <w:sz w:val="24"/>
          <w:lang w:val="en-US" w:eastAsia="zh-CN"/>
        </w:rPr>
        <w:t>1</w:t>
      </w: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施工用电搭设、用电设备检验、检查不符合管理要求</w:t>
      </w:r>
      <w:r>
        <w:rPr>
          <w:rFonts w:hint="eastAsia" w:asciiTheme="minorEastAsia" w:hAnsiTheme="minorEastAsia" w:eastAsiaTheme="minorEastAsia" w:cstheme="minorEastAsia"/>
          <w:bCs/>
          <w:color w:val="auto"/>
          <w:kern w:val="0"/>
          <w:sz w:val="24"/>
        </w:rPr>
        <w:t>，</w:t>
      </w:r>
      <w:r>
        <w:rPr>
          <w:rFonts w:hint="eastAsia" w:asciiTheme="minorEastAsia" w:hAnsiTheme="minorEastAsia" w:eastAsiaTheme="minorEastAsia" w:cstheme="minorEastAsia"/>
          <w:bCs/>
          <w:color w:val="auto"/>
          <w:kern w:val="0"/>
          <w:sz w:val="24"/>
          <w:lang w:val="en-US" w:eastAsia="zh-CN"/>
        </w:rPr>
        <w:t>未检查到位或未提出整改要求的，</w:t>
      </w:r>
      <w:r>
        <w:rPr>
          <w:rFonts w:hint="eastAsia" w:asciiTheme="minorEastAsia" w:hAnsiTheme="minorEastAsia" w:eastAsiaTheme="minorEastAsia" w:cstheme="minorEastAsia"/>
          <w:bCs/>
          <w:color w:val="auto"/>
          <w:kern w:val="0"/>
          <w:sz w:val="24"/>
        </w:rPr>
        <w:t>扣款200元/</w:t>
      </w:r>
      <w:r>
        <w:rPr>
          <w:rFonts w:hint="eastAsia" w:asciiTheme="minorEastAsia" w:hAnsiTheme="minorEastAsia" w:eastAsiaTheme="minorEastAsia" w:cstheme="minorEastAsia"/>
          <w:bCs/>
          <w:color w:val="auto"/>
          <w:kern w:val="0"/>
          <w:sz w:val="24"/>
          <w:lang w:val="en-US" w:eastAsia="zh-CN"/>
        </w:rPr>
        <w:t>次。</w:t>
      </w:r>
    </w:p>
    <w:p>
      <w:pPr>
        <w:spacing w:line="360" w:lineRule="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5</w:t>
      </w:r>
      <w:r>
        <w:rPr>
          <w:rFonts w:hint="eastAsia" w:asciiTheme="minorEastAsia" w:hAnsiTheme="minorEastAsia" w:eastAsiaTheme="minorEastAsia" w:cstheme="minorEastAsia"/>
          <w:b/>
          <w:bCs/>
          <w:color w:val="auto"/>
          <w:kern w:val="0"/>
          <w:sz w:val="24"/>
          <w:szCs w:val="24"/>
          <w:highlight w:val="none"/>
        </w:rPr>
        <w:t>、其他</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1</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对现场检查施工单位</w:t>
      </w:r>
      <w:r>
        <w:rPr>
          <w:rFonts w:hint="eastAsia" w:asciiTheme="minorEastAsia" w:hAnsiTheme="minorEastAsia" w:eastAsiaTheme="minorEastAsia" w:cstheme="minorEastAsia"/>
          <w:bCs/>
          <w:color w:val="auto"/>
          <w:kern w:val="0"/>
          <w:sz w:val="24"/>
          <w:szCs w:val="24"/>
          <w:highlight w:val="none"/>
        </w:rPr>
        <w:t>重复发生</w:t>
      </w:r>
      <w:r>
        <w:rPr>
          <w:rFonts w:hint="eastAsia" w:asciiTheme="minorEastAsia" w:hAnsiTheme="minorEastAsia" w:eastAsiaTheme="minorEastAsia" w:cstheme="minorEastAsia"/>
          <w:bCs/>
          <w:color w:val="auto"/>
          <w:kern w:val="0"/>
          <w:sz w:val="24"/>
          <w:szCs w:val="24"/>
          <w:highlight w:val="none"/>
          <w:lang w:val="en-US" w:eastAsia="zh-CN"/>
        </w:rPr>
        <w:t>违章问题，未开展专项教育、未组织专题整改，而导致类似问题</w:t>
      </w:r>
      <w:r>
        <w:rPr>
          <w:rFonts w:hint="eastAsia" w:asciiTheme="minorEastAsia" w:hAnsiTheme="minorEastAsia" w:eastAsiaTheme="minorEastAsia" w:cstheme="minorEastAsia"/>
          <w:bCs/>
          <w:color w:val="auto"/>
          <w:kern w:val="0"/>
          <w:sz w:val="24"/>
          <w:szCs w:val="24"/>
          <w:highlight w:val="none"/>
        </w:rPr>
        <w:t>的</w:t>
      </w:r>
      <w:r>
        <w:rPr>
          <w:rFonts w:hint="eastAsia" w:asciiTheme="minorEastAsia" w:hAnsiTheme="minorEastAsia" w:eastAsiaTheme="minorEastAsia" w:cstheme="minorEastAsia"/>
          <w:bCs/>
          <w:color w:val="auto"/>
          <w:kern w:val="0"/>
          <w:sz w:val="24"/>
          <w:szCs w:val="24"/>
          <w:highlight w:val="none"/>
          <w:lang w:val="en-US" w:eastAsia="zh-CN"/>
        </w:rPr>
        <w:t>重复发生，则</w:t>
      </w:r>
      <w:r>
        <w:rPr>
          <w:rFonts w:hint="eastAsia" w:asciiTheme="minorEastAsia" w:hAnsiTheme="minorEastAsia" w:eastAsiaTheme="minorEastAsia" w:cstheme="minorEastAsia"/>
          <w:bCs/>
          <w:color w:val="auto"/>
          <w:kern w:val="0"/>
          <w:sz w:val="24"/>
          <w:szCs w:val="24"/>
          <w:highlight w:val="none"/>
        </w:rPr>
        <w:t>按倍违约扣款</w:t>
      </w:r>
      <w:r>
        <w:rPr>
          <w:rFonts w:hint="eastAsia" w:asciiTheme="minorEastAsia" w:hAnsiTheme="minorEastAsia" w:eastAsiaTheme="minorEastAsia" w:cstheme="minorEastAsia"/>
          <w:bCs/>
          <w:color w:val="auto"/>
          <w:kern w:val="0"/>
          <w:sz w:val="24"/>
          <w:szCs w:val="24"/>
          <w:highlight w:val="none"/>
          <w:lang w:val="en-US" w:eastAsia="zh-CN"/>
        </w:rPr>
        <w:t>处罚监理单位</w:t>
      </w:r>
      <w:r>
        <w:rPr>
          <w:rFonts w:hint="eastAsia" w:asciiTheme="minorEastAsia" w:hAnsiTheme="minorEastAsia" w:eastAsiaTheme="minorEastAsia" w:cstheme="minorEastAsia"/>
          <w:bCs/>
          <w:color w:val="auto"/>
          <w:kern w:val="0"/>
          <w:sz w:val="24"/>
          <w:szCs w:val="24"/>
          <w:highlight w:val="none"/>
        </w:rPr>
        <w:t>。例：对“</w:t>
      </w:r>
      <w:r>
        <w:rPr>
          <w:rFonts w:hint="eastAsia" w:asciiTheme="minorEastAsia" w:hAnsiTheme="minorEastAsia" w:eastAsiaTheme="minorEastAsia" w:cstheme="minorEastAsia"/>
          <w:bCs/>
          <w:color w:val="auto"/>
          <w:kern w:val="0"/>
          <w:sz w:val="24"/>
          <w:szCs w:val="24"/>
          <w:highlight w:val="none"/>
          <w:lang w:val="en-US" w:eastAsia="zh-CN"/>
        </w:rPr>
        <w:t>施工单位</w:t>
      </w:r>
      <w:r>
        <w:rPr>
          <w:rFonts w:hint="eastAsia" w:asciiTheme="minorEastAsia" w:hAnsiTheme="minorEastAsia" w:eastAsiaTheme="minorEastAsia" w:cstheme="minorEastAsia"/>
          <w:bCs/>
          <w:color w:val="auto"/>
          <w:kern w:val="0"/>
          <w:sz w:val="24"/>
          <w:szCs w:val="24"/>
          <w:highlight w:val="none"/>
        </w:rPr>
        <w:t>高处作业随手抛掷工器具、消耗性材料等物件</w:t>
      </w:r>
      <w:r>
        <w:rPr>
          <w:rFonts w:hint="eastAsia" w:asciiTheme="minorEastAsia" w:hAnsiTheme="minorEastAsia" w:eastAsiaTheme="minorEastAsia" w:cstheme="minorEastAsia"/>
          <w:bCs/>
          <w:color w:val="auto"/>
          <w:kern w:val="0"/>
          <w:sz w:val="24"/>
          <w:szCs w:val="24"/>
          <w:highlight w:val="none"/>
          <w:lang w:val="en-US" w:eastAsia="zh-CN"/>
        </w:rPr>
        <w:t>未进行监督、制止及整改的，建设单位发现一次</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对监理</w:t>
      </w:r>
      <w:r>
        <w:rPr>
          <w:rFonts w:hint="eastAsia" w:asciiTheme="minorEastAsia" w:hAnsiTheme="minorEastAsia" w:eastAsiaTheme="minorEastAsia" w:cstheme="minorEastAsia"/>
          <w:bCs/>
          <w:color w:val="auto"/>
          <w:kern w:val="0"/>
          <w:sz w:val="24"/>
          <w:szCs w:val="24"/>
          <w:highlight w:val="none"/>
        </w:rPr>
        <w:t>扣款200元”。第一次扣款200元，第二次</w:t>
      </w:r>
      <w:r>
        <w:rPr>
          <w:rFonts w:hint="eastAsia" w:asciiTheme="minorEastAsia" w:hAnsiTheme="minorEastAsia" w:eastAsiaTheme="minorEastAsia" w:cstheme="minorEastAsia"/>
          <w:bCs/>
          <w:color w:val="auto"/>
          <w:kern w:val="0"/>
          <w:sz w:val="24"/>
          <w:szCs w:val="24"/>
          <w:highlight w:val="none"/>
          <w:lang w:val="en-US" w:eastAsia="zh-CN"/>
        </w:rPr>
        <w:t>建设单位检查发现施工单位再次</w:t>
      </w:r>
      <w:r>
        <w:rPr>
          <w:rFonts w:hint="eastAsia" w:asciiTheme="minorEastAsia" w:hAnsiTheme="minorEastAsia" w:eastAsiaTheme="minorEastAsia" w:cstheme="minorEastAsia"/>
          <w:bCs/>
          <w:color w:val="auto"/>
          <w:kern w:val="0"/>
          <w:sz w:val="24"/>
          <w:szCs w:val="24"/>
          <w:highlight w:val="none"/>
        </w:rPr>
        <w:t>发生则扣款2*200元（400元），第三次发生则扣款3*</w:t>
      </w:r>
      <w:r>
        <w:rPr>
          <w:rFonts w:hint="eastAsia" w:asciiTheme="minorEastAsia" w:hAnsiTheme="minorEastAsia" w:eastAsiaTheme="minorEastAsia" w:cstheme="minorEastAsia"/>
          <w:bCs/>
          <w:color w:val="auto"/>
          <w:kern w:val="0"/>
          <w:sz w:val="24"/>
          <w:szCs w:val="24"/>
          <w:highlight w:val="none"/>
          <w:lang w:eastAsia="zh-CN"/>
        </w:rPr>
        <w:t>2</w:t>
      </w:r>
      <w:r>
        <w:rPr>
          <w:rFonts w:hint="eastAsia" w:asciiTheme="minorEastAsia" w:hAnsiTheme="minorEastAsia" w:eastAsiaTheme="minorEastAsia" w:cstheme="minorEastAsia"/>
          <w:bCs/>
          <w:color w:val="auto"/>
          <w:kern w:val="0"/>
          <w:sz w:val="24"/>
          <w:szCs w:val="24"/>
          <w:highlight w:val="none"/>
        </w:rPr>
        <w:t>00元（</w:t>
      </w:r>
      <w:r>
        <w:rPr>
          <w:rFonts w:hint="eastAsia" w:asciiTheme="minorEastAsia" w:hAnsiTheme="minorEastAsia" w:eastAsiaTheme="minorEastAsia" w:cstheme="minorEastAsia"/>
          <w:bCs/>
          <w:color w:val="auto"/>
          <w:kern w:val="0"/>
          <w:sz w:val="24"/>
          <w:szCs w:val="24"/>
          <w:highlight w:val="none"/>
          <w:lang w:eastAsia="zh-CN"/>
        </w:rPr>
        <w:t>6</w:t>
      </w:r>
      <w:r>
        <w:rPr>
          <w:rFonts w:hint="eastAsia" w:asciiTheme="minorEastAsia" w:hAnsiTheme="minorEastAsia" w:eastAsiaTheme="minorEastAsia" w:cstheme="minorEastAsia"/>
          <w:bCs/>
          <w:color w:val="auto"/>
          <w:kern w:val="0"/>
          <w:sz w:val="24"/>
          <w:szCs w:val="24"/>
          <w:highlight w:val="none"/>
        </w:rPr>
        <w:t>00元），依此类推。</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lang w:eastAsia="zh-CN"/>
        </w:rPr>
      </w:pP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2</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eastAsia="zh-CN"/>
        </w:rPr>
        <w:t>对</w:t>
      </w:r>
      <w:r>
        <w:rPr>
          <w:rFonts w:hint="eastAsia" w:asciiTheme="minorEastAsia" w:hAnsiTheme="minorEastAsia" w:eastAsiaTheme="minorEastAsia" w:cstheme="minorEastAsia"/>
          <w:bCs/>
          <w:color w:val="auto"/>
          <w:kern w:val="0"/>
          <w:sz w:val="24"/>
          <w:szCs w:val="24"/>
          <w:highlight w:val="none"/>
        </w:rPr>
        <w:t>违章行为</w:t>
      </w:r>
      <w:r>
        <w:rPr>
          <w:rFonts w:hint="eastAsia" w:asciiTheme="minorEastAsia" w:hAnsiTheme="minorEastAsia" w:eastAsiaTheme="minorEastAsia" w:cstheme="minorEastAsia"/>
          <w:bCs/>
          <w:color w:val="auto"/>
          <w:kern w:val="0"/>
          <w:sz w:val="24"/>
          <w:szCs w:val="24"/>
          <w:highlight w:val="none"/>
          <w:lang w:eastAsia="zh-CN"/>
        </w:rPr>
        <w:t>、违章现象、不符合等情况，以上有对应标准的，执行以上标准，没有的则执行以下标准：</w:t>
      </w:r>
    </w:p>
    <w:p>
      <w:pPr>
        <w:spacing w:line="360" w:lineRule="auto"/>
        <w:ind w:firstLine="420" w:firstLineChars="175"/>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1）违反国家标准《电业安全工作规程》中“热力和机械、发电厂和变电站电气部分、电力线路部分、高压试验室部分”其它相关条款的，每起（每人、每次）扣款</w:t>
      </w:r>
      <w:r>
        <w:rPr>
          <w:rFonts w:hint="eastAsia" w:asciiTheme="minorEastAsia" w:hAnsiTheme="minorEastAsia" w:eastAsiaTheme="minorEastAsia" w:cstheme="minorEastAsia"/>
          <w:bCs/>
          <w:color w:val="auto"/>
          <w:kern w:val="0"/>
          <w:sz w:val="24"/>
          <w:szCs w:val="24"/>
          <w:highlight w:val="none"/>
          <w:lang w:val="en-US" w:eastAsia="zh-CN"/>
        </w:rPr>
        <w:t>2</w:t>
      </w:r>
      <w:r>
        <w:rPr>
          <w:rFonts w:hint="eastAsia" w:asciiTheme="minorEastAsia" w:hAnsiTheme="minorEastAsia" w:eastAsiaTheme="minorEastAsia" w:cstheme="minorEastAsia"/>
          <w:bCs/>
          <w:color w:val="auto"/>
          <w:kern w:val="0"/>
          <w:sz w:val="24"/>
          <w:szCs w:val="24"/>
          <w:highlight w:val="none"/>
        </w:rPr>
        <w:t>00元。</w:t>
      </w:r>
    </w:p>
    <w:p>
      <w:pPr>
        <w:spacing w:line="360" w:lineRule="auto"/>
        <w:ind w:firstLine="420" w:firstLineChars="175"/>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2）违反中国南方电网有限责任公司《电力安全工作规程》其它相关条款的，依据</w:t>
      </w:r>
      <w:r>
        <w:rPr>
          <w:rFonts w:hint="eastAsia" w:asciiTheme="minorEastAsia" w:hAnsiTheme="minorEastAsia" w:eastAsiaTheme="minorEastAsia" w:cstheme="minorEastAsia"/>
          <w:bCs/>
          <w:color w:val="auto"/>
          <w:kern w:val="0"/>
          <w:sz w:val="24"/>
          <w:szCs w:val="24"/>
          <w:highlight w:val="none"/>
          <w:lang w:val="en-US" w:eastAsia="zh-CN"/>
        </w:rPr>
        <w:t>作业风险等级</w:t>
      </w:r>
      <w:r>
        <w:rPr>
          <w:rFonts w:hint="eastAsia" w:asciiTheme="minorEastAsia" w:hAnsiTheme="minorEastAsia" w:eastAsiaTheme="minorEastAsia" w:cstheme="minorEastAsia"/>
          <w:bCs/>
          <w:color w:val="auto"/>
          <w:kern w:val="0"/>
          <w:sz w:val="24"/>
          <w:szCs w:val="24"/>
          <w:highlight w:val="none"/>
        </w:rPr>
        <w:t>、后果程度、影响范围等因素，特别是人身方面的，每起（每人、每次）扣款200-1000元；其他不符合的，每起（每人、每次）扣款100-</w:t>
      </w:r>
      <w:r>
        <w:rPr>
          <w:rFonts w:hint="eastAsia" w:asciiTheme="minorEastAsia" w:hAnsiTheme="minorEastAsia" w:eastAsiaTheme="minorEastAsia" w:cstheme="minorEastAsia"/>
          <w:bCs/>
          <w:color w:val="auto"/>
          <w:kern w:val="0"/>
          <w:sz w:val="24"/>
          <w:szCs w:val="24"/>
          <w:highlight w:val="none"/>
          <w:lang w:val="en-US" w:eastAsia="zh-CN"/>
        </w:rPr>
        <w:t>300元</w:t>
      </w:r>
      <w:r>
        <w:rPr>
          <w:rFonts w:hint="eastAsia" w:asciiTheme="minorEastAsia" w:hAnsiTheme="minorEastAsia" w:eastAsiaTheme="minorEastAsia" w:cstheme="minorEastAsia"/>
          <w:bCs/>
          <w:color w:val="auto"/>
          <w:kern w:val="0"/>
          <w:sz w:val="24"/>
          <w:szCs w:val="24"/>
          <w:highlight w:val="none"/>
        </w:rPr>
        <w:t>。</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val="en-US" w:eastAsia="zh-CN"/>
        </w:rPr>
        <w:t>（3</w:t>
      </w:r>
      <w:r>
        <w:rPr>
          <w:rFonts w:hint="eastAsia" w:asciiTheme="minorEastAsia" w:hAnsiTheme="minorEastAsia" w:eastAsiaTheme="minorEastAsia" w:cstheme="minorEastAsia"/>
          <w:bCs/>
          <w:color w:val="auto"/>
          <w:kern w:val="0"/>
          <w:sz w:val="24"/>
          <w:szCs w:val="24"/>
          <w:highlight w:val="none"/>
        </w:rPr>
        <w:t>）</w:t>
      </w:r>
      <w:r>
        <w:rPr>
          <w:rFonts w:hint="eastAsia" w:ascii="Times New Roman" w:hAnsi="Times New Roman"/>
          <w:color w:val="auto"/>
          <w:sz w:val="24"/>
          <w:highlight w:val="none"/>
        </w:rPr>
        <w:t>进入现场</w:t>
      </w:r>
      <w:r>
        <w:rPr>
          <w:rFonts w:hint="eastAsia"/>
          <w:color w:val="auto"/>
          <w:sz w:val="24"/>
          <w:highlight w:val="none"/>
          <w:lang w:eastAsia="zh-CN"/>
        </w:rPr>
        <w:t>作业</w:t>
      </w:r>
      <w:r>
        <w:rPr>
          <w:rFonts w:hint="eastAsia" w:ascii="Times New Roman" w:hAnsi="Times New Roman"/>
          <w:color w:val="auto"/>
          <w:sz w:val="24"/>
          <w:highlight w:val="none"/>
        </w:rPr>
        <w:t>的</w:t>
      </w:r>
      <w:r>
        <w:rPr>
          <w:rFonts w:hint="eastAsia"/>
          <w:color w:val="auto"/>
          <w:sz w:val="24"/>
          <w:highlight w:val="none"/>
          <w:lang w:val="en-US" w:eastAsia="zh-CN"/>
        </w:rPr>
        <w:t>监理</w:t>
      </w:r>
      <w:r>
        <w:rPr>
          <w:rFonts w:hint="eastAsia" w:ascii="Times New Roman" w:hAnsi="Times New Roman"/>
          <w:color w:val="auto"/>
          <w:sz w:val="24"/>
          <w:highlight w:val="none"/>
        </w:rPr>
        <w:t>人员未</w:t>
      </w:r>
      <w:r>
        <w:rPr>
          <w:rFonts w:hint="eastAsia"/>
          <w:color w:val="auto"/>
          <w:sz w:val="24"/>
          <w:highlight w:val="none"/>
          <w:lang w:eastAsia="zh-CN"/>
        </w:rPr>
        <w:t>购买</w:t>
      </w:r>
      <w:r>
        <w:rPr>
          <w:rFonts w:hint="eastAsia"/>
          <w:color w:val="auto"/>
          <w:sz w:val="24"/>
          <w:highlight w:val="none"/>
          <w:lang w:val="en-US" w:eastAsia="zh-CN"/>
        </w:rPr>
        <w:t>意外伤害</w:t>
      </w:r>
      <w:r>
        <w:rPr>
          <w:rFonts w:hint="eastAsia"/>
          <w:color w:val="auto"/>
          <w:sz w:val="24"/>
          <w:highlight w:val="none"/>
          <w:lang w:eastAsia="zh-CN"/>
        </w:rPr>
        <w:t>保险的，</w:t>
      </w:r>
      <w:r>
        <w:rPr>
          <w:rFonts w:hint="eastAsia" w:asciiTheme="minorEastAsia" w:hAnsiTheme="minorEastAsia" w:eastAsiaTheme="minorEastAsia" w:cstheme="minorEastAsia"/>
          <w:bCs/>
          <w:color w:val="auto"/>
          <w:kern w:val="0"/>
          <w:sz w:val="24"/>
          <w:szCs w:val="24"/>
          <w:highlight w:val="none"/>
        </w:rPr>
        <w:t>扣款</w:t>
      </w:r>
      <w:r>
        <w:rPr>
          <w:rFonts w:hint="eastAsia" w:asciiTheme="minorEastAsia" w:hAnsiTheme="minorEastAsia" w:eastAsiaTheme="minorEastAsia" w:cstheme="minorEastAsia"/>
          <w:bCs/>
          <w:color w:val="auto"/>
          <w:kern w:val="0"/>
          <w:sz w:val="24"/>
          <w:szCs w:val="24"/>
          <w:highlight w:val="none"/>
          <w:lang w:val="en-US" w:eastAsia="zh-CN"/>
        </w:rPr>
        <w:t>100</w:t>
      </w:r>
      <w:r>
        <w:rPr>
          <w:rFonts w:hint="eastAsia" w:asciiTheme="minorEastAsia" w:hAnsiTheme="minorEastAsia" w:eastAsiaTheme="minorEastAsia" w:cstheme="minorEastAsia"/>
          <w:bCs/>
          <w:color w:val="auto"/>
          <w:kern w:val="0"/>
          <w:sz w:val="24"/>
          <w:szCs w:val="24"/>
          <w:highlight w:val="none"/>
        </w:rPr>
        <w:t>0元</w:t>
      </w:r>
      <w:r>
        <w:rPr>
          <w:rFonts w:hint="eastAsia" w:asciiTheme="minorEastAsia" w:hAnsiTheme="minorEastAsia" w:eastAsiaTheme="minorEastAsia" w:cstheme="minorEastAsia"/>
          <w:bCs/>
          <w:color w:val="auto"/>
          <w:kern w:val="0"/>
          <w:sz w:val="24"/>
          <w:szCs w:val="24"/>
          <w:highlight w:val="none"/>
          <w:lang w:val="en-US" w:eastAsia="zh-CN"/>
        </w:rPr>
        <w:t>/人</w:t>
      </w:r>
      <w:r>
        <w:rPr>
          <w:rFonts w:hint="eastAsia" w:asciiTheme="minorEastAsia" w:hAnsiTheme="minorEastAsia" w:eastAsiaTheme="minorEastAsia" w:cstheme="minorEastAsia"/>
          <w:bCs/>
          <w:color w:val="auto"/>
          <w:kern w:val="0"/>
          <w:sz w:val="24"/>
          <w:szCs w:val="24"/>
          <w:highlight w:val="none"/>
        </w:rPr>
        <w:t>。</w:t>
      </w:r>
    </w:p>
    <w:p>
      <w:pPr>
        <w:spacing w:line="360" w:lineRule="auto"/>
        <w:ind w:firstLine="480" w:firstLineChars="200"/>
        <w:rPr>
          <w:rFonts w:hint="eastAsia" w:ascii="Times New Roman" w:hAnsi="Times New Roman" w:eastAsia="宋体" w:cs="Times New Roman"/>
          <w:b w:val="0"/>
          <w:color w:val="auto"/>
          <w:sz w:val="24"/>
          <w:szCs w:val="24"/>
          <w:highlight w:val="none"/>
          <w:shd w:val="clear" w:color="auto" w:fill="auto"/>
          <w:lang w:val="zh-CN"/>
        </w:rPr>
      </w:pPr>
      <w:r>
        <w:rPr>
          <w:rFonts w:hint="eastAsia" w:asciiTheme="minorEastAsia" w:hAnsiTheme="minorEastAsia" w:eastAsiaTheme="minorEastAsia" w:cstheme="minorEastAsia"/>
          <w:bCs/>
          <w:color w:val="auto"/>
          <w:kern w:val="0"/>
          <w:sz w:val="24"/>
          <w:szCs w:val="24"/>
          <w:highlight w:val="none"/>
          <w:lang w:val="en-US" w:eastAsia="zh-CN"/>
        </w:rPr>
        <w:t>（4</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对</w:t>
      </w:r>
      <w:r>
        <w:rPr>
          <w:rFonts w:hint="eastAsia" w:ascii="Times New Roman" w:hAnsi="Times New Roman"/>
          <w:color w:val="auto"/>
          <w:sz w:val="24"/>
          <w:highlight w:val="none"/>
        </w:rPr>
        <w:t>进入现场</w:t>
      </w:r>
      <w:r>
        <w:rPr>
          <w:rFonts w:hint="eastAsia"/>
          <w:color w:val="auto"/>
          <w:sz w:val="24"/>
          <w:highlight w:val="none"/>
          <w:lang w:eastAsia="zh-CN"/>
        </w:rPr>
        <w:t>作业</w:t>
      </w:r>
      <w:r>
        <w:rPr>
          <w:rFonts w:hint="eastAsia" w:ascii="Times New Roman" w:hAnsi="Times New Roman"/>
          <w:color w:val="auto"/>
          <w:sz w:val="24"/>
          <w:highlight w:val="none"/>
        </w:rPr>
        <w:t>的</w:t>
      </w:r>
      <w:r>
        <w:rPr>
          <w:rFonts w:hint="eastAsia"/>
          <w:color w:val="auto"/>
          <w:sz w:val="24"/>
          <w:highlight w:val="none"/>
          <w:lang w:val="en-US" w:eastAsia="zh-CN"/>
        </w:rPr>
        <w:t>监理</w:t>
      </w:r>
      <w:r>
        <w:rPr>
          <w:rFonts w:hint="eastAsia" w:ascii="Times New Roman" w:hAnsi="Times New Roman"/>
          <w:color w:val="auto"/>
          <w:sz w:val="24"/>
          <w:highlight w:val="none"/>
        </w:rPr>
        <w:t>人员未</w:t>
      </w:r>
      <w:r>
        <w:rPr>
          <w:rFonts w:hint="eastAsia"/>
          <w:color w:val="auto"/>
          <w:sz w:val="24"/>
          <w:highlight w:val="none"/>
          <w:lang w:eastAsia="zh-CN"/>
        </w:rPr>
        <w:t>签订</w:t>
      </w:r>
      <w:r>
        <w:rPr>
          <w:rFonts w:hint="eastAsia" w:cs="Times New Roman"/>
          <w:b w:val="0"/>
          <w:color w:val="auto"/>
          <w:sz w:val="24"/>
          <w:szCs w:val="24"/>
          <w:highlight w:val="none"/>
          <w:shd w:val="clear" w:color="auto" w:fill="auto"/>
          <w:lang w:val="zh-CN"/>
        </w:rPr>
        <w:t>用工</w:t>
      </w:r>
      <w:r>
        <w:rPr>
          <w:rFonts w:hint="eastAsia" w:ascii="Times New Roman" w:hAnsi="Times New Roman" w:eastAsia="宋体" w:cs="Times New Roman"/>
          <w:b w:val="0"/>
          <w:color w:val="auto"/>
          <w:sz w:val="24"/>
          <w:szCs w:val="24"/>
          <w:highlight w:val="none"/>
          <w:shd w:val="clear" w:color="auto" w:fill="auto"/>
          <w:lang w:val="zh-CN"/>
        </w:rPr>
        <w:t>合同或协议</w:t>
      </w:r>
      <w:r>
        <w:rPr>
          <w:rFonts w:hint="eastAsia"/>
          <w:color w:val="auto"/>
          <w:sz w:val="24"/>
          <w:highlight w:val="none"/>
          <w:lang w:eastAsia="zh-CN"/>
        </w:rPr>
        <w:t>的，</w:t>
      </w:r>
      <w:r>
        <w:rPr>
          <w:rFonts w:hint="eastAsia"/>
          <w:color w:val="auto"/>
          <w:sz w:val="24"/>
          <w:highlight w:val="none"/>
          <w:lang w:val="en-US" w:eastAsia="zh-CN"/>
        </w:rPr>
        <w:t>督查不到位的</w:t>
      </w:r>
      <w:r>
        <w:rPr>
          <w:rFonts w:hint="eastAsia" w:asciiTheme="minorEastAsia" w:hAnsiTheme="minorEastAsia" w:eastAsiaTheme="minorEastAsia" w:cstheme="minorEastAsia"/>
          <w:bCs/>
          <w:color w:val="auto"/>
          <w:kern w:val="0"/>
          <w:sz w:val="24"/>
          <w:szCs w:val="24"/>
          <w:highlight w:val="none"/>
        </w:rPr>
        <w:t>扣款</w:t>
      </w:r>
      <w:r>
        <w:rPr>
          <w:rFonts w:hint="eastAsia" w:asciiTheme="minorEastAsia" w:hAnsiTheme="minorEastAsia" w:eastAsiaTheme="minorEastAsia" w:cstheme="minorEastAsia"/>
          <w:bCs/>
          <w:color w:val="auto"/>
          <w:kern w:val="0"/>
          <w:sz w:val="24"/>
          <w:szCs w:val="24"/>
          <w:highlight w:val="none"/>
          <w:lang w:val="en-US" w:eastAsia="zh-CN"/>
        </w:rPr>
        <w:t>10</w:t>
      </w:r>
      <w:r>
        <w:rPr>
          <w:rFonts w:hint="eastAsia" w:asciiTheme="minorEastAsia" w:hAnsiTheme="minorEastAsia" w:eastAsiaTheme="minorEastAsia" w:cstheme="minorEastAsia"/>
          <w:bCs/>
          <w:color w:val="auto"/>
          <w:kern w:val="0"/>
          <w:sz w:val="24"/>
          <w:szCs w:val="24"/>
          <w:highlight w:val="none"/>
        </w:rPr>
        <w:t>0元</w:t>
      </w:r>
      <w:r>
        <w:rPr>
          <w:rFonts w:hint="eastAsia" w:asciiTheme="minorEastAsia" w:hAnsiTheme="minorEastAsia" w:eastAsiaTheme="minorEastAsia" w:cstheme="minorEastAsia"/>
          <w:bCs/>
          <w:color w:val="auto"/>
          <w:kern w:val="0"/>
          <w:sz w:val="24"/>
          <w:szCs w:val="24"/>
          <w:highlight w:val="none"/>
          <w:lang w:val="en-US" w:eastAsia="zh-CN"/>
        </w:rPr>
        <w:t>/人</w:t>
      </w:r>
      <w:r>
        <w:rPr>
          <w:rFonts w:hint="eastAsia" w:asciiTheme="minorEastAsia" w:hAnsiTheme="minorEastAsia" w:eastAsiaTheme="minorEastAsia" w:cstheme="minorEastAsia"/>
          <w:bCs/>
          <w:color w:val="auto"/>
          <w:kern w:val="0"/>
          <w:sz w:val="24"/>
          <w:szCs w:val="24"/>
          <w:highlight w:val="none"/>
        </w:rPr>
        <w:t>。</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rPr>
      </w:pP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5</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对现场作业中存在违章指挥、强令工作班人员冒险作业不制止，不警告、不处理、不监督等行为</w:t>
      </w:r>
      <w:r>
        <w:rPr>
          <w:rFonts w:hint="eastAsia" w:asciiTheme="minorEastAsia" w:hAnsiTheme="minorEastAsia" w:eastAsiaTheme="minorEastAsia" w:cstheme="minorEastAsia"/>
          <w:bCs/>
          <w:color w:val="auto"/>
          <w:kern w:val="0"/>
          <w:sz w:val="24"/>
          <w:szCs w:val="24"/>
          <w:highlight w:val="none"/>
        </w:rPr>
        <w:t>扣款</w:t>
      </w:r>
      <w:r>
        <w:rPr>
          <w:rFonts w:hint="eastAsia" w:asciiTheme="minorEastAsia" w:hAnsiTheme="minorEastAsia" w:eastAsiaTheme="minorEastAsia" w:cstheme="minorEastAsia"/>
          <w:bCs/>
          <w:color w:val="auto"/>
          <w:kern w:val="0"/>
          <w:sz w:val="24"/>
          <w:szCs w:val="24"/>
          <w:highlight w:val="none"/>
          <w:lang w:val="en-US" w:eastAsia="zh-CN"/>
        </w:rPr>
        <w:t>100</w:t>
      </w:r>
      <w:r>
        <w:rPr>
          <w:rFonts w:hint="eastAsia" w:asciiTheme="minorEastAsia" w:hAnsiTheme="minorEastAsia" w:eastAsiaTheme="minorEastAsia" w:cstheme="minorEastAsia"/>
          <w:bCs/>
          <w:color w:val="auto"/>
          <w:kern w:val="0"/>
          <w:sz w:val="24"/>
          <w:szCs w:val="24"/>
          <w:highlight w:val="none"/>
        </w:rPr>
        <w:t>0元</w:t>
      </w:r>
      <w:r>
        <w:rPr>
          <w:rFonts w:hint="eastAsia" w:asciiTheme="minorEastAsia" w:hAnsiTheme="minorEastAsia" w:eastAsiaTheme="minorEastAsia" w:cstheme="minorEastAsia"/>
          <w:bCs/>
          <w:color w:val="auto"/>
          <w:kern w:val="0"/>
          <w:sz w:val="24"/>
          <w:szCs w:val="24"/>
          <w:highlight w:val="none"/>
          <w:lang w:val="en-US" w:eastAsia="zh-CN"/>
        </w:rPr>
        <w:t>/次</w:t>
      </w:r>
      <w:r>
        <w:rPr>
          <w:rFonts w:hint="eastAsia" w:asciiTheme="minorEastAsia" w:hAnsiTheme="minorEastAsia" w:eastAsiaTheme="minorEastAsia" w:cstheme="minorEastAsia"/>
          <w:bCs/>
          <w:color w:val="auto"/>
          <w:kern w:val="0"/>
          <w:sz w:val="24"/>
          <w:szCs w:val="24"/>
          <w:highlight w:val="none"/>
        </w:rPr>
        <w:t>。</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rPr>
      </w:pPr>
      <w:r>
        <w:rPr>
          <w:rFonts w:hint="eastAsia" w:ascii="Times New Roman" w:hAnsi="Times New Roman" w:cs="Times New Roman"/>
          <w:color w:val="auto"/>
          <w:sz w:val="24"/>
          <w:lang w:val="en-US" w:eastAsia="zh-CN"/>
        </w:rPr>
        <w:t>（6）对监理负责现场开工手续未办理、或办理不规范，或停复工手续未办理、或办理不完善</w:t>
      </w:r>
      <w:r>
        <w:rPr>
          <w:rFonts w:hint="eastAsia" w:asciiTheme="minorEastAsia" w:hAnsiTheme="minorEastAsia" w:eastAsiaTheme="minorEastAsia" w:cstheme="minorEastAsia"/>
          <w:bCs/>
          <w:color w:val="auto"/>
          <w:kern w:val="0"/>
          <w:sz w:val="24"/>
          <w:szCs w:val="24"/>
          <w:highlight w:val="none"/>
        </w:rPr>
        <w:t>扣款</w:t>
      </w:r>
      <w:r>
        <w:rPr>
          <w:rFonts w:hint="eastAsia" w:asciiTheme="minorEastAsia" w:hAnsiTheme="minorEastAsia" w:eastAsiaTheme="minorEastAsia" w:cstheme="minorEastAsia"/>
          <w:bCs/>
          <w:color w:val="auto"/>
          <w:kern w:val="0"/>
          <w:sz w:val="24"/>
          <w:szCs w:val="24"/>
          <w:highlight w:val="none"/>
          <w:lang w:val="en-US" w:eastAsia="zh-CN"/>
        </w:rPr>
        <w:t>100</w:t>
      </w:r>
      <w:r>
        <w:rPr>
          <w:rFonts w:hint="eastAsia" w:asciiTheme="minorEastAsia" w:hAnsiTheme="minorEastAsia" w:eastAsiaTheme="minorEastAsia" w:cstheme="minorEastAsia"/>
          <w:bCs/>
          <w:color w:val="auto"/>
          <w:kern w:val="0"/>
          <w:sz w:val="24"/>
          <w:szCs w:val="24"/>
          <w:highlight w:val="none"/>
        </w:rPr>
        <w:t>0元</w:t>
      </w:r>
      <w:r>
        <w:rPr>
          <w:rFonts w:hint="eastAsia" w:asciiTheme="minorEastAsia" w:hAnsiTheme="minorEastAsia" w:eastAsiaTheme="minorEastAsia" w:cstheme="minorEastAsia"/>
          <w:bCs/>
          <w:color w:val="auto"/>
          <w:kern w:val="0"/>
          <w:sz w:val="24"/>
          <w:szCs w:val="24"/>
          <w:highlight w:val="none"/>
          <w:lang w:val="en-US" w:eastAsia="zh-CN"/>
        </w:rPr>
        <w:t>/次</w:t>
      </w:r>
      <w:r>
        <w:rPr>
          <w:rFonts w:hint="eastAsia" w:asciiTheme="minorEastAsia" w:hAnsiTheme="minorEastAsia" w:eastAsiaTheme="minorEastAsia" w:cstheme="minorEastAsia"/>
          <w:bCs/>
          <w:color w:val="auto"/>
          <w:kern w:val="0"/>
          <w:sz w:val="24"/>
          <w:szCs w:val="24"/>
          <w:highlight w:val="none"/>
        </w:rPr>
        <w:t>。</w:t>
      </w:r>
    </w:p>
    <w:p>
      <w:pPr>
        <w:spacing w:line="360" w:lineRule="auto"/>
        <w:ind w:firstLine="480" w:firstLineChars="200"/>
        <w:rPr>
          <w:rFonts w:hint="eastAsia" w:asciiTheme="minorEastAsia" w:hAnsiTheme="minorEastAsia" w:eastAsiaTheme="minorEastAsia" w:cstheme="minorEastAsia"/>
          <w:bCs/>
          <w:color w:val="auto"/>
          <w:kern w:val="0"/>
          <w:sz w:val="24"/>
          <w:szCs w:val="24"/>
          <w:highlight w:val="none"/>
        </w:rPr>
      </w:pPr>
      <w:r>
        <w:rPr>
          <w:rFonts w:hint="eastAsia" w:ascii="Times New Roman" w:hAnsi="Times New Roman" w:cs="Times New Roman"/>
          <w:color w:val="auto"/>
          <w:sz w:val="24"/>
          <w:lang w:val="en-US" w:eastAsia="zh-CN"/>
        </w:rPr>
        <w:t>（7）对负责监督实施项目的作业票或工作票未监督、或监督不到位导致作业票中签字应签未签、错签、人员加入与退出记录不完善等现象发生，</w:t>
      </w:r>
      <w:r>
        <w:rPr>
          <w:rFonts w:hint="eastAsia" w:asciiTheme="minorEastAsia" w:hAnsiTheme="minorEastAsia" w:eastAsiaTheme="minorEastAsia" w:cstheme="minorEastAsia"/>
          <w:bCs/>
          <w:color w:val="auto"/>
          <w:kern w:val="0"/>
          <w:sz w:val="24"/>
          <w:szCs w:val="24"/>
          <w:highlight w:val="none"/>
        </w:rPr>
        <w:t>扣款</w:t>
      </w:r>
      <w:r>
        <w:rPr>
          <w:rFonts w:hint="eastAsia" w:asciiTheme="minorEastAsia" w:hAnsiTheme="minorEastAsia" w:eastAsiaTheme="minorEastAsia" w:cstheme="minorEastAsia"/>
          <w:bCs/>
          <w:color w:val="auto"/>
          <w:kern w:val="0"/>
          <w:sz w:val="24"/>
          <w:szCs w:val="24"/>
          <w:highlight w:val="none"/>
          <w:lang w:val="en-US" w:eastAsia="zh-CN"/>
        </w:rPr>
        <w:t>10</w:t>
      </w:r>
      <w:r>
        <w:rPr>
          <w:rFonts w:hint="eastAsia" w:asciiTheme="minorEastAsia" w:hAnsiTheme="minorEastAsia" w:eastAsiaTheme="minorEastAsia" w:cstheme="minorEastAsia"/>
          <w:bCs/>
          <w:color w:val="auto"/>
          <w:kern w:val="0"/>
          <w:sz w:val="24"/>
          <w:szCs w:val="24"/>
          <w:highlight w:val="none"/>
        </w:rPr>
        <w:t>0元</w:t>
      </w:r>
      <w:r>
        <w:rPr>
          <w:rFonts w:hint="eastAsia" w:asciiTheme="minorEastAsia" w:hAnsiTheme="minorEastAsia" w:eastAsiaTheme="minorEastAsia" w:cstheme="minorEastAsia"/>
          <w:bCs/>
          <w:color w:val="auto"/>
          <w:kern w:val="0"/>
          <w:sz w:val="24"/>
          <w:szCs w:val="24"/>
          <w:highlight w:val="none"/>
          <w:lang w:val="en-US" w:eastAsia="zh-CN"/>
        </w:rPr>
        <w:t>/次</w:t>
      </w:r>
      <w:r>
        <w:rPr>
          <w:rFonts w:hint="eastAsia" w:asciiTheme="minorEastAsia" w:hAnsiTheme="minorEastAsia" w:eastAsiaTheme="minorEastAsia" w:cstheme="minorEastAsia"/>
          <w:bCs/>
          <w:color w:val="auto"/>
          <w:kern w:val="0"/>
          <w:sz w:val="24"/>
          <w:szCs w:val="24"/>
          <w:highlight w:val="none"/>
        </w:rPr>
        <w:t>。</w:t>
      </w:r>
    </w:p>
    <w:p>
      <w:pPr>
        <w:widowControl/>
        <w:spacing w:line="360" w:lineRule="auto"/>
        <w:contextualSpacing/>
        <w:outlineLvl w:val="0"/>
        <w:rPr>
          <w:rFonts w:hint="eastAsia" w:asciiTheme="minorEastAsia" w:hAnsiTheme="minorEastAsia" w:eastAsiaTheme="minorEastAsia" w:cstheme="minorEastAsia"/>
          <w:bCs/>
          <w:color w:val="auto"/>
          <w:kern w:val="0"/>
          <w:sz w:val="24"/>
          <w:szCs w:val="24"/>
          <w:highlight w:val="none"/>
          <w:lang w:val="en-US" w:eastAsia="zh-CN"/>
        </w:rPr>
      </w:pPr>
      <w:r>
        <w:rPr>
          <w:rFonts w:hint="eastAsia" w:ascii="黑体" w:hAnsi="宋体" w:eastAsia="黑体"/>
          <w:bCs/>
          <w:color w:val="auto"/>
          <w:kern w:val="44"/>
          <w:sz w:val="30"/>
          <w:szCs w:val="30"/>
          <w:lang w:val="en-US" w:eastAsia="zh-CN"/>
        </w:rPr>
        <w:t>二、监理日常安全工作考核标准</w:t>
      </w:r>
    </w:p>
    <w:tbl>
      <w:tblPr>
        <w:tblStyle w:val="3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031"/>
        <w:gridCol w:w="4945"/>
        <w:gridCol w:w="1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5" w:type="dxa"/>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分</w:t>
            </w:r>
            <w:r>
              <w:rPr>
                <w:rFonts w:ascii="宋体" w:hAnsi="宋体"/>
                <w:color w:val="auto"/>
                <w:sz w:val="18"/>
                <w:szCs w:val="18"/>
                <w:highlight w:val="none"/>
              </w:rPr>
              <w:t>项考核内</w:t>
            </w:r>
            <w:r>
              <w:rPr>
                <w:rFonts w:hint="eastAsia" w:ascii="宋体" w:hAnsi="宋体"/>
                <w:color w:val="auto"/>
                <w:sz w:val="18"/>
                <w:szCs w:val="18"/>
                <w:highlight w:val="none"/>
              </w:rPr>
              <w:t xml:space="preserve"> </w:t>
            </w:r>
            <w:r>
              <w:rPr>
                <w:rFonts w:ascii="宋体" w:hAnsi="宋体"/>
                <w:color w:val="auto"/>
                <w:sz w:val="18"/>
                <w:szCs w:val="18"/>
                <w:highlight w:val="none"/>
              </w:rPr>
              <w:t>容</w:t>
            </w:r>
          </w:p>
        </w:tc>
        <w:tc>
          <w:tcPr>
            <w:tcW w:w="1031" w:type="dxa"/>
            <w:vAlign w:val="center"/>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子</w:t>
            </w:r>
            <w:r>
              <w:rPr>
                <w:rFonts w:ascii="宋体" w:hAnsi="宋体"/>
                <w:color w:val="auto"/>
                <w:sz w:val="18"/>
                <w:szCs w:val="18"/>
                <w:highlight w:val="none"/>
              </w:rPr>
              <w:t>分项</w:t>
            </w:r>
          </w:p>
          <w:p>
            <w:pPr>
              <w:ind w:firstLine="0" w:firstLineChars="0"/>
              <w:rPr>
                <w:rFonts w:hint="eastAsia" w:ascii="宋体" w:hAnsi="宋体"/>
                <w:color w:val="auto"/>
                <w:sz w:val="18"/>
                <w:szCs w:val="18"/>
                <w:highlight w:val="none"/>
              </w:rPr>
            </w:pPr>
            <w:r>
              <w:rPr>
                <w:rFonts w:ascii="宋体" w:hAnsi="宋体"/>
                <w:color w:val="auto"/>
                <w:sz w:val="18"/>
                <w:szCs w:val="18"/>
                <w:highlight w:val="none"/>
              </w:rPr>
              <w:t>考核内容</w:t>
            </w:r>
          </w:p>
        </w:tc>
        <w:tc>
          <w:tcPr>
            <w:tcW w:w="4945" w:type="dxa"/>
            <w:vAlign w:val="center"/>
          </w:tcPr>
          <w:p>
            <w:pPr>
              <w:ind w:firstLine="1027" w:firstLineChars="571"/>
              <w:rPr>
                <w:rFonts w:hint="eastAsia" w:ascii="宋体" w:hAnsi="宋体"/>
                <w:color w:val="auto"/>
                <w:sz w:val="18"/>
                <w:szCs w:val="18"/>
                <w:highlight w:val="none"/>
                <w:lang w:val="en-US"/>
              </w:rPr>
            </w:pPr>
            <w:r>
              <w:rPr>
                <w:rFonts w:hint="eastAsia" w:ascii="宋体" w:hAnsi="宋体"/>
                <w:color w:val="auto"/>
                <w:sz w:val="18"/>
                <w:szCs w:val="18"/>
                <w:highlight w:val="none"/>
                <w:lang w:val="en-US" w:eastAsia="zh-CN"/>
              </w:rPr>
              <w:t>考核内容</w:t>
            </w:r>
          </w:p>
        </w:tc>
        <w:tc>
          <w:tcPr>
            <w:tcW w:w="1841" w:type="dxa"/>
            <w:vAlign w:val="center"/>
          </w:tcPr>
          <w:p>
            <w:pPr>
              <w:ind w:firstLine="0" w:firstLineChars="0"/>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考核标准（视违约情况处罚）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5" w:type="dxa"/>
            <w:vMerge w:val="restart"/>
            <w:vAlign w:val="center"/>
          </w:tcPr>
          <w:p>
            <w:pPr>
              <w:ind w:firstLine="0" w:firstLineChars="0"/>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合同履约</w:t>
            </w:r>
          </w:p>
        </w:tc>
        <w:tc>
          <w:tcPr>
            <w:tcW w:w="1031" w:type="dxa"/>
            <w:vMerge w:val="restart"/>
            <w:vAlign w:val="center"/>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监理机构组成质量</w:t>
            </w: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rPr>
              <w:t>项目总监与合同约定不符</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未提出变更申请材料</w:t>
            </w:r>
          </w:p>
        </w:tc>
        <w:tc>
          <w:tcPr>
            <w:tcW w:w="1841" w:type="dxa"/>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5" w:type="dxa"/>
            <w:vMerge w:val="continue"/>
          </w:tcPr>
          <w:p>
            <w:pPr>
              <w:ind w:firstLine="360"/>
              <w:rPr>
                <w:rFonts w:hint="eastAsia"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项目总监、监理人员出勤率不满足合同约定</w:t>
            </w:r>
          </w:p>
        </w:tc>
        <w:tc>
          <w:tcPr>
            <w:tcW w:w="1841" w:type="dxa"/>
            <w:vAlign w:val="center"/>
          </w:tcPr>
          <w:p>
            <w:pPr>
              <w:rPr>
                <w:rFonts w:hint="default" w:ascii="宋体" w:hAnsi="宋体"/>
                <w:color w:val="auto"/>
                <w:sz w:val="18"/>
                <w:szCs w:val="18"/>
                <w:highlight w:val="none"/>
                <w:lang w:val="en-US"/>
              </w:rPr>
            </w:pPr>
            <w:r>
              <w:rPr>
                <w:rFonts w:hint="eastAsia" w:ascii="宋体" w:hAnsi="宋体"/>
                <w:color w:val="auto"/>
                <w:sz w:val="18"/>
                <w:szCs w:val="18"/>
                <w:highlight w:val="none"/>
                <w:lang w:val="en-US" w:eastAsia="zh-CN"/>
              </w:rPr>
              <w:t>依据合同条款执行，无对应条款参照50-200元/天。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5" w:type="dxa"/>
            <w:vMerge w:val="continue"/>
          </w:tcPr>
          <w:p>
            <w:pPr>
              <w:ind w:firstLine="360"/>
              <w:rPr>
                <w:rFonts w:hint="eastAsia"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专业监理工程师资质、资格不符合要求</w:t>
            </w:r>
          </w:p>
        </w:tc>
        <w:tc>
          <w:tcPr>
            <w:tcW w:w="1841" w:type="dxa"/>
            <w:vAlign w:val="center"/>
          </w:tcPr>
          <w:p>
            <w:pPr>
              <w:rPr>
                <w:rFonts w:ascii="宋体" w:hAnsi="宋体"/>
                <w:color w:val="auto"/>
                <w:sz w:val="18"/>
                <w:szCs w:val="18"/>
                <w:highlight w:val="none"/>
                <w:lang w:val="en-US"/>
              </w:rPr>
            </w:pPr>
            <w:r>
              <w:rPr>
                <w:rFonts w:hint="eastAsia" w:ascii="宋体" w:hAnsi="宋体"/>
                <w:color w:val="auto"/>
                <w:sz w:val="18"/>
                <w:szCs w:val="18"/>
                <w:highlight w:val="none"/>
                <w:lang w:val="en-US" w:eastAsia="zh-CN"/>
              </w:rPr>
              <w:t>处罚500元/人，并限期更换满足资质要求监理工程师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05" w:type="dxa"/>
            <w:vMerge w:val="continue"/>
          </w:tcPr>
          <w:p>
            <w:pPr>
              <w:ind w:firstLine="360"/>
              <w:rPr>
                <w:rFonts w:hint="eastAsia"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rPr>
              <w:t>监理人员分期配置人数与合同不符</w:t>
            </w:r>
          </w:p>
        </w:tc>
        <w:tc>
          <w:tcPr>
            <w:tcW w:w="1841" w:type="dxa"/>
            <w:vAlign w:val="center"/>
          </w:tcPr>
          <w:p>
            <w:pPr>
              <w:rPr>
                <w:rFonts w:ascii="宋体" w:hAnsi="宋体"/>
                <w:color w:val="auto"/>
                <w:sz w:val="18"/>
                <w:szCs w:val="18"/>
                <w:highlight w:val="none"/>
              </w:rPr>
            </w:pPr>
            <w:r>
              <w:rPr>
                <w:rFonts w:hint="eastAsia" w:ascii="宋体" w:hAnsi="宋体"/>
                <w:color w:val="auto"/>
                <w:sz w:val="18"/>
                <w:szCs w:val="18"/>
                <w:highlight w:val="none"/>
                <w:lang w:val="en-US" w:eastAsia="zh-CN"/>
              </w:rPr>
              <w:t>处罚100-500元/人.次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5" w:type="dxa"/>
            <w:vMerge w:val="restart"/>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监理</w:t>
            </w:r>
            <w:r>
              <w:rPr>
                <w:rFonts w:hint="eastAsia" w:ascii="宋体" w:hAnsi="宋体"/>
                <w:color w:val="auto"/>
                <w:sz w:val="18"/>
                <w:szCs w:val="18"/>
                <w:highlight w:val="none"/>
                <w:lang w:val="en-US" w:eastAsia="zh-CN"/>
              </w:rPr>
              <w:t>日常工作</w:t>
            </w:r>
          </w:p>
          <w:p>
            <w:pPr>
              <w:ind w:firstLine="0" w:firstLineChars="0"/>
              <w:rPr>
                <w:rFonts w:hint="eastAsia" w:ascii="宋体" w:hAnsi="宋体"/>
                <w:color w:val="auto"/>
                <w:sz w:val="18"/>
                <w:szCs w:val="18"/>
                <w:highlight w:val="none"/>
              </w:rPr>
            </w:pPr>
          </w:p>
          <w:p>
            <w:pPr>
              <w:ind w:firstLine="360"/>
              <w:rPr>
                <w:rFonts w:hint="eastAsia"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施工组织设</w:t>
            </w:r>
            <w:r>
              <w:rPr>
                <w:rFonts w:hint="eastAsia" w:ascii="宋体" w:hAnsi="宋体"/>
                <w:color w:val="auto"/>
                <w:sz w:val="18"/>
                <w:szCs w:val="18"/>
                <w:highlight w:val="none"/>
              </w:rPr>
              <w:t>计（专项方案、技术交底）审</w:t>
            </w:r>
            <w:r>
              <w:rPr>
                <w:rFonts w:ascii="宋体" w:hAnsi="宋体"/>
                <w:color w:val="auto"/>
                <w:sz w:val="18"/>
                <w:szCs w:val="18"/>
                <w:highlight w:val="none"/>
              </w:rPr>
              <w:t>批</w:t>
            </w:r>
          </w:p>
        </w:tc>
        <w:tc>
          <w:tcPr>
            <w:tcW w:w="4945" w:type="dxa"/>
            <w:vAlign w:val="center"/>
          </w:tcPr>
          <w:p>
            <w:pPr>
              <w:rPr>
                <w:rFonts w:hint="eastAsia" w:ascii="宋体" w:hAnsi="宋体"/>
                <w:color w:val="auto"/>
                <w:sz w:val="18"/>
                <w:szCs w:val="18"/>
                <w:highlight w:val="none"/>
              </w:rPr>
            </w:pPr>
            <w:r>
              <w:rPr>
                <w:rFonts w:hint="eastAsia" w:ascii="宋体" w:hAnsi="宋体"/>
                <w:color w:val="auto"/>
                <w:sz w:val="18"/>
                <w:szCs w:val="18"/>
                <w:highlight w:val="none"/>
              </w:rPr>
              <w:t>未督促（要求）施工单位在规定时间或工序开始前进行施工组织设计（专项方案、图纸会审、技术交底等）</w:t>
            </w:r>
          </w:p>
        </w:tc>
        <w:tc>
          <w:tcPr>
            <w:tcW w:w="1841" w:type="dxa"/>
            <w:vAlign w:val="center"/>
          </w:tcPr>
          <w:p>
            <w:pPr>
              <w:rPr>
                <w:rFonts w:hint="eastAsia"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05" w:type="dxa"/>
            <w:vMerge w:val="continue"/>
            <w:vAlign w:val="center"/>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rPr>
                <w:rFonts w:ascii="宋体" w:hAnsi="宋体"/>
                <w:color w:val="auto"/>
                <w:sz w:val="18"/>
                <w:szCs w:val="18"/>
                <w:highlight w:val="none"/>
              </w:rPr>
            </w:pPr>
            <w:r>
              <w:rPr>
                <w:rFonts w:ascii="宋体" w:hAnsi="宋体"/>
                <w:color w:val="auto"/>
                <w:sz w:val="18"/>
                <w:szCs w:val="18"/>
                <w:highlight w:val="none"/>
              </w:rPr>
              <w:t>未在</w:t>
            </w:r>
            <w:r>
              <w:rPr>
                <w:rFonts w:hint="eastAsia" w:ascii="宋体" w:hAnsi="宋体"/>
                <w:color w:val="auto"/>
                <w:sz w:val="18"/>
                <w:szCs w:val="18"/>
                <w:highlight w:val="none"/>
              </w:rPr>
              <w:t>7个工作日内审批施工单位提交的</w:t>
            </w:r>
            <w:r>
              <w:rPr>
                <w:rFonts w:ascii="宋体" w:hAnsi="宋体"/>
                <w:color w:val="auto"/>
                <w:sz w:val="18"/>
                <w:szCs w:val="18"/>
                <w:highlight w:val="none"/>
              </w:rPr>
              <w:t>《施工组织设计》或未在</w:t>
            </w:r>
            <w:r>
              <w:rPr>
                <w:rFonts w:hint="eastAsia" w:ascii="宋体" w:hAnsi="宋体"/>
                <w:color w:val="auto"/>
                <w:sz w:val="18"/>
                <w:szCs w:val="18"/>
                <w:highlight w:val="none"/>
              </w:rPr>
              <w:t xml:space="preserve">3个工作日内审核专项方案、技术交底、图纸会审等 </w:t>
            </w:r>
          </w:p>
        </w:tc>
        <w:tc>
          <w:tcPr>
            <w:tcW w:w="1841" w:type="dxa"/>
            <w:vAlign w:val="center"/>
          </w:tcPr>
          <w:p>
            <w:pPr>
              <w:rPr>
                <w:rFonts w:ascii="宋体" w:hAnsi="宋体"/>
                <w:color w:val="auto"/>
                <w:sz w:val="18"/>
                <w:szCs w:val="18"/>
                <w:highlight w:val="none"/>
              </w:rPr>
            </w:pPr>
            <w:r>
              <w:rPr>
                <w:rFonts w:ascii="宋体" w:hAnsi="宋体"/>
                <w:color w:val="auto"/>
                <w:sz w:val="18"/>
                <w:szCs w:val="18"/>
                <w:highlight w:val="none"/>
              </w:rPr>
              <w:t>每延误一日</w:t>
            </w: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rPr>
                <w:rFonts w:ascii="宋体" w:hAnsi="宋体"/>
                <w:color w:val="auto"/>
                <w:sz w:val="18"/>
                <w:szCs w:val="18"/>
                <w:highlight w:val="none"/>
              </w:rPr>
            </w:pPr>
            <w:r>
              <w:rPr>
                <w:rFonts w:ascii="宋体" w:hAnsi="宋体"/>
                <w:color w:val="auto"/>
                <w:sz w:val="18"/>
                <w:szCs w:val="18"/>
                <w:highlight w:val="none"/>
              </w:rPr>
              <w:t>经监理初审或批准的《施工组织设计》</w:t>
            </w:r>
            <w:r>
              <w:rPr>
                <w:rFonts w:hint="eastAsia" w:ascii="宋体" w:hAnsi="宋体"/>
                <w:color w:val="auto"/>
                <w:sz w:val="18"/>
                <w:szCs w:val="18"/>
                <w:highlight w:val="none"/>
              </w:rPr>
              <w:t>（方案、交底等）</w:t>
            </w:r>
            <w:r>
              <w:rPr>
                <w:rFonts w:ascii="宋体" w:hAnsi="宋体"/>
                <w:color w:val="auto"/>
                <w:sz w:val="18"/>
                <w:szCs w:val="18"/>
                <w:highlight w:val="none"/>
              </w:rPr>
              <w:t>中技术方案、施工工艺、工期安排、特殊工艺处理等明显不合理</w:t>
            </w:r>
          </w:p>
        </w:tc>
        <w:tc>
          <w:tcPr>
            <w:tcW w:w="1841" w:type="dxa"/>
            <w:vAlign w:val="center"/>
          </w:tcPr>
          <w:p>
            <w:pPr>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原材料质量控制</w:t>
            </w: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rPr>
              <w:t>材料进场2天后</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监理未督促施工单位提供</w:t>
            </w:r>
            <w:r>
              <w:rPr>
                <w:rFonts w:hint="eastAsia" w:ascii="宋体" w:hAnsi="宋体"/>
                <w:color w:val="auto"/>
                <w:sz w:val="18"/>
                <w:szCs w:val="18"/>
                <w:highlight w:val="none"/>
              </w:rPr>
              <w:t>《工程材料/构配件/设备报审表》或没有试验合格文件擅自用于工程上</w:t>
            </w:r>
            <w:r>
              <w:rPr>
                <w:rFonts w:hint="eastAsia" w:ascii="宋体" w:hAnsi="宋体"/>
                <w:color w:val="auto"/>
                <w:sz w:val="18"/>
                <w:szCs w:val="18"/>
                <w:highlight w:val="none"/>
                <w:lang w:val="en-US" w:eastAsia="zh-CN"/>
              </w:rPr>
              <w:t>,或对现场清退的不符合要求材料未形成纸质记录，导致后期损失的。</w:t>
            </w:r>
          </w:p>
        </w:tc>
        <w:tc>
          <w:tcPr>
            <w:tcW w:w="1841" w:type="dxa"/>
            <w:vAlign w:val="center"/>
          </w:tcPr>
          <w:p>
            <w:pPr>
              <w:ind w:firstLine="0"/>
              <w:rPr>
                <w:rFonts w:ascii="宋体" w:hAnsi="宋体"/>
                <w:color w:val="auto"/>
                <w:sz w:val="18"/>
                <w:szCs w:val="18"/>
                <w:highlight w:val="none"/>
                <w:lang w:val="en-US"/>
              </w:rPr>
            </w:pPr>
            <w:r>
              <w:rPr>
                <w:rFonts w:hint="eastAsia" w:ascii="宋体" w:hAnsi="宋体"/>
                <w:color w:val="auto"/>
                <w:sz w:val="18"/>
                <w:szCs w:val="18"/>
                <w:highlight w:val="none"/>
                <w:lang w:val="en-US" w:eastAsia="zh-CN"/>
              </w:rPr>
              <w:t>1、擅自使用材料处罚100-500元/次，对不符合材料未签署不符合单并形成有效记录的扣款200-1000元/次，导致后期建设单位经济损失的扣款1000-5000元/次。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监理审查《工程材料/构配件/设备报审表》不认真负责</w:t>
            </w:r>
            <w:r>
              <w:rPr>
                <w:rFonts w:hint="eastAsia" w:ascii="宋体" w:hAnsi="宋体"/>
                <w:color w:val="auto"/>
                <w:sz w:val="18"/>
                <w:szCs w:val="18"/>
                <w:highlight w:val="none"/>
                <w:lang w:eastAsia="zh-CN"/>
              </w:rPr>
              <w:t>。</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监理见证取样弄虚作假</w:t>
            </w:r>
            <w:r>
              <w:rPr>
                <w:rFonts w:hint="eastAsia" w:ascii="宋体" w:hAnsi="宋体"/>
                <w:color w:val="auto"/>
                <w:sz w:val="18"/>
                <w:szCs w:val="18"/>
                <w:highlight w:val="none"/>
                <w:lang w:eastAsia="zh-CN"/>
              </w:rPr>
              <w:t>、</w:t>
            </w:r>
            <w:r>
              <w:rPr>
                <w:rFonts w:hint="eastAsia" w:ascii="宋体" w:hAnsi="宋体"/>
                <w:color w:val="auto"/>
                <w:sz w:val="18"/>
                <w:szCs w:val="18"/>
                <w:highlight w:val="none"/>
              </w:rPr>
              <w:t>流于形式</w:t>
            </w:r>
            <w:r>
              <w:rPr>
                <w:rFonts w:hint="eastAsia" w:ascii="宋体" w:hAnsi="宋体"/>
                <w:color w:val="auto"/>
                <w:sz w:val="18"/>
                <w:szCs w:val="18"/>
                <w:highlight w:val="none"/>
                <w:lang w:eastAsia="zh-CN"/>
              </w:rPr>
              <w:t>。</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jc w:val="left"/>
              <w:rPr>
                <w:rFonts w:hint="eastAsia" w:ascii="宋体" w:hAnsi="宋体"/>
                <w:color w:val="auto"/>
                <w:sz w:val="18"/>
                <w:szCs w:val="18"/>
                <w:highlight w:val="none"/>
              </w:rPr>
            </w:pPr>
            <w:r>
              <w:rPr>
                <w:rFonts w:hint="eastAsia" w:ascii="宋体" w:hAnsi="宋体"/>
                <w:color w:val="auto"/>
                <w:sz w:val="18"/>
                <w:szCs w:val="18"/>
                <w:highlight w:val="none"/>
              </w:rPr>
              <w:t>工程使用的材料与报验材料或与</w:t>
            </w:r>
            <w:r>
              <w:rPr>
                <w:rFonts w:hint="eastAsia" w:ascii="宋体" w:hAnsi="宋体"/>
                <w:color w:val="auto"/>
                <w:sz w:val="18"/>
                <w:szCs w:val="18"/>
                <w:highlight w:val="none"/>
                <w:lang w:val="en-US" w:eastAsia="zh-CN"/>
              </w:rPr>
              <w:t>合同规定</w:t>
            </w:r>
            <w:r>
              <w:rPr>
                <w:rFonts w:hint="eastAsia" w:ascii="宋体" w:hAnsi="宋体"/>
                <w:color w:val="auto"/>
                <w:sz w:val="18"/>
                <w:szCs w:val="18"/>
                <w:highlight w:val="none"/>
              </w:rPr>
              <w:t>不符，监理未发现</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jc w:val="left"/>
              <w:rPr>
                <w:rFonts w:hint="eastAsia" w:ascii="宋体" w:hAnsi="宋体"/>
                <w:color w:val="auto"/>
                <w:sz w:val="18"/>
                <w:szCs w:val="18"/>
                <w:highlight w:val="none"/>
              </w:rPr>
            </w:pPr>
            <w:r>
              <w:rPr>
                <w:rFonts w:hint="eastAsia" w:ascii="宋体" w:hAnsi="宋体"/>
                <w:color w:val="auto"/>
                <w:sz w:val="18"/>
                <w:szCs w:val="18"/>
                <w:highlight w:val="none"/>
              </w:rPr>
              <w:t>施工单位在施工过程中擅自变更材料</w:t>
            </w:r>
            <w:r>
              <w:rPr>
                <w:rFonts w:hint="eastAsia" w:ascii="宋体" w:hAnsi="宋体"/>
                <w:color w:val="auto"/>
                <w:sz w:val="18"/>
                <w:szCs w:val="18"/>
                <w:highlight w:val="none"/>
                <w:lang w:eastAsia="zh-CN"/>
              </w:rPr>
              <w:t>、</w:t>
            </w:r>
            <w:r>
              <w:rPr>
                <w:rFonts w:hint="eastAsia" w:ascii="宋体" w:hAnsi="宋体"/>
                <w:color w:val="auto"/>
                <w:sz w:val="18"/>
                <w:szCs w:val="18"/>
                <w:highlight w:val="none"/>
              </w:rPr>
              <w:t>弄虚作假而监理未发现</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工程</w:t>
            </w:r>
            <w:r>
              <w:rPr>
                <w:rFonts w:ascii="宋体" w:hAnsi="宋体"/>
                <w:color w:val="auto"/>
                <w:sz w:val="18"/>
                <w:szCs w:val="18"/>
                <w:highlight w:val="none"/>
              </w:rPr>
              <w:t>质量控</w:t>
            </w:r>
            <w:r>
              <w:rPr>
                <w:rFonts w:hint="eastAsia" w:ascii="宋体" w:hAnsi="宋体"/>
                <w:color w:val="auto"/>
                <w:sz w:val="18"/>
                <w:szCs w:val="18"/>
                <w:highlight w:val="none"/>
              </w:rPr>
              <w:t>制</w:t>
            </w:r>
            <w:r>
              <w:rPr>
                <w:rFonts w:ascii="宋体" w:hAnsi="宋体"/>
                <w:color w:val="auto"/>
                <w:sz w:val="18"/>
                <w:szCs w:val="18"/>
                <w:highlight w:val="none"/>
              </w:rPr>
              <w:t>与</w:t>
            </w:r>
            <w:r>
              <w:rPr>
                <w:rFonts w:hint="eastAsia" w:ascii="宋体" w:hAnsi="宋体"/>
                <w:color w:val="auto"/>
                <w:sz w:val="18"/>
                <w:szCs w:val="18"/>
                <w:highlight w:val="none"/>
              </w:rPr>
              <w:t>质量</w:t>
            </w:r>
            <w:r>
              <w:rPr>
                <w:rFonts w:ascii="宋体" w:hAnsi="宋体"/>
                <w:color w:val="auto"/>
                <w:sz w:val="18"/>
                <w:szCs w:val="18"/>
                <w:highlight w:val="none"/>
              </w:rPr>
              <w:t>验收</w:t>
            </w:r>
          </w:p>
        </w:tc>
        <w:tc>
          <w:tcPr>
            <w:tcW w:w="4945" w:type="dxa"/>
            <w:vAlign w:val="center"/>
          </w:tcPr>
          <w:p>
            <w:pPr>
              <w:jc w:val="left"/>
              <w:rPr>
                <w:rFonts w:ascii="宋体" w:hAnsi="宋体"/>
                <w:color w:val="auto"/>
                <w:sz w:val="18"/>
                <w:szCs w:val="18"/>
                <w:highlight w:val="none"/>
              </w:rPr>
            </w:pPr>
            <w:r>
              <w:rPr>
                <w:rFonts w:ascii="宋体" w:hAnsi="宋体"/>
                <w:color w:val="auto"/>
                <w:sz w:val="18"/>
                <w:szCs w:val="18"/>
                <w:highlight w:val="none"/>
              </w:rPr>
              <w:t>未在</w:t>
            </w:r>
            <w:r>
              <w:rPr>
                <w:rFonts w:hint="eastAsia" w:ascii="宋体" w:hAnsi="宋体"/>
                <w:color w:val="auto"/>
                <w:sz w:val="18"/>
                <w:szCs w:val="18"/>
                <w:highlight w:val="none"/>
              </w:rPr>
              <w:t>2个工作日内</w:t>
            </w:r>
            <w:r>
              <w:rPr>
                <w:rFonts w:ascii="宋体" w:hAnsi="宋体"/>
                <w:color w:val="auto"/>
                <w:sz w:val="18"/>
                <w:szCs w:val="18"/>
                <w:highlight w:val="none"/>
              </w:rPr>
              <w:t>批复施工单位提交的</w:t>
            </w:r>
            <w:r>
              <w:rPr>
                <w:rFonts w:hint="eastAsia" w:ascii="宋体" w:hAnsi="宋体"/>
                <w:color w:val="auto"/>
                <w:sz w:val="18"/>
                <w:szCs w:val="18"/>
                <w:highlight w:val="none"/>
                <w:lang w:val="en-US" w:eastAsia="zh-CN"/>
              </w:rPr>
              <w:t>《</w:t>
            </w:r>
            <w:r>
              <w:rPr>
                <w:rFonts w:ascii="宋体" w:hAnsi="宋体"/>
                <w:color w:val="auto"/>
                <w:sz w:val="18"/>
                <w:szCs w:val="18"/>
                <w:highlight w:val="none"/>
              </w:rPr>
              <w:t>分项工程开工申请单</w:t>
            </w:r>
            <w:r>
              <w:rPr>
                <w:rFonts w:hint="eastAsia" w:ascii="宋体" w:hAnsi="宋体"/>
                <w:color w:val="auto"/>
                <w:sz w:val="18"/>
                <w:szCs w:val="18"/>
                <w:highlight w:val="none"/>
              </w:rPr>
              <w:t>、</w:t>
            </w:r>
            <w:r>
              <w:rPr>
                <w:rFonts w:hint="eastAsia" w:ascii="宋体" w:hAnsi="宋体"/>
                <w:color w:val="auto"/>
                <w:sz w:val="18"/>
                <w:szCs w:val="18"/>
                <w:highlight w:val="none"/>
                <w:u w:val="single"/>
              </w:rPr>
              <w:t xml:space="preserve">        </w:t>
            </w:r>
            <w:r>
              <w:rPr>
                <w:rFonts w:hint="eastAsia" w:ascii="宋体" w:hAnsi="宋体"/>
                <w:color w:val="auto"/>
                <w:sz w:val="18"/>
                <w:szCs w:val="18"/>
                <w:highlight w:val="none"/>
              </w:rPr>
              <w:t>工程报验申请表</w:t>
            </w:r>
            <w:r>
              <w:rPr>
                <w:rFonts w:hint="eastAsia" w:ascii="宋体" w:hAnsi="宋体"/>
                <w:color w:val="auto"/>
                <w:sz w:val="18"/>
                <w:szCs w:val="18"/>
                <w:highlight w:val="none"/>
                <w:lang w:val="en-US" w:eastAsia="zh-CN"/>
              </w:rPr>
              <w:t>》</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分项工程明显不具备开工条件而</w:t>
            </w:r>
            <w:r>
              <w:rPr>
                <w:rFonts w:hint="eastAsia" w:ascii="宋体" w:hAnsi="宋体"/>
                <w:color w:val="auto"/>
                <w:sz w:val="18"/>
                <w:szCs w:val="18"/>
                <w:highlight w:val="none"/>
              </w:rPr>
              <w:t>允许</w:t>
            </w:r>
            <w:r>
              <w:rPr>
                <w:rFonts w:ascii="宋体" w:hAnsi="宋体"/>
                <w:color w:val="auto"/>
                <w:sz w:val="18"/>
                <w:szCs w:val="18"/>
                <w:highlight w:val="none"/>
              </w:rPr>
              <w:t>开工</w:t>
            </w:r>
            <w:r>
              <w:rPr>
                <w:rFonts w:hint="eastAsia" w:ascii="宋体" w:hAnsi="宋体"/>
                <w:color w:val="auto"/>
                <w:sz w:val="18"/>
                <w:szCs w:val="18"/>
                <w:highlight w:val="none"/>
              </w:rPr>
              <w:t>或者没有阻止开工</w:t>
            </w:r>
            <w:r>
              <w:rPr>
                <w:rFonts w:hint="eastAsia" w:ascii="宋体" w:hAnsi="宋体"/>
                <w:color w:val="auto"/>
                <w:sz w:val="18"/>
                <w:szCs w:val="18"/>
                <w:highlight w:val="none"/>
                <w:lang w:eastAsia="zh-CN"/>
              </w:rPr>
              <w:t>。</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jc w:val="left"/>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未及时发现图纸或技术变更中错、漏、碰、缺问题，造成工程质量返工或工期延误的</w:t>
            </w:r>
            <w:r>
              <w:rPr>
                <w:rFonts w:hint="eastAsia" w:ascii="宋体" w:hAnsi="宋体"/>
                <w:color w:val="auto"/>
                <w:sz w:val="18"/>
                <w:szCs w:val="18"/>
                <w:highlight w:val="none"/>
                <w:lang w:eastAsia="zh-CN"/>
              </w:rPr>
              <w:t>。</w:t>
            </w:r>
          </w:p>
        </w:tc>
        <w:tc>
          <w:tcPr>
            <w:tcW w:w="1841"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施工单位未按图纸、变更或相关规范、规定和样板施工的，监理未及时发现造成工程质量返工或工期延误的</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设备选型错误、施工不满足图纸或技术规范要求，监理未发现、未制止、未处理的。</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rPr>
              <w:t>钢筋规格、数量、型号与设计或设计变更不符</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监理单位未发现、未制止、未处理或默认的。</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验收中</w:t>
            </w:r>
            <w:r>
              <w:rPr>
                <w:rFonts w:hint="eastAsia" w:ascii="宋体" w:hAnsi="宋体"/>
                <w:color w:val="auto"/>
                <w:sz w:val="18"/>
                <w:szCs w:val="18"/>
                <w:highlight w:val="none"/>
              </w:rPr>
              <w:t>监理</w:t>
            </w:r>
            <w:r>
              <w:rPr>
                <w:rFonts w:ascii="宋体" w:hAnsi="宋体"/>
                <w:color w:val="auto"/>
                <w:sz w:val="18"/>
                <w:szCs w:val="18"/>
                <w:highlight w:val="none"/>
              </w:rPr>
              <w:t>未</w:t>
            </w:r>
            <w:r>
              <w:rPr>
                <w:rFonts w:hint="eastAsia" w:ascii="宋体" w:hAnsi="宋体"/>
                <w:color w:val="auto"/>
                <w:sz w:val="18"/>
                <w:szCs w:val="18"/>
                <w:highlight w:val="none"/>
              </w:rPr>
              <w:t>对所验收部位进行</w:t>
            </w:r>
            <w:r>
              <w:rPr>
                <w:rFonts w:ascii="宋体" w:hAnsi="宋体"/>
                <w:color w:val="auto"/>
                <w:sz w:val="18"/>
                <w:szCs w:val="18"/>
                <w:highlight w:val="none"/>
              </w:rPr>
              <w:t>实测</w:t>
            </w:r>
            <w:r>
              <w:rPr>
                <w:rFonts w:hint="eastAsia" w:ascii="宋体" w:hAnsi="宋体"/>
                <w:color w:val="auto"/>
                <w:sz w:val="18"/>
                <w:szCs w:val="18"/>
                <w:highlight w:val="none"/>
              </w:rPr>
              <w:t>、</w:t>
            </w:r>
            <w:r>
              <w:rPr>
                <w:rFonts w:ascii="宋体" w:hAnsi="宋体"/>
                <w:color w:val="auto"/>
                <w:sz w:val="18"/>
                <w:szCs w:val="18"/>
                <w:highlight w:val="none"/>
              </w:rPr>
              <w:t>实量；</w:t>
            </w:r>
            <w:r>
              <w:rPr>
                <w:rFonts w:hint="eastAsia" w:ascii="宋体" w:hAnsi="宋体"/>
                <w:color w:val="auto"/>
                <w:sz w:val="18"/>
                <w:szCs w:val="18"/>
                <w:highlight w:val="none"/>
              </w:rPr>
              <w:t>监理验收合格后建设单位抽查该部位合格率小于规范合格要求的</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督促工程整改类的“监理通知”中未注明“监理通知回复”期限（每单扣</w:t>
            </w:r>
            <w:r>
              <w:rPr>
                <w:rFonts w:hint="eastAsia" w:ascii="宋体" w:hAnsi="宋体"/>
                <w:color w:val="auto"/>
                <w:sz w:val="18"/>
                <w:szCs w:val="18"/>
                <w:highlight w:val="none"/>
                <w:lang w:val="en-US" w:eastAsia="zh-CN"/>
              </w:rPr>
              <w:t>100元</w:t>
            </w:r>
            <w:r>
              <w:rPr>
                <w:rFonts w:hint="eastAsia" w:ascii="宋体" w:hAnsi="宋体"/>
                <w:color w:val="auto"/>
                <w:sz w:val="18"/>
                <w:szCs w:val="18"/>
                <w:highlight w:val="none"/>
              </w:rPr>
              <w:t>）；未按“监理通知”整改或整改后未回复“监理通知”，监理单位采取妥协的（每</w:t>
            </w:r>
            <w:r>
              <w:rPr>
                <w:rFonts w:hint="eastAsia" w:ascii="宋体" w:hAnsi="宋体"/>
                <w:color w:val="auto"/>
                <w:sz w:val="18"/>
                <w:szCs w:val="18"/>
                <w:highlight w:val="none"/>
                <w:lang w:val="en-US" w:eastAsia="zh-CN"/>
              </w:rPr>
              <w:t>次</w:t>
            </w:r>
            <w:r>
              <w:rPr>
                <w:rFonts w:hint="eastAsia"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numPr>
                <w:ilvl w:val="0"/>
                <w:numId w:val="17"/>
              </w:numPr>
              <w:ind w:firstLine="0"/>
              <w:jc w:val="left"/>
              <w:rPr>
                <w:rFonts w:hint="eastAsia" w:ascii="宋体" w:hAnsi="宋体"/>
                <w:color w:val="auto"/>
                <w:sz w:val="18"/>
                <w:szCs w:val="18"/>
                <w:highlight w:val="none"/>
                <w:lang w:val="en-US" w:eastAsia="zh-CN"/>
              </w:rPr>
            </w:pPr>
            <w:r>
              <w:rPr>
                <w:rFonts w:ascii="宋体" w:hAnsi="宋体"/>
                <w:color w:val="auto"/>
                <w:sz w:val="18"/>
                <w:szCs w:val="18"/>
                <w:highlight w:val="none"/>
              </w:rPr>
              <w:t>已验收工程资料不齐全、不真实</w:t>
            </w:r>
            <w:r>
              <w:rPr>
                <w:rFonts w:hint="eastAsia" w:ascii="宋体" w:hAnsi="宋体"/>
                <w:color w:val="auto"/>
                <w:sz w:val="18"/>
                <w:szCs w:val="18"/>
                <w:highlight w:val="none"/>
                <w:lang w:val="en-US" w:eastAsia="zh-CN"/>
              </w:rPr>
              <w:t>；</w:t>
            </w:r>
          </w:p>
          <w:p>
            <w:pPr>
              <w:numPr>
                <w:ilvl w:val="0"/>
                <w:numId w:val="17"/>
              </w:numPr>
              <w:ind w:firstLine="0"/>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工程量签证该收未收，收而不实；</w:t>
            </w:r>
          </w:p>
          <w:p>
            <w:pPr>
              <w:numPr>
                <w:ilvl w:val="0"/>
                <w:numId w:val="17"/>
              </w:numPr>
              <w:ind w:firstLine="0"/>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现场工程量未经核实就签署验收意见；</w:t>
            </w:r>
          </w:p>
          <w:p>
            <w:pPr>
              <w:numPr>
                <w:ilvl w:val="0"/>
                <w:numId w:val="17"/>
              </w:numPr>
              <w:ind w:firstLine="0"/>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经甲方现场核实签证工程量与现场不符；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满足条件之一，处罚500-1000元/次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rPr>
              <w:t>施工单位</w:t>
            </w:r>
            <w:r>
              <w:rPr>
                <w:rFonts w:ascii="宋体" w:hAnsi="宋体"/>
                <w:color w:val="auto"/>
                <w:sz w:val="18"/>
                <w:szCs w:val="18"/>
                <w:highlight w:val="none"/>
              </w:rPr>
              <w:t>试验、检测频率</w:t>
            </w:r>
            <w:r>
              <w:rPr>
                <w:rFonts w:hint="eastAsia" w:ascii="宋体" w:hAnsi="宋体"/>
                <w:color w:val="auto"/>
                <w:sz w:val="18"/>
                <w:szCs w:val="18"/>
                <w:highlight w:val="none"/>
                <w:lang w:val="en-US" w:eastAsia="zh-CN"/>
              </w:rPr>
              <w:t>不足</w:t>
            </w:r>
            <w:r>
              <w:rPr>
                <w:rFonts w:hint="eastAsia" w:ascii="宋体" w:hAnsi="宋体"/>
                <w:color w:val="auto"/>
                <w:sz w:val="18"/>
                <w:szCs w:val="18"/>
                <w:highlight w:val="none"/>
              </w:rPr>
              <w:t>，而未进行有效纠偏的</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无监理旁站方案或旁站方案不详细、无可行性</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未按照业主审核通过的旁站方案实施</w:t>
            </w:r>
            <w:r>
              <w:rPr>
                <w:rFonts w:ascii="宋体" w:hAnsi="宋体"/>
                <w:color w:val="auto"/>
                <w:sz w:val="18"/>
                <w:szCs w:val="18"/>
                <w:highlight w:val="none"/>
              </w:rPr>
              <w:t>旁站</w:t>
            </w:r>
            <w:r>
              <w:rPr>
                <w:rFonts w:hint="eastAsia" w:ascii="宋体" w:hAnsi="宋体"/>
                <w:color w:val="auto"/>
                <w:sz w:val="18"/>
                <w:szCs w:val="18"/>
                <w:highlight w:val="none"/>
              </w:rPr>
              <w:t>或无旁站记录、旁站记录不真实</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监理旁站不能有效的监控工程质量和安全</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处罚100-300元/次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每检查发现监理旁站脱岗半个小时以上（含半小时）</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工程质量（工含序）检查不认真、流于形式</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不检查工程质量实体数据，仅靠施工单位汇报签署文件</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ascii="宋体" w:hAnsi="宋体"/>
                <w:color w:val="auto"/>
                <w:sz w:val="18"/>
                <w:szCs w:val="18"/>
                <w:highlight w:val="none"/>
              </w:rPr>
              <w:t>已验收工程</w:t>
            </w:r>
            <w:r>
              <w:rPr>
                <w:rFonts w:hint="eastAsia" w:ascii="宋体" w:hAnsi="宋体"/>
                <w:color w:val="auto"/>
                <w:sz w:val="18"/>
                <w:szCs w:val="18"/>
                <w:highlight w:val="none"/>
              </w:rPr>
              <w:t>经业主、质检站或设计单位检查，主控项目仍有遗漏</w:t>
            </w:r>
            <w:r>
              <w:rPr>
                <w:rFonts w:ascii="宋体" w:hAnsi="宋体"/>
                <w:color w:val="auto"/>
                <w:sz w:val="18"/>
                <w:szCs w:val="18"/>
                <w:highlight w:val="none"/>
              </w:rPr>
              <w:t>质量问题</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处罚500-2000元/次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firstLineChars="0"/>
              <w:rPr>
                <w:rFonts w:hint="eastAsia" w:ascii="宋体" w:hAnsi="宋体" w:eastAsia="宋体" w:cs="Times New Roman"/>
                <w:color w:val="auto"/>
                <w:kern w:val="2"/>
                <w:sz w:val="18"/>
                <w:szCs w:val="18"/>
                <w:highlight w:val="none"/>
                <w:lang w:val="en-US" w:eastAsia="zh-CN" w:bidi="ar-SA"/>
              </w:rPr>
            </w:pPr>
            <w:r>
              <w:rPr>
                <w:rFonts w:hint="eastAsia" w:ascii="宋体" w:hAnsi="宋体" w:eastAsia="宋体" w:cs="Times New Roman"/>
                <w:color w:val="auto"/>
                <w:sz w:val="18"/>
                <w:szCs w:val="18"/>
                <w:highlight w:val="none"/>
              </w:rPr>
              <w:t>WHS标准执行及不符合项关闭情况</w:t>
            </w:r>
            <w:r>
              <w:rPr>
                <w:rFonts w:hint="eastAsia" w:ascii="宋体" w:hAnsi="宋体" w:cs="Times New Roman"/>
                <w:color w:val="auto"/>
                <w:sz w:val="18"/>
                <w:szCs w:val="18"/>
                <w:highlight w:val="none"/>
                <w:lang w:eastAsia="zh-CN"/>
              </w:rPr>
              <w:t>。</w:t>
            </w:r>
          </w:p>
        </w:tc>
        <w:tc>
          <w:tcPr>
            <w:tcW w:w="1841" w:type="dxa"/>
            <w:vAlign w:val="center"/>
          </w:tcPr>
          <w:p>
            <w:pPr>
              <w:ind w:firstLine="0" w:firstLineChars="0"/>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firstLineChars="0"/>
              <w:rPr>
                <w:rFonts w:hint="eastAsia" w:ascii="宋体" w:hAnsi="宋体" w:eastAsia="宋体" w:cs="Times New Roman"/>
                <w:color w:val="auto"/>
                <w:kern w:val="2"/>
                <w:sz w:val="18"/>
                <w:szCs w:val="18"/>
                <w:highlight w:val="none"/>
                <w:lang w:val="en-US" w:eastAsia="zh-CN" w:bidi="ar-SA"/>
              </w:rPr>
            </w:pPr>
            <w:r>
              <w:rPr>
                <w:rFonts w:hint="eastAsia" w:ascii="宋体" w:hAnsi="宋体" w:eastAsia="宋体" w:cs="Times New Roman"/>
                <w:color w:val="auto"/>
                <w:sz w:val="18"/>
                <w:szCs w:val="18"/>
                <w:highlight w:val="none"/>
                <w:lang w:val="en-US" w:eastAsia="zh-CN"/>
              </w:rPr>
              <w:t>对于隐蔽工程验收及工程量收方时不规范，不采用举牌验收形式的</w:t>
            </w:r>
            <w:r>
              <w:rPr>
                <w:rFonts w:hint="eastAsia" w:ascii="宋体" w:hAnsi="宋体" w:cs="Times New Roman"/>
                <w:color w:val="auto"/>
                <w:sz w:val="18"/>
                <w:szCs w:val="18"/>
                <w:highlight w:val="none"/>
                <w:lang w:val="en-US" w:eastAsia="zh-CN"/>
              </w:rPr>
              <w:t>。</w:t>
            </w:r>
          </w:p>
        </w:tc>
        <w:tc>
          <w:tcPr>
            <w:tcW w:w="1841" w:type="dxa"/>
            <w:vAlign w:val="center"/>
          </w:tcPr>
          <w:p>
            <w:pPr>
              <w:ind w:firstLine="0" w:firstLineChars="0"/>
              <w:rPr>
                <w:rFonts w:hint="eastAsia" w:ascii="宋体" w:hAnsi="宋体" w:eastAsia="宋体" w:cs="Times New Roman"/>
                <w:color w:val="auto"/>
                <w:kern w:val="2"/>
                <w:sz w:val="18"/>
                <w:szCs w:val="18"/>
                <w:highlight w:val="none"/>
                <w:lang w:val="en-US" w:eastAsia="zh-CN" w:bidi="ar-SA"/>
              </w:rPr>
            </w:pPr>
            <w:r>
              <w:rPr>
                <w:rFonts w:hint="eastAsia" w:ascii="宋体" w:hAnsi="宋体"/>
                <w:color w:val="auto"/>
                <w:sz w:val="18"/>
                <w:szCs w:val="18"/>
                <w:highlight w:val="none"/>
                <w:lang w:val="en-US" w:eastAsia="zh-CN"/>
              </w:rPr>
              <w:t>处罚200-500元/次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ascii="宋体" w:hAnsi="宋体"/>
                <w:color w:val="auto"/>
                <w:sz w:val="18"/>
                <w:szCs w:val="18"/>
                <w:highlight w:val="none"/>
              </w:rPr>
              <w:t>无验收</w:t>
            </w:r>
            <w:r>
              <w:rPr>
                <w:rFonts w:hint="eastAsia" w:ascii="宋体" w:hAnsi="宋体"/>
                <w:color w:val="auto"/>
                <w:sz w:val="18"/>
                <w:szCs w:val="18"/>
                <w:highlight w:val="none"/>
              </w:rPr>
              <w:t>和试验检查台帐</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对施工单位作业人员违章行为未开展督查或制止</w:t>
            </w:r>
          </w:p>
        </w:tc>
        <w:tc>
          <w:tcPr>
            <w:tcW w:w="4945" w:type="dxa"/>
            <w:vAlign w:val="center"/>
          </w:tcPr>
          <w:p>
            <w:pPr>
              <w:ind w:firstLine="0"/>
              <w:rPr>
                <w:rFonts w:hint="eastAsia" w:ascii="宋体" w:hAnsi="宋体" w:eastAsia="宋体" w:cs="宋体"/>
                <w:i w:val="0"/>
                <w:color w:val="auto"/>
                <w:kern w:val="0"/>
                <w:sz w:val="18"/>
                <w:szCs w:val="18"/>
                <w:highlight w:val="none"/>
                <w:u w:val="none"/>
                <w:lang w:val="en-US" w:eastAsia="zh-CN"/>
              </w:rPr>
            </w:pPr>
            <w:r>
              <w:rPr>
                <w:rFonts w:hint="eastAsia" w:ascii="宋体" w:hAnsi="宋体" w:eastAsia="宋体" w:cs="宋体"/>
                <w:i w:val="0"/>
                <w:color w:val="auto"/>
                <w:kern w:val="0"/>
                <w:sz w:val="18"/>
                <w:szCs w:val="18"/>
                <w:highlight w:val="none"/>
                <w:u w:val="none"/>
                <w:lang w:val="en-US" w:eastAsia="zh-CN"/>
              </w:rPr>
              <w:t>未办理开工/复工报告擅自组织施工，或停工令执行不到位。</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default" w:ascii="宋体" w:hAnsi="宋体" w:eastAsia="宋体" w:cs="宋体"/>
                <w:i w:val="0"/>
                <w:color w:val="auto"/>
                <w:kern w:val="0"/>
                <w:sz w:val="18"/>
                <w:szCs w:val="18"/>
                <w:highlight w:val="none"/>
                <w:u w:val="none"/>
                <w:lang w:val="en-US" w:eastAsia="zh-CN"/>
              </w:rPr>
            </w:pPr>
            <w:r>
              <w:rPr>
                <w:rFonts w:hint="eastAsia" w:ascii="宋体" w:hAnsi="宋体" w:eastAsia="宋体" w:cs="宋体"/>
                <w:i w:val="0"/>
                <w:color w:val="auto"/>
                <w:kern w:val="0"/>
                <w:sz w:val="18"/>
                <w:szCs w:val="18"/>
                <w:highlight w:val="none"/>
                <w:u w:val="none"/>
                <w:lang w:val="en-US" w:eastAsia="zh-CN"/>
              </w:rPr>
              <w:t>现场工作中，工作人员或机具与带电体不能保持规定的安全距离且未采取有效措施。</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s="宋体"/>
                <w:i w:val="0"/>
                <w:color w:val="auto"/>
                <w:kern w:val="0"/>
                <w:sz w:val="18"/>
                <w:szCs w:val="18"/>
                <w:highlight w:val="none"/>
                <w:u w:val="none"/>
                <w:lang w:val="en-US" w:eastAsia="zh-CN"/>
              </w:rPr>
            </w:pPr>
            <w:r>
              <w:rPr>
                <w:rFonts w:hint="eastAsia" w:ascii="宋体" w:hAnsi="宋体" w:eastAsia="宋体" w:cs="宋体"/>
                <w:i w:val="0"/>
                <w:color w:val="auto"/>
                <w:kern w:val="0"/>
                <w:sz w:val="18"/>
                <w:szCs w:val="18"/>
                <w:highlight w:val="none"/>
                <w:u w:val="none"/>
                <w:lang w:val="en-US" w:eastAsia="zh-CN"/>
              </w:rPr>
              <w:t>擅自扩大工作票所列工作范围、超越安全遮栏开展工作。</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非特种作业人员进行特种作业，包括无证从事高处作业。</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高处作业未按规定使用安全带等防坠落用品、装置，或安全带未挂在牢固的构件上。</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进入有限空间工作未严格执行“先通风、再检测、后作业”要求。</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在易燃易爆物品储放场所动火工作、带明火进入，未采取防火等安全措施，动火作业点5米内未清除可燃物品或作业后现场遗留火种。</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rPr>
                <w:rFonts w:hint="eastAsia" w:ascii="宋体" w:hAnsi="宋体" w:eastAsia="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未按规定办理厂站工作票或规范性书面记录（包括施工作业票）开展现场作业。</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hint="eastAsia" w:ascii="宋体" w:hAnsi="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工作票所列工作班人员，存在人员不具备相应现场作业资格的情况</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hint="eastAsia" w:ascii="宋体" w:hAnsi="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在变电站、发电厂等生产运行区域超速、无证驾驶机动车。</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hint="eastAsia" w:ascii="宋体" w:hAnsi="宋体"/>
                <w:color w:val="auto"/>
                <w:sz w:val="18"/>
                <w:szCs w:val="18"/>
                <w:highlight w:val="none"/>
                <w:lang w:val="en-US" w:eastAsia="zh-CN"/>
              </w:rPr>
            </w:pPr>
            <w:r>
              <w:rPr>
                <w:rFonts w:hint="eastAsia" w:ascii="宋体" w:hAnsi="宋体" w:eastAsia="宋体" w:cs="宋体"/>
                <w:i w:val="0"/>
                <w:color w:val="auto"/>
                <w:kern w:val="0"/>
                <w:sz w:val="18"/>
                <w:szCs w:val="18"/>
                <w:highlight w:val="none"/>
                <w:u w:val="none"/>
                <w:lang w:val="en-US" w:eastAsia="zh-CN"/>
              </w:rPr>
              <w:t>特种设备未经年审继续使用。</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使用的Ⅰ类绝缘防护电动工具金属外壳未可靠接地，或接地装置连接不可靠、不符合规程要求，裸露导电部分未装设安全保护罩。</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高处作业人员随手上下抛掷工具、器具和材料</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高空作业过程，在其正下方及坠物可能落到的地方有人进行工作</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高边坡施工未按要求设置安全防护设施；对不良地质构造的高边坡，未按设计要求采取锚喷或加固等支护措施</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现场坑、沟、孔洞、临边不按规定设置盖板或防止外人通行的围栏、警示标志</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hint="eastAsia" w:ascii="宋体" w:hAnsi="宋体" w:cs="宋体"/>
                <w:color w:val="auto"/>
                <w:kern w:val="0"/>
                <w:sz w:val="18"/>
                <w:szCs w:val="18"/>
                <w:highlight w:val="none"/>
                <w:u w:val="none"/>
              </w:rPr>
            </w:pPr>
            <w:r>
              <w:rPr>
                <w:rFonts w:hint="eastAsia" w:ascii="宋体" w:hAnsi="宋体" w:eastAsia="宋体" w:cs="宋体"/>
                <w:i w:val="0"/>
                <w:color w:val="auto"/>
                <w:kern w:val="0"/>
                <w:sz w:val="18"/>
                <w:szCs w:val="18"/>
                <w:highlight w:val="none"/>
                <w:u w:val="none"/>
                <w:lang w:val="en-US" w:eastAsia="zh-CN"/>
              </w:rPr>
              <w:t>施工检修电源箱外壳未接地或接地不规范、无锁、无警示标识等</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电动工具搬动和移动时未切断电源</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管理人员和监理人员未按规定到位驻点、旁站或巡视监管</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电源箱设置不符合“一机、一闸、一保护”要求，临时电源箱无漏电保护装置或漏电装置损坏，或插头、插座、电源箱破损明显，或使用铁线、铜线等代替保险丝</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使用的电气设备、工具的电源线直接钩挂在闸刀上或直接插入插座使用</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户外使用中的电焊机无防雨措施，或电焊机电源线直接搭接在电线上</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在梯子上作业，无人扶梯子或梯子架设在不稳定的支持物上，或梯子无防滑措施，或人字梯无限制开度的拉绳</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有人站立梯子上作业时移动梯子，站立在梯子限高档位以上作业。两人同时站立在同一梯子上作业</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脚手架、竹木棚架、跨越架搭设后未经检验合格即投入使用</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脚手架未按规定搭设，未设置扫地杆、剪刀撑、抛撑、连墙件；脚手架未采取封闭防护措施或防护措施不规范</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现场使用的验电器、安全帽、安全带、接地线、绝缘杆、绝缘手套、绝缘鞋、绝缘靴、绝缘绳、绝缘挡板、绝缘梯、脚扣、登高脚踏板、电动或手扳葫芦等工器具未定期试验、无试验合格标志或试验过期，或存在破损、裂纹、污秽、松脱、断股等明显缺陷。</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ind w:firstLine="0" w:firstLineChars="0"/>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安全带、安全绳、使用长度在2米以上的，未加装缓冲器。</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现场作业时未按规定着装</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不按规定佩戴或未正确佩戴安全帽</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施工作业人员在夜间或道路、地下洞室等环境较暗的场所作业时未穿着符合规范的反光衣</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在邻近水域施工作业，未配置救生措施</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电、气焊工作时不戴防护镜、不穿帆布或全棉工作服、不戴防护手套。</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凭借栏杆、脚手架、瓷件等起吊物件</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擅自倾倒、堆放、丢弃或遗撒危险化学品</w:t>
            </w:r>
            <w:r>
              <w:rPr>
                <w:rFonts w:hint="eastAsia" w:ascii="宋体" w:hAnsi="宋体" w:cs="宋体"/>
                <w:i w:val="0"/>
                <w:color w:val="auto"/>
                <w:kern w:val="0"/>
                <w:sz w:val="18"/>
                <w:szCs w:val="18"/>
                <w:highlight w:val="none"/>
                <w:u w:val="none"/>
                <w:lang w:val="en-US" w:eastAsia="zh-CN"/>
              </w:rPr>
              <w:t>。</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龙门吊、塔吊、模板等拆卸（安装）过程中未严格按照规定程序执行</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32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未按要求召开交接班、班前班后会、班务会或相关工作记录不规范</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lang w:val="en-US" w:eastAsia="zh-CN"/>
              </w:rPr>
            </w:pPr>
          </w:p>
        </w:tc>
        <w:tc>
          <w:tcPr>
            <w:tcW w:w="4945" w:type="dxa"/>
            <w:vAlign w:val="center"/>
          </w:tcPr>
          <w:p>
            <w:pPr>
              <w:widowControl/>
              <w:spacing w:line="240" w:lineRule="exact"/>
              <w:ind w:firstLine="0" w:firstLineChars="0"/>
              <w:jc w:val="left"/>
              <w:textAlignment w:val="center"/>
              <w:rPr>
                <w:rFonts w:ascii="宋体" w:hAnsi="宋体"/>
                <w:color w:val="auto"/>
                <w:sz w:val="18"/>
                <w:szCs w:val="18"/>
                <w:highlight w:val="none"/>
              </w:rPr>
            </w:pPr>
            <w:r>
              <w:rPr>
                <w:rFonts w:hint="eastAsia" w:ascii="宋体" w:hAnsi="宋体" w:eastAsia="宋体" w:cs="宋体"/>
                <w:i w:val="0"/>
                <w:color w:val="auto"/>
                <w:kern w:val="0"/>
                <w:sz w:val="18"/>
                <w:szCs w:val="18"/>
                <w:highlight w:val="none"/>
                <w:u w:val="none"/>
                <w:lang w:val="en-US" w:eastAsia="zh-CN"/>
              </w:rPr>
              <w:t>施工区域未按规定设置夜间警示装置</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hint="eastAsia" w:ascii="宋体" w:hAnsi="宋体"/>
                <w:color w:val="auto"/>
                <w:sz w:val="18"/>
                <w:szCs w:val="18"/>
                <w:highlight w:val="none"/>
              </w:rPr>
              <w:t>安全文明施工管理</w:t>
            </w: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工程吊装设备（含重大施工机械）无安、拆方案，或未对方案</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人员资质</w:t>
            </w:r>
            <w:r>
              <w:rPr>
                <w:rFonts w:hint="eastAsia" w:ascii="宋体" w:hAnsi="宋体"/>
                <w:color w:val="auto"/>
                <w:sz w:val="18"/>
                <w:szCs w:val="18"/>
                <w:highlight w:val="none"/>
              </w:rPr>
              <w:t>进行审核即实施</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hint="eastAsia" w:ascii="宋体" w:hAnsi="宋体" w:eastAsia="宋体"/>
                <w:color w:val="auto"/>
                <w:sz w:val="18"/>
                <w:szCs w:val="18"/>
                <w:highlight w:val="none"/>
                <w:lang w:eastAsia="zh-CN"/>
              </w:rPr>
            </w:pPr>
            <w:r>
              <w:rPr>
                <w:rFonts w:hint="eastAsia" w:ascii="宋体" w:hAnsi="宋体"/>
                <w:color w:val="auto"/>
                <w:sz w:val="18"/>
                <w:szCs w:val="18"/>
                <w:highlight w:val="none"/>
              </w:rPr>
              <w:t>脚手架、卸料平台无搭、拆方案，或未对方案进行审核即实施</w:t>
            </w:r>
            <w:r>
              <w:rPr>
                <w:rFonts w:hint="eastAsia" w:ascii="宋体" w:hAnsi="宋体"/>
                <w:color w:val="auto"/>
                <w:sz w:val="18"/>
                <w:szCs w:val="18"/>
                <w:highlight w:val="none"/>
                <w:lang w:eastAsia="zh-CN"/>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处罚400-2000元/次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工程吊装设备（含重大施工机械）未经验收，或验收合格后未发现与方案不符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脚手架、卸料平台未经验收，或验收合格后未发现与方案不符的</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未按《</w:t>
            </w:r>
            <w:r>
              <w:rPr>
                <w:rFonts w:ascii="宋体" w:hAnsi="宋体" w:cs="Arial"/>
                <w:color w:val="auto"/>
                <w:spacing w:val="8"/>
                <w:sz w:val="18"/>
                <w:szCs w:val="18"/>
                <w:highlight w:val="none"/>
              </w:rPr>
              <w:t>建设工程安全生产管理条例</w:t>
            </w:r>
            <w:r>
              <w:rPr>
                <w:rFonts w:hint="eastAsia" w:ascii="宋体" w:hAnsi="宋体"/>
                <w:color w:val="auto"/>
                <w:sz w:val="18"/>
                <w:szCs w:val="18"/>
                <w:highlight w:val="none"/>
              </w:rPr>
              <w:t>》规定项目要求编制专项方案</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工程吊装设备（含重大施工机械）、脚手架、卸料平台未经验收即投入使用而未制止，未有效制止</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hint="eastAsia" w:ascii="宋体" w:hAnsi="宋体"/>
                <w:color w:val="auto"/>
                <w:sz w:val="18"/>
                <w:szCs w:val="18"/>
                <w:highlight w:val="none"/>
              </w:rPr>
            </w:pPr>
          </w:p>
        </w:tc>
        <w:tc>
          <w:tcPr>
            <w:tcW w:w="4945" w:type="dxa"/>
            <w:vAlign w:val="center"/>
          </w:tcPr>
          <w:p>
            <w:pPr>
              <w:ind w:firstLine="0"/>
              <w:rPr>
                <w:rFonts w:ascii="宋体" w:hAnsi="宋体"/>
                <w:color w:val="auto"/>
                <w:sz w:val="18"/>
                <w:szCs w:val="18"/>
                <w:highlight w:val="none"/>
              </w:rPr>
            </w:pPr>
            <w:r>
              <w:rPr>
                <w:rFonts w:ascii="宋体" w:hAnsi="宋体"/>
                <w:color w:val="auto"/>
                <w:sz w:val="18"/>
                <w:szCs w:val="18"/>
                <w:highlight w:val="none"/>
              </w:rPr>
              <w:t>隐瞒质量</w:t>
            </w:r>
            <w:r>
              <w:rPr>
                <w:rFonts w:hint="eastAsia" w:ascii="宋体" w:hAnsi="宋体"/>
                <w:color w:val="auto"/>
                <w:sz w:val="18"/>
                <w:szCs w:val="18"/>
                <w:highlight w:val="none"/>
              </w:rPr>
              <w:t>、安全</w:t>
            </w:r>
            <w:r>
              <w:rPr>
                <w:rFonts w:ascii="宋体" w:hAnsi="宋体"/>
                <w:color w:val="auto"/>
                <w:sz w:val="18"/>
                <w:szCs w:val="18"/>
                <w:highlight w:val="none"/>
              </w:rPr>
              <w:t>事故或发现质量</w:t>
            </w:r>
            <w:r>
              <w:rPr>
                <w:rFonts w:hint="eastAsia" w:ascii="宋体" w:hAnsi="宋体"/>
                <w:color w:val="auto"/>
                <w:sz w:val="18"/>
                <w:szCs w:val="18"/>
                <w:highlight w:val="none"/>
              </w:rPr>
              <w:t>安全</w:t>
            </w:r>
            <w:r>
              <w:rPr>
                <w:rFonts w:ascii="宋体" w:hAnsi="宋体"/>
                <w:color w:val="auto"/>
                <w:sz w:val="18"/>
                <w:szCs w:val="18"/>
                <w:highlight w:val="none"/>
              </w:rPr>
              <w:t>事故未按程序</w:t>
            </w:r>
            <w:r>
              <w:rPr>
                <w:rFonts w:hint="eastAsia" w:ascii="宋体" w:hAnsi="宋体"/>
                <w:color w:val="auto"/>
                <w:sz w:val="18"/>
                <w:szCs w:val="18"/>
                <w:highlight w:val="none"/>
              </w:rPr>
              <w:t>处理</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vAlign w:val="center"/>
          </w:tcPr>
          <w:p>
            <w:pPr>
              <w:ind w:firstLine="360"/>
              <w:rPr>
                <w:rFonts w:hint="eastAsia"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ascii="宋体" w:hAnsi="宋体"/>
                <w:color w:val="auto"/>
                <w:sz w:val="18"/>
                <w:szCs w:val="18"/>
                <w:highlight w:val="none"/>
              </w:rPr>
              <w:t>未及时发现质量</w:t>
            </w:r>
            <w:r>
              <w:rPr>
                <w:rFonts w:hint="eastAsia" w:ascii="宋体" w:hAnsi="宋体"/>
                <w:color w:val="auto"/>
                <w:sz w:val="18"/>
                <w:szCs w:val="18"/>
                <w:highlight w:val="none"/>
              </w:rPr>
              <w:t>、安全</w:t>
            </w:r>
            <w:r>
              <w:rPr>
                <w:rFonts w:ascii="宋体" w:hAnsi="宋体"/>
                <w:color w:val="auto"/>
                <w:sz w:val="18"/>
                <w:szCs w:val="18"/>
                <w:highlight w:val="none"/>
              </w:rPr>
              <w:t>隐患导致质量事故的发生</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vAlign w:val="center"/>
          </w:tcPr>
          <w:p>
            <w:pPr>
              <w:ind w:firstLine="360"/>
              <w:rPr>
                <w:rFonts w:hint="eastAsia"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rPr>
              <w:t>未对现场质量</w:t>
            </w:r>
            <w:r>
              <w:rPr>
                <w:rFonts w:ascii="宋体" w:hAnsi="宋体"/>
                <w:color w:val="auto"/>
                <w:sz w:val="18"/>
                <w:szCs w:val="18"/>
                <w:highlight w:val="none"/>
              </w:rPr>
              <w:t>安全隐患及时</w:t>
            </w:r>
            <w:r>
              <w:rPr>
                <w:rFonts w:hint="eastAsia" w:ascii="宋体" w:hAnsi="宋体"/>
                <w:color w:val="auto"/>
                <w:sz w:val="18"/>
                <w:szCs w:val="18"/>
                <w:highlight w:val="none"/>
              </w:rPr>
              <w:t>签发</w:t>
            </w:r>
            <w:r>
              <w:rPr>
                <w:rFonts w:ascii="宋体" w:hAnsi="宋体"/>
                <w:color w:val="auto"/>
                <w:sz w:val="18"/>
                <w:szCs w:val="18"/>
                <w:highlight w:val="none"/>
              </w:rPr>
              <w:t>改正指令</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rPr>
              <w:t>进入</w:t>
            </w:r>
            <w:r>
              <w:rPr>
                <w:rFonts w:ascii="宋体" w:hAnsi="宋体"/>
                <w:color w:val="auto"/>
                <w:sz w:val="18"/>
                <w:szCs w:val="18"/>
                <w:highlight w:val="none"/>
              </w:rPr>
              <w:t>施工现场监理人员不配戴安全帽</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ascii="宋体" w:hAnsi="宋体"/>
                <w:color w:val="auto"/>
                <w:sz w:val="18"/>
                <w:szCs w:val="18"/>
                <w:highlight w:val="none"/>
              </w:rPr>
              <w:t>发生</w:t>
            </w:r>
            <w:r>
              <w:rPr>
                <w:rFonts w:hint="eastAsia" w:ascii="宋体" w:hAnsi="宋体"/>
                <w:color w:val="auto"/>
                <w:sz w:val="18"/>
                <w:szCs w:val="18"/>
                <w:highlight w:val="none"/>
              </w:rPr>
              <w:t>质量</w:t>
            </w:r>
            <w:r>
              <w:rPr>
                <w:rFonts w:ascii="宋体" w:hAnsi="宋体"/>
                <w:color w:val="auto"/>
                <w:sz w:val="18"/>
                <w:szCs w:val="18"/>
                <w:highlight w:val="none"/>
              </w:rPr>
              <w:t>安全事故</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处罚500-2000元/次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发生重大质量事故、死亡事故、群体伤害事故</w:t>
            </w:r>
          </w:p>
        </w:tc>
        <w:tc>
          <w:tcPr>
            <w:tcW w:w="1841" w:type="dxa"/>
            <w:vAlign w:val="center"/>
          </w:tcPr>
          <w:p>
            <w:pPr>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参照施工工现场监理工作HSE奖罚规定部分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rPr>
              <w:t>未定期开展安全文明施工</w:t>
            </w:r>
            <w:r>
              <w:rPr>
                <w:rFonts w:hint="eastAsia" w:ascii="宋体" w:hAnsi="宋体"/>
                <w:color w:val="auto"/>
                <w:sz w:val="18"/>
                <w:szCs w:val="18"/>
                <w:highlight w:val="none"/>
                <w:lang w:val="en-US" w:eastAsia="zh-CN"/>
              </w:rPr>
              <w:t>周、</w:t>
            </w:r>
            <w:r>
              <w:rPr>
                <w:rFonts w:hint="eastAsia" w:ascii="宋体" w:hAnsi="宋体"/>
                <w:color w:val="auto"/>
                <w:sz w:val="18"/>
                <w:szCs w:val="18"/>
                <w:highlight w:val="none"/>
              </w:rPr>
              <w:t>月度专项检查</w:t>
            </w:r>
            <w:r>
              <w:rPr>
                <w:rFonts w:hint="eastAsia" w:ascii="宋体" w:hAnsi="宋体"/>
                <w:color w:val="auto"/>
                <w:sz w:val="18"/>
                <w:szCs w:val="18"/>
                <w:highlight w:val="none"/>
                <w:lang w:val="en-US" w:eastAsia="zh-CN"/>
              </w:rPr>
              <w:t>或</w:t>
            </w:r>
            <w:r>
              <w:rPr>
                <w:rFonts w:hint="eastAsia" w:ascii="宋体" w:hAnsi="宋体"/>
                <w:color w:val="auto"/>
                <w:sz w:val="18"/>
                <w:szCs w:val="18"/>
                <w:highlight w:val="none"/>
              </w:rPr>
              <w:t>检查</w:t>
            </w:r>
            <w:r>
              <w:rPr>
                <w:rFonts w:hint="eastAsia" w:ascii="宋体" w:hAnsi="宋体"/>
                <w:color w:val="auto"/>
                <w:sz w:val="18"/>
                <w:szCs w:val="18"/>
                <w:highlight w:val="none"/>
                <w:lang w:val="en-US" w:eastAsia="zh-CN"/>
              </w:rPr>
              <w:t>流于形式、未形成书面整改清单</w:t>
            </w:r>
          </w:p>
        </w:tc>
        <w:tc>
          <w:tcPr>
            <w:tcW w:w="1841" w:type="dxa"/>
            <w:vAlign w:val="center"/>
          </w:tcPr>
          <w:p>
            <w:pPr>
              <w:ind w:firstLine="0"/>
              <w:rPr>
                <w:rFonts w:hint="eastAsia" w:ascii="宋体" w:hAnsi="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安全文明施工月度专项检查评分、计算、结论与事实不符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现场发生重大安全事故现场无安全预警措施</w:t>
            </w:r>
          </w:p>
        </w:tc>
        <w:tc>
          <w:tcPr>
            <w:tcW w:w="1841" w:type="dxa"/>
            <w:vAlign w:val="center"/>
          </w:tcPr>
          <w:p>
            <w:pPr>
              <w:rPr>
                <w:rFonts w:ascii="宋体" w:hAnsi="宋体"/>
                <w:color w:val="auto"/>
                <w:sz w:val="18"/>
                <w:szCs w:val="18"/>
                <w:highlight w:val="none"/>
              </w:rPr>
            </w:pPr>
            <w:r>
              <w:rPr>
                <w:rFonts w:hint="eastAsia" w:ascii="宋体" w:hAnsi="宋体" w:cs="Times New Roman"/>
                <w:color w:val="auto"/>
                <w:sz w:val="18"/>
                <w:szCs w:val="18"/>
                <w:highlight w:val="none"/>
                <w:lang w:val="en-US" w:eastAsia="zh-CN"/>
              </w:rPr>
              <w:t>参照施工工现场监理工作HSE奖罚规定部分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hint="eastAsia" w:ascii="宋体" w:hAnsi="宋体"/>
                <w:color w:val="auto"/>
                <w:sz w:val="18"/>
                <w:szCs w:val="18"/>
                <w:highlight w:val="none"/>
              </w:rPr>
              <w:t>工程</w:t>
            </w:r>
            <w:r>
              <w:rPr>
                <w:rFonts w:ascii="宋体" w:hAnsi="宋体"/>
                <w:color w:val="auto"/>
                <w:sz w:val="18"/>
                <w:szCs w:val="18"/>
                <w:highlight w:val="none"/>
              </w:rPr>
              <w:t>测量</w:t>
            </w:r>
            <w:r>
              <w:rPr>
                <w:rFonts w:hint="eastAsia" w:ascii="宋体" w:hAnsi="宋体"/>
                <w:color w:val="auto"/>
                <w:sz w:val="18"/>
                <w:szCs w:val="18"/>
                <w:highlight w:val="none"/>
              </w:rPr>
              <w:t>质量控制</w:t>
            </w:r>
          </w:p>
        </w:tc>
        <w:tc>
          <w:tcPr>
            <w:tcW w:w="4945" w:type="dxa"/>
            <w:vAlign w:val="center"/>
          </w:tcPr>
          <w:p>
            <w:pPr>
              <w:rPr>
                <w:rFonts w:ascii="宋体" w:hAnsi="宋体"/>
                <w:color w:val="auto"/>
                <w:sz w:val="18"/>
                <w:szCs w:val="18"/>
                <w:highlight w:val="none"/>
              </w:rPr>
            </w:pPr>
            <w:r>
              <w:rPr>
                <w:rFonts w:ascii="宋体" w:hAnsi="宋体"/>
                <w:color w:val="auto"/>
                <w:sz w:val="18"/>
                <w:szCs w:val="18"/>
                <w:highlight w:val="none"/>
              </w:rPr>
              <w:t>未将控制点基础资料在合同或程序规定的期限内提供给施工单位或提供有误</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rPr>
                <w:rFonts w:ascii="宋体" w:hAnsi="宋体"/>
                <w:color w:val="auto"/>
                <w:sz w:val="18"/>
                <w:szCs w:val="18"/>
                <w:highlight w:val="none"/>
              </w:rPr>
            </w:pPr>
            <w:r>
              <w:rPr>
                <w:rFonts w:ascii="宋体" w:hAnsi="宋体"/>
                <w:color w:val="auto"/>
                <w:sz w:val="18"/>
                <w:szCs w:val="18"/>
                <w:highlight w:val="none"/>
              </w:rPr>
              <w:t>未对施工单位提交的复测资料进行审核</w:t>
            </w:r>
            <w:r>
              <w:rPr>
                <w:rFonts w:hint="eastAsia" w:ascii="宋体" w:hAnsi="宋体"/>
                <w:color w:val="auto"/>
                <w:sz w:val="18"/>
                <w:szCs w:val="18"/>
                <w:highlight w:val="none"/>
              </w:rPr>
              <w:t>、</w:t>
            </w:r>
            <w:r>
              <w:rPr>
                <w:rFonts w:ascii="宋体" w:hAnsi="宋体"/>
                <w:color w:val="auto"/>
                <w:sz w:val="18"/>
                <w:szCs w:val="18"/>
                <w:highlight w:val="none"/>
              </w:rPr>
              <w:t>批复</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jc w:val="left"/>
              <w:rPr>
                <w:rFonts w:hint="eastAsia" w:ascii="宋体" w:hAnsi="宋体"/>
                <w:color w:val="auto"/>
                <w:sz w:val="18"/>
                <w:szCs w:val="18"/>
                <w:highlight w:val="none"/>
              </w:rPr>
            </w:pPr>
            <w:r>
              <w:rPr>
                <w:rFonts w:ascii="宋体" w:hAnsi="宋体"/>
                <w:color w:val="auto"/>
                <w:sz w:val="18"/>
                <w:szCs w:val="18"/>
                <w:highlight w:val="none"/>
              </w:rPr>
              <w:t>施工单位施工放样有误，而监理在验收时未发现</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结构标高及垂直度超出规范允许偏差值1.5倍以上</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工程进度</w:t>
            </w:r>
            <w:r>
              <w:rPr>
                <w:rFonts w:hint="eastAsia" w:ascii="宋体" w:hAnsi="宋体"/>
                <w:color w:val="auto"/>
                <w:sz w:val="18"/>
                <w:szCs w:val="18"/>
                <w:highlight w:val="none"/>
              </w:rPr>
              <w:t>控制</w:t>
            </w: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未在规定的时间内审批施工单位提交的年</w:t>
            </w:r>
            <w:r>
              <w:rPr>
                <w:rFonts w:hint="eastAsia" w:ascii="宋体" w:hAnsi="宋体"/>
                <w:color w:val="auto"/>
                <w:sz w:val="18"/>
                <w:szCs w:val="18"/>
                <w:highlight w:val="none"/>
              </w:rPr>
              <w:t>、</w:t>
            </w:r>
            <w:r>
              <w:rPr>
                <w:rFonts w:ascii="宋体" w:hAnsi="宋体"/>
                <w:color w:val="auto"/>
                <w:sz w:val="18"/>
                <w:szCs w:val="18"/>
                <w:highlight w:val="none"/>
              </w:rPr>
              <w:t>月、</w:t>
            </w:r>
            <w:r>
              <w:rPr>
                <w:rFonts w:hint="eastAsia" w:ascii="宋体" w:hAnsi="宋体"/>
                <w:color w:val="auto"/>
                <w:sz w:val="18"/>
                <w:szCs w:val="18"/>
                <w:highlight w:val="none"/>
              </w:rPr>
              <w:t>周</w:t>
            </w:r>
            <w:r>
              <w:rPr>
                <w:rFonts w:ascii="宋体" w:hAnsi="宋体"/>
                <w:color w:val="auto"/>
                <w:sz w:val="18"/>
                <w:szCs w:val="18"/>
                <w:highlight w:val="none"/>
              </w:rPr>
              <w:t>度计划（每延误1日扣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r>
              <w:rPr>
                <w:rFonts w:hint="eastAsia" w:ascii="宋体" w:hAnsi="宋体"/>
                <w:color w:val="auto"/>
                <w:sz w:val="18"/>
                <w:szCs w:val="18"/>
                <w:highlight w:val="none"/>
              </w:rPr>
              <w:t>，审批时未对施工单位的</w:t>
            </w:r>
            <w:r>
              <w:rPr>
                <w:rFonts w:ascii="宋体" w:hAnsi="宋体"/>
                <w:color w:val="auto"/>
                <w:sz w:val="18"/>
                <w:szCs w:val="18"/>
                <w:highlight w:val="none"/>
              </w:rPr>
              <w:t>各类计划</w:t>
            </w:r>
            <w:r>
              <w:rPr>
                <w:rFonts w:hint="eastAsia" w:ascii="宋体" w:hAnsi="宋体"/>
                <w:color w:val="auto"/>
                <w:sz w:val="18"/>
                <w:szCs w:val="18"/>
                <w:highlight w:val="none"/>
              </w:rPr>
              <w:t>错误进行修正的</w:t>
            </w:r>
            <w:r>
              <w:rPr>
                <w:rFonts w:ascii="宋体" w:hAnsi="宋体"/>
                <w:color w:val="auto"/>
                <w:sz w:val="18"/>
                <w:szCs w:val="18"/>
                <w:highlight w:val="none"/>
              </w:rPr>
              <w:t>（每1</w:t>
            </w:r>
            <w:r>
              <w:rPr>
                <w:rFonts w:hint="eastAsia" w:ascii="宋体" w:hAnsi="宋体"/>
                <w:color w:val="auto"/>
                <w:sz w:val="18"/>
                <w:szCs w:val="18"/>
                <w:highlight w:val="none"/>
              </w:rPr>
              <w:t>项</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监理批准的各类计划明显不合理</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工程进度滞后于计划时,未及时</w:t>
            </w:r>
            <w:r>
              <w:rPr>
                <w:rFonts w:hint="eastAsia" w:ascii="宋体" w:hAnsi="宋体"/>
                <w:color w:val="auto"/>
                <w:sz w:val="18"/>
                <w:szCs w:val="18"/>
                <w:highlight w:val="none"/>
              </w:rPr>
              <w:t>有效</w:t>
            </w:r>
            <w:r>
              <w:rPr>
                <w:rFonts w:ascii="宋体" w:hAnsi="宋体"/>
                <w:color w:val="auto"/>
                <w:sz w:val="18"/>
                <w:szCs w:val="18"/>
                <w:highlight w:val="none"/>
              </w:rPr>
              <w:t>敦促施工单位进行进度计划调整</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处罚100-300元/次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无上墙进度计划图表</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对现场施工动态不了解（扣</w:t>
            </w:r>
            <w:r>
              <w:rPr>
                <w:rFonts w:hint="eastAsia" w:ascii="宋体" w:hAnsi="宋体"/>
                <w:color w:val="auto"/>
                <w:sz w:val="18"/>
                <w:szCs w:val="18"/>
                <w:highlight w:val="none"/>
                <w:lang w:val="en-US" w:eastAsia="zh-CN"/>
              </w:rPr>
              <w:t>500元</w:t>
            </w:r>
            <w:r>
              <w:rPr>
                <w:rFonts w:hint="eastAsia" w:ascii="宋体" w:hAnsi="宋体"/>
                <w:color w:val="auto"/>
                <w:sz w:val="18"/>
                <w:szCs w:val="18"/>
                <w:highlight w:val="none"/>
              </w:rPr>
              <w:t>）、不清晰（扣2</w:t>
            </w:r>
            <w:r>
              <w:rPr>
                <w:rFonts w:hint="eastAsia" w:ascii="宋体" w:hAnsi="宋体"/>
                <w:color w:val="auto"/>
                <w:sz w:val="18"/>
                <w:szCs w:val="18"/>
                <w:highlight w:val="none"/>
                <w:lang w:val="en-US" w:eastAsia="zh-CN"/>
              </w:rPr>
              <w:t>00</w:t>
            </w:r>
            <w:r>
              <w:rPr>
                <w:rFonts w:hint="eastAsia"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eastAsia="宋体" w:cs="Times New Roman"/>
                <w:color w:val="auto"/>
                <w:sz w:val="18"/>
                <w:szCs w:val="18"/>
                <w:highlight w:val="none"/>
              </w:rPr>
              <w:t>未认真审核施工单位上报的项目三级进度计划的实际完成时间与工程量</w:t>
            </w:r>
          </w:p>
        </w:tc>
        <w:tc>
          <w:tcPr>
            <w:tcW w:w="1841" w:type="dxa"/>
            <w:vAlign w:val="center"/>
          </w:tcPr>
          <w:p>
            <w:pPr>
              <w:ind w:firstLine="0"/>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处罚200-500元/次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工程分</w:t>
            </w:r>
            <w:r>
              <w:rPr>
                <w:rFonts w:hint="eastAsia" w:ascii="宋体" w:hAnsi="宋体"/>
                <w:color w:val="auto"/>
                <w:sz w:val="18"/>
                <w:szCs w:val="18"/>
                <w:highlight w:val="none"/>
              </w:rPr>
              <w:t>包管理</w:t>
            </w: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发现承包商不经批准而进行工程分包后，监理未采取有效措施</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未对分包商进行资质或资质审查明显不合格而同意施工单位进行工程分包</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分包单位进场未组织总包单位召开协调会的（扣</w:t>
            </w:r>
            <w:r>
              <w:rPr>
                <w:rFonts w:hint="eastAsia" w:ascii="宋体" w:hAnsi="宋体"/>
                <w:color w:val="auto"/>
                <w:sz w:val="18"/>
                <w:szCs w:val="18"/>
                <w:highlight w:val="none"/>
                <w:lang w:val="en-US" w:eastAsia="zh-CN"/>
              </w:rPr>
              <w:t>200元</w:t>
            </w:r>
            <w:r>
              <w:rPr>
                <w:rFonts w:hint="eastAsia"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延期和索赔管理工作程序</w:t>
            </w:r>
          </w:p>
        </w:tc>
        <w:tc>
          <w:tcPr>
            <w:tcW w:w="4945"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rPr>
              <w:t>工程</w:t>
            </w:r>
            <w:r>
              <w:rPr>
                <w:rFonts w:ascii="宋体" w:hAnsi="宋体"/>
                <w:color w:val="auto"/>
                <w:sz w:val="18"/>
                <w:szCs w:val="18"/>
                <w:highlight w:val="none"/>
              </w:rPr>
              <w:t>延期或费用索赔发生时，监理不能全面、及时地提供工程情况记录</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rPr>
              <w:t>工程</w:t>
            </w:r>
            <w:r>
              <w:rPr>
                <w:rFonts w:ascii="宋体" w:hAnsi="宋体"/>
                <w:color w:val="auto"/>
                <w:sz w:val="18"/>
                <w:szCs w:val="18"/>
                <w:highlight w:val="none"/>
              </w:rPr>
              <w:t>延期或费用索赔初审或审批依据错误</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处罚100-300元/次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restart"/>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监理</w:t>
            </w:r>
            <w:r>
              <w:rPr>
                <w:rFonts w:hint="eastAsia" w:ascii="宋体" w:hAnsi="宋体"/>
                <w:color w:val="auto"/>
                <w:sz w:val="18"/>
                <w:szCs w:val="18"/>
                <w:highlight w:val="none"/>
              </w:rPr>
              <w:t>机构</w:t>
            </w:r>
            <w:r>
              <w:rPr>
                <w:rFonts w:ascii="宋体" w:hAnsi="宋体"/>
                <w:color w:val="auto"/>
                <w:sz w:val="18"/>
                <w:szCs w:val="18"/>
                <w:highlight w:val="none"/>
              </w:rPr>
              <w:t>工作质</w:t>
            </w:r>
            <w:r>
              <w:rPr>
                <w:rFonts w:hint="eastAsia" w:ascii="宋体" w:hAnsi="宋体"/>
                <w:color w:val="auto"/>
                <w:sz w:val="18"/>
                <w:szCs w:val="18"/>
                <w:highlight w:val="none"/>
              </w:rPr>
              <w:t xml:space="preserve"> </w:t>
            </w:r>
            <w:r>
              <w:rPr>
                <w:rFonts w:ascii="宋体" w:hAnsi="宋体"/>
                <w:color w:val="auto"/>
                <w:sz w:val="18"/>
                <w:szCs w:val="18"/>
                <w:highlight w:val="none"/>
              </w:rPr>
              <w:t>量</w:t>
            </w:r>
          </w:p>
          <w:p>
            <w:pPr>
              <w:ind w:firstLine="0" w:firstLineChars="0"/>
              <w:rPr>
                <w:rFonts w:hint="eastAsia" w:ascii="宋体" w:hAnsi="宋体"/>
                <w:color w:val="auto"/>
                <w:sz w:val="18"/>
                <w:szCs w:val="18"/>
                <w:highlight w:val="none"/>
              </w:rPr>
            </w:pPr>
            <w:r>
              <w:rPr>
                <w:rFonts w:ascii="宋体" w:hAnsi="宋体"/>
                <w:color w:val="auto"/>
                <w:sz w:val="18"/>
                <w:szCs w:val="18"/>
                <w:highlight w:val="none"/>
              </w:rPr>
              <w:t xml:space="preserve"> </w:t>
            </w:r>
          </w:p>
        </w:tc>
        <w:tc>
          <w:tcPr>
            <w:tcW w:w="1031" w:type="dxa"/>
            <w:vMerge w:val="restart"/>
            <w:vAlign w:val="center"/>
          </w:tcPr>
          <w:p>
            <w:pPr>
              <w:ind w:firstLine="0" w:firstLineChars="0"/>
              <w:rPr>
                <w:rFonts w:hint="eastAsia" w:ascii="宋体" w:hAnsi="宋体" w:eastAsia="宋体"/>
                <w:color w:val="auto"/>
                <w:sz w:val="18"/>
                <w:szCs w:val="18"/>
                <w:highlight w:val="none"/>
                <w:lang w:eastAsia="zh-CN"/>
              </w:rPr>
            </w:pPr>
            <w:r>
              <w:rPr>
                <w:rFonts w:hint="eastAsia" w:ascii="宋体" w:hAnsi="宋体"/>
                <w:color w:val="auto"/>
                <w:sz w:val="18"/>
                <w:szCs w:val="18"/>
                <w:highlight w:val="none"/>
                <w:lang w:val="en-US" w:eastAsia="zh-CN"/>
              </w:rPr>
              <w:t>监理例会</w:t>
            </w: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未按规定频率召开工地</w:t>
            </w:r>
            <w:r>
              <w:rPr>
                <w:rFonts w:hint="eastAsia" w:ascii="宋体" w:hAnsi="宋体"/>
                <w:color w:val="auto"/>
                <w:sz w:val="18"/>
                <w:szCs w:val="18"/>
                <w:highlight w:val="none"/>
              </w:rPr>
              <w:t>例</w:t>
            </w:r>
            <w:r>
              <w:rPr>
                <w:rFonts w:ascii="宋体" w:hAnsi="宋体"/>
                <w:color w:val="auto"/>
                <w:sz w:val="18"/>
                <w:szCs w:val="18"/>
                <w:highlight w:val="none"/>
              </w:rPr>
              <w:t>会（</w:t>
            </w:r>
            <w:r>
              <w:rPr>
                <w:rFonts w:hint="eastAsia" w:ascii="宋体" w:hAnsi="宋体"/>
                <w:color w:val="auto"/>
                <w:sz w:val="18"/>
                <w:szCs w:val="18"/>
                <w:highlight w:val="none"/>
              </w:rPr>
              <w:t>每次</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r>
              <w:rPr>
                <w:rFonts w:hint="eastAsia" w:ascii="宋体" w:hAnsi="宋体"/>
                <w:color w:val="auto"/>
                <w:sz w:val="18"/>
                <w:szCs w:val="18"/>
                <w:highlight w:val="none"/>
              </w:rPr>
              <w:t>，未及时组织专题会议（每次</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hint="eastAsia"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rPr>
              <w:t>会议纪律涣散（扣2</w:t>
            </w:r>
            <w:r>
              <w:rPr>
                <w:rFonts w:hint="eastAsia" w:ascii="宋体" w:hAnsi="宋体"/>
                <w:color w:val="auto"/>
                <w:sz w:val="18"/>
                <w:szCs w:val="18"/>
                <w:highlight w:val="none"/>
                <w:lang w:val="en-US" w:eastAsia="zh-CN"/>
              </w:rPr>
              <w:t>00元</w:t>
            </w:r>
            <w:r>
              <w:rPr>
                <w:rFonts w:hint="eastAsia" w:ascii="宋体" w:hAnsi="宋体"/>
                <w:color w:val="auto"/>
                <w:sz w:val="18"/>
                <w:szCs w:val="18"/>
                <w:highlight w:val="none"/>
              </w:rPr>
              <w:t>），会议议题针对性不强</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纪要</w:t>
            </w:r>
            <w:r>
              <w:rPr>
                <w:rFonts w:hint="eastAsia" w:ascii="宋体" w:hAnsi="宋体"/>
                <w:color w:val="auto"/>
                <w:sz w:val="18"/>
                <w:szCs w:val="18"/>
                <w:highlight w:val="none"/>
              </w:rPr>
              <w:t>整理不及时（扣2</w:t>
            </w:r>
            <w:r>
              <w:rPr>
                <w:rFonts w:hint="eastAsia" w:ascii="宋体" w:hAnsi="宋体"/>
                <w:color w:val="auto"/>
                <w:sz w:val="18"/>
                <w:szCs w:val="18"/>
                <w:highlight w:val="none"/>
                <w:lang w:val="en-US" w:eastAsia="zh-CN"/>
              </w:rPr>
              <w:t>00元</w:t>
            </w:r>
            <w:r>
              <w:rPr>
                <w:rFonts w:hint="eastAsia" w:ascii="宋体" w:hAnsi="宋体"/>
                <w:color w:val="auto"/>
                <w:sz w:val="18"/>
                <w:szCs w:val="18"/>
                <w:highlight w:val="none"/>
              </w:rPr>
              <w:t>）、内容不真实完整</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监理规划</w:t>
            </w:r>
            <w:r>
              <w:rPr>
                <w:rFonts w:hint="eastAsia" w:ascii="宋体" w:hAnsi="宋体"/>
                <w:color w:val="auto"/>
                <w:sz w:val="18"/>
                <w:szCs w:val="18"/>
                <w:highlight w:val="none"/>
              </w:rPr>
              <w:t>（实施细则、旁站方案）</w:t>
            </w:r>
            <w:r>
              <w:rPr>
                <w:rFonts w:ascii="宋体" w:hAnsi="宋体"/>
                <w:color w:val="auto"/>
                <w:sz w:val="18"/>
                <w:szCs w:val="18"/>
                <w:highlight w:val="none"/>
              </w:rPr>
              <w:t>编制</w:t>
            </w: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未在规定的期限内提交监理规划</w:t>
            </w:r>
            <w:r>
              <w:rPr>
                <w:rFonts w:hint="eastAsia" w:ascii="宋体" w:hAnsi="宋体"/>
                <w:color w:val="auto"/>
                <w:sz w:val="18"/>
                <w:szCs w:val="18"/>
                <w:highlight w:val="none"/>
              </w:rPr>
              <w:t xml:space="preserve">、监理细则、旁站方案等监理文件  </w:t>
            </w:r>
            <w:r>
              <w:rPr>
                <w:rFonts w:ascii="宋体" w:hAnsi="宋体"/>
                <w:color w:val="auto"/>
                <w:sz w:val="18"/>
                <w:szCs w:val="18"/>
                <w:highlight w:val="none"/>
              </w:rPr>
              <w:t>（每延误</w:t>
            </w:r>
            <w:r>
              <w:rPr>
                <w:rFonts w:hint="eastAsia" w:ascii="宋体" w:hAnsi="宋体"/>
                <w:color w:val="auto"/>
                <w:sz w:val="18"/>
                <w:szCs w:val="18"/>
                <w:highlight w:val="none"/>
                <w:lang w:val="en-US" w:eastAsia="zh-CN"/>
              </w:rPr>
              <w:t>1</w:t>
            </w:r>
            <w:r>
              <w:rPr>
                <w:rFonts w:ascii="宋体" w:hAnsi="宋体"/>
                <w:color w:val="auto"/>
                <w:sz w:val="18"/>
                <w:szCs w:val="18"/>
                <w:highlight w:val="none"/>
              </w:rPr>
              <w:t>天</w:t>
            </w:r>
            <w:r>
              <w:rPr>
                <w:rFonts w:hint="eastAsia" w:ascii="宋体" w:hAnsi="宋体"/>
                <w:color w:val="auto"/>
                <w:sz w:val="18"/>
                <w:szCs w:val="18"/>
                <w:highlight w:val="none"/>
                <w:lang w:val="en-US" w:eastAsia="zh-CN"/>
              </w:rPr>
              <w:t>扣200元</w:t>
            </w:r>
            <w:r>
              <w:rPr>
                <w:rFonts w:ascii="宋体" w:hAnsi="宋体"/>
                <w:color w:val="auto"/>
                <w:sz w:val="18"/>
                <w:szCs w:val="18"/>
                <w:highlight w:val="none"/>
              </w:rPr>
              <w:t>）</w:t>
            </w:r>
            <w:r>
              <w:rPr>
                <w:rFonts w:hint="eastAsia" w:ascii="宋体" w:hAnsi="宋体"/>
                <w:color w:val="auto"/>
                <w:sz w:val="18"/>
                <w:szCs w:val="18"/>
                <w:highlight w:val="none"/>
              </w:rPr>
              <w:t>，</w:t>
            </w:r>
            <w:r>
              <w:rPr>
                <w:rFonts w:ascii="宋体" w:hAnsi="宋体"/>
                <w:color w:val="auto"/>
                <w:sz w:val="18"/>
                <w:szCs w:val="18"/>
                <w:highlight w:val="none"/>
              </w:rPr>
              <w:t>监理情况变化时，未及时进行调整、修改（扣2</w:t>
            </w:r>
            <w:r>
              <w:rPr>
                <w:rFonts w:hint="eastAsia" w:ascii="宋体" w:hAnsi="宋体"/>
                <w:color w:val="auto"/>
                <w:sz w:val="18"/>
                <w:szCs w:val="18"/>
                <w:highlight w:val="none"/>
                <w:lang w:val="en-US" w:eastAsia="zh-CN"/>
              </w:rPr>
              <w:t>00元</w:t>
            </w:r>
            <w:r>
              <w:rPr>
                <w:rFonts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监理规划</w:t>
            </w:r>
            <w:r>
              <w:rPr>
                <w:rFonts w:hint="eastAsia" w:ascii="宋体" w:hAnsi="宋体"/>
                <w:color w:val="auto"/>
                <w:sz w:val="18"/>
                <w:szCs w:val="18"/>
                <w:highlight w:val="none"/>
              </w:rPr>
              <w:t>、实施细则、旁站方案</w:t>
            </w:r>
            <w:r>
              <w:rPr>
                <w:rFonts w:ascii="宋体" w:hAnsi="宋体"/>
                <w:color w:val="auto"/>
                <w:sz w:val="18"/>
                <w:szCs w:val="18"/>
                <w:highlight w:val="none"/>
              </w:rPr>
              <w:t>内容有错误（扣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）；不全面（扣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监理规划</w:t>
            </w:r>
            <w:r>
              <w:rPr>
                <w:rFonts w:hint="eastAsia" w:ascii="宋体" w:hAnsi="宋体"/>
                <w:color w:val="auto"/>
                <w:sz w:val="18"/>
                <w:szCs w:val="18"/>
                <w:highlight w:val="none"/>
              </w:rPr>
              <w:t>、实施细则、旁站方案</w:t>
            </w:r>
            <w:r>
              <w:rPr>
                <w:rFonts w:ascii="宋体" w:hAnsi="宋体"/>
                <w:color w:val="auto"/>
                <w:sz w:val="18"/>
                <w:szCs w:val="18"/>
                <w:highlight w:val="none"/>
              </w:rPr>
              <w:t>审批手续不全</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未履行监理规划</w:t>
            </w:r>
            <w:r>
              <w:rPr>
                <w:rFonts w:hint="eastAsia" w:ascii="宋体" w:hAnsi="宋体"/>
                <w:color w:val="auto"/>
                <w:sz w:val="18"/>
                <w:szCs w:val="18"/>
                <w:highlight w:val="none"/>
              </w:rPr>
              <w:t>、监理细则、旁站方案</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文件和资料管理</w:t>
            </w:r>
          </w:p>
        </w:tc>
        <w:tc>
          <w:tcPr>
            <w:tcW w:w="4945" w:type="dxa"/>
            <w:vAlign w:val="center"/>
          </w:tcPr>
          <w:p>
            <w:pPr>
              <w:ind w:firstLine="0"/>
              <w:jc w:val="left"/>
              <w:rPr>
                <w:rFonts w:hint="eastAsia" w:ascii="宋体" w:hAnsi="宋体" w:eastAsia="宋体"/>
                <w:color w:val="auto"/>
                <w:sz w:val="18"/>
                <w:szCs w:val="18"/>
                <w:highlight w:val="none"/>
                <w:lang w:val="en-US" w:eastAsia="zh-CN"/>
              </w:rPr>
            </w:pPr>
            <w:r>
              <w:rPr>
                <w:rFonts w:ascii="宋体" w:hAnsi="宋体"/>
                <w:color w:val="auto"/>
                <w:sz w:val="18"/>
                <w:szCs w:val="18"/>
                <w:highlight w:val="none"/>
              </w:rPr>
              <w:t>未</w:t>
            </w:r>
            <w:r>
              <w:rPr>
                <w:rFonts w:hint="eastAsia" w:ascii="宋体" w:hAnsi="宋体"/>
                <w:color w:val="auto"/>
                <w:sz w:val="18"/>
                <w:szCs w:val="18"/>
                <w:highlight w:val="none"/>
                <w:lang w:val="en-US" w:eastAsia="zh-CN"/>
              </w:rPr>
              <w:t>建立监理</w:t>
            </w:r>
            <w:r>
              <w:rPr>
                <w:rFonts w:ascii="宋体" w:hAnsi="宋体"/>
                <w:color w:val="auto"/>
                <w:sz w:val="18"/>
                <w:szCs w:val="18"/>
                <w:highlight w:val="none"/>
              </w:rPr>
              <w:t>文件和资料管理</w:t>
            </w:r>
            <w:r>
              <w:rPr>
                <w:rFonts w:hint="eastAsia" w:ascii="宋体" w:hAnsi="宋体"/>
                <w:color w:val="auto"/>
                <w:sz w:val="18"/>
                <w:szCs w:val="18"/>
                <w:highlight w:val="none"/>
                <w:lang w:val="en-US" w:eastAsia="zh-CN"/>
              </w:rPr>
              <w:t>制度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eastAsia" w:ascii="宋体" w:hAnsi="宋体" w:eastAsia="宋体"/>
                <w:color w:val="auto"/>
                <w:sz w:val="18"/>
                <w:szCs w:val="18"/>
                <w:highlight w:val="none"/>
                <w:lang w:eastAsia="zh-CN"/>
              </w:rPr>
            </w:pPr>
            <w:r>
              <w:rPr>
                <w:rFonts w:hint="eastAsia" w:ascii="宋体" w:hAnsi="宋体" w:eastAsia="宋体" w:cs="Times New Roman"/>
                <w:color w:val="auto"/>
                <w:sz w:val="18"/>
                <w:szCs w:val="18"/>
                <w:highlight w:val="none"/>
              </w:rPr>
              <w:t>监理资料不齐全或弄虚作假</w:t>
            </w:r>
            <w:r>
              <w:rPr>
                <w:rFonts w:hint="eastAsia" w:ascii="宋体" w:hAnsi="宋体" w:eastAsia="宋体" w:cs="Times New Roman"/>
                <w:color w:val="auto"/>
                <w:sz w:val="18"/>
                <w:szCs w:val="18"/>
                <w:highlight w:val="none"/>
                <w:lang w:eastAsia="zh-CN"/>
              </w:rPr>
              <w:t>，</w:t>
            </w:r>
            <w:r>
              <w:rPr>
                <w:rFonts w:hint="eastAsia" w:ascii="宋体" w:hAnsi="宋体" w:eastAsia="宋体" w:cs="Times New Roman"/>
                <w:color w:val="auto"/>
                <w:sz w:val="18"/>
                <w:szCs w:val="18"/>
                <w:highlight w:val="none"/>
              </w:rPr>
              <w:t>未落实影像档案归档管理制度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未建立文件和资料管理的收发登记制度</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文件</w:t>
            </w:r>
            <w:r>
              <w:rPr>
                <w:rFonts w:hint="eastAsia" w:ascii="宋体" w:hAnsi="宋体"/>
                <w:color w:val="auto"/>
                <w:sz w:val="18"/>
                <w:szCs w:val="18"/>
                <w:highlight w:val="none"/>
              </w:rPr>
              <w:t>或</w:t>
            </w:r>
            <w:r>
              <w:rPr>
                <w:rFonts w:ascii="宋体" w:hAnsi="宋体"/>
                <w:color w:val="auto"/>
                <w:sz w:val="18"/>
                <w:szCs w:val="18"/>
                <w:highlight w:val="none"/>
              </w:rPr>
              <w:t>资料的收</w:t>
            </w:r>
            <w:r>
              <w:rPr>
                <w:rFonts w:hint="eastAsia" w:ascii="宋体" w:hAnsi="宋体"/>
                <w:color w:val="auto"/>
                <w:sz w:val="18"/>
                <w:szCs w:val="18"/>
                <w:highlight w:val="none"/>
              </w:rPr>
              <w:t>发不及时</w:t>
            </w:r>
            <w:r>
              <w:rPr>
                <w:rFonts w:hint="eastAsia" w:ascii="宋体" w:hAnsi="宋体"/>
                <w:color w:val="auto"/>
                <w:sz w:val="18"/>
                <w:szCs w:val="18"/>
                <w:highlight w:val="none"/>
                <w:lang w:eastAsia="zh-CN"/>
              </w:rPr>
              <w:t>、</w:t>
            </w:r>
            <w:r>
              <w:rPr>
                <w:rFonts w:ascii="宋体" w:hAnsi="宋体"/>
                <w:color w:val="auto"/>
                <w:sz w:val="18"/>
                <w:szCs w:val="18"/>
                <w:highlight w:val="none"/>
              </w:rPr>
              <w:t>签</w:t>
            </w:r>
            <w:r>
              <w:rPr>
                <w:rFonts w:hint="eastAsia" w:ascii="宋体" w:hAnsi="宋体"/>
                <w:color w:val="auto"/>
                <w:sz w:val="18"/>
                <w:szCs w:val="18"/>
                <w:highlight w:val="none"/>
              </w:rPr>
              <w:t>字</w:t>
            </w:r>
            <w:r>
              <w:rPr>
                <w:rFonts w:ascii="宋体" w:hAnsi="宋体"/>
                <w:color w:val="auto"/>
                <w:sz w:val="18"/>
                <w:szCs w:val="18"/>
                <w:highlight w:val="none"/>
              </w:rPr>
              <w:t>手续不全</w:t>
            </w:r>
            <w:r>
              <w:rPr>
                <w:rFonts w:hint="eastAsia" w:ascii="宋体" w:hAnsi="宋体"/>
                <w:color w:val="auto"/>
                <w:sz w:val="18"/>
                <w:szCs w:val="18"/>
                <w:highlight w:val="none"/>
              </w:rPr>
              <w:t>，收发文台帐不清晰</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监理人员管理</w:t>
            </w: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监理人员未进行上岗培训</w:t>
            </w:r>
            <w:r>
              <w:rPr>
                <w:rFonts w:hint="eastAsia" w:ascii="宋体" w:hAnsi="宋体"/>
                <w:color w:val="auto"/>
                <w:sz w:val="18"/>
                <w:szCs w:val="18"/>
                <w:highlight w:val="none"/>
              </w:rPr>
              <w:t>,没有上岗证</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监理人员岗位职责不明确</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监理人员未</w:t>
            </w:r>
            <w:r>
              <w:rPr>
                <w:rFonts w:hint="default" w:ascii="宋体" w:hAnsi="宋体"/>
                <w:color w:val="auto"/>
                <w:sz w:val="18"/>
                <w:szCs w:val="18"/>
                <w:highlight w:val="none"/>
                <w:lang w:val="en-US" w:eastAsia="zh-CN"/>
              </w:rPr>
              <w:t>统一着装</w:t>
            </w:r>
            <w:r>
              <w:rPr>
                <w:rFonts w:ascii="宋体" w:hAnsi="宋体"/>
                <w:color w:val="auto"/>
                <w:sz w:val="18"/>
                <w:szCs w:val="18"/>
                <w:highlight w:val="none"/>
              </w:rPr>
              <w:t>上岗</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监理人员不履行岗位职责</w:t>
            </w:r>
            <w:r>
              <w:rPr>
                <w:rFonts w:hint="eastAsia" w:ascii="宋体" w:hAnsi="宋体"/>
                <w:color w:val="auto"/>
                <w:sz w:val="18"/>
                <w:szCs w:val="18"/>
                <w:highlight w:val="none"/>
              </w:rPr>
              <w:t>或履行职责较差</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监理月</w:t>
            </w:r>
            <w:r>
              <w:rPr>
                <w:rFonts w:hint="eastAsia" w:ascii="宋体" w:hAnsi="宋体"/>
                <w:color w:val="auto"/>
                <w:sz w:val="18"/>
                <w:szCs w:val="18"/>
                <w:highlight w:val="none"/>
              </w:rPr>
              <w:t>报</w:t>
            </w:r>
            <w:r>
              <w:rPr>
                <w:rFonts w:ascii="宋体" w:hAnsi="宋体"/>
                <w:color w:val="auto"/>
                <w:sz w:val="18"/>
                <w:szCs w:val="18"/>
                <w:highlight w:val="none"/>
              </w:rPr>
              <w:t>制度</w:t>
            </w: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 xml:space="preserve">未在合同规定的期限内提交监理月报 </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hint="default" w:ascii="宋体" w:hAnsi="宋体" w:eastAsia="宋体"/>
                <w:color w:val="auto"/>
                <w:sz w:val="18"/>
                <w:szCs w:val="18"/>
                <w:highlight w:val="none"/>
                <w:lang w:val="en-US" w:eastAsia="zh-CN"/>
              </w:rPr>
            </w:pPr>
            <w:r>
              <w:rPr>
                <w:rFonts w:ascii="宋体" w:hAnsi="宋体"/>
                <w:color w:val="auto"/>
                <w:sz w:val="18"/>
                <w:szCs w:val="18"/>
                <w:highlight w:val="none"/>
              </w:rPr>
              <w:t>监理</w:t>
            </w:r>
            <w:r>
              <w:rPr>
                <w:rFonts w:hint="eastAsia" w:ascii="宋体" w:hAnsi="宋体"/>
                <w:color w:val="auto"/>
                <w:sz w:val="18"/>
                <w:szCs w:val="18"/>
                <w:highlight w:val="none"/>
              </w:rPr>
              <w:t>月报</w:t>
            </w:r>
            <w:r>
              <w:rPr>
                <w:rFonts w:ascii="宋体" w:hAnsi="宋体"/>
                <w:color w:val="auto"/>
                <w:sz w:val="18"/>
                <w:szCs w:val="18"/>
                <w:highlight w:val="none"/>
              </w:rPr>
              <w:t>内容</w:t>
            </w:r>
            <w:r>
              <w:rPr>
                <w:rFonts w:hint="eastAsia" w:ascii="宋体" w:hAnsi="宋体"/>
                <w:color w:val="auto"/>
                <w:sz w:val="18"/>
                <w:szCs w:val="18"/>
                <w:highlight w:val="none"/>
              </w:rPr>
              <w:t>空泛</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不切实际</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监理月报中对质量、进度、费用等内容的描述明显不准确</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restart"/>
            <w:vAlign w:val="center"/>
          </w:tcPr>
          <w:p>
            <w:pPr>
              <w:ind w:firstLine="0" w:firstLineChars="0"/>
              <w:rPr>
                <w:rFonts w:ascii="宋体" w:hAnsi="宋体"/>
                <w:color w:val="auto"/>
                <w:sz w:val="18"/>
                <w:szCs w:val="18"/>
                <w:highlight w:val="none"/>
              </w:rPr>
            </w:pPr>
            <w:r>
              <w:rPr>
                <w:rFonts w:ascii="宋体" w:hAnsi="宋体"/>
                <w:color w:val="auto"/>
                <w:sz w:val="18"/>
                <w:szCs w:val="18"/>
                <w:highlight w:val="none"/>
              </w:rPr>
              <w:t>监理日志</w:t>
            </w:r>
          </w:p>
        </w:tc>
        <w:tc>
          <w:tcPr>
            <w:tcW w:w="4945" w:type="dxa"/>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未填</w:t>
            </w:r>
            <w:r>
              <w:rPr>
                <w:rFonts w:hint="eastAsia" w:ascii="宋体" w:hAnsi="宋体"/>
                <w:color w:val="auto"/>
                <w:sz w:val="18"/>
                <w:szCs w:val="18"/>
                <w:highlight w:val="none"/>
              </w:rPr>
              <w:t>写</w:t>
            </w:r>
            <w:r>
              <w:rPr>
                <w:rFonts w:ascii="宋体" w:hAnsi="宋体"/>
                <w:color w:val="auto"/>
                <w:sz w:val="18"/>
                <w:szCs w:val="18"/>
                <w:highlight w:val="none"/>
              </w:rPr>
              <w:t>监理日志（每发现1</w:t>
            </w:r>
            <w:r>
              <w:rPr>
                <w:rFonts w:hint="eastAsia" w:ascii="宋体" w:hAnsi="宋体"/>
                <w:color w:val="auto"/>
                <w:sz w:val="18"/>
                <w:szCs w:val="18"/>
                <w:highlight w:val="none"/>
                <w:lang w:val="en-US" w:eastAsia="zh-CN"/>
              </w:rPr>
              <w:t>次</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ascii="宋体" w:hAnsi="宋体"/>
                <w:color w:val="auto"/>
                <w:sz w:val="18"/>
                <w:szCs w:val="18"/>
                <w:highlight w:val="none"/>
              </w:rPr>
              <w:t>）</w:t>
            </w:r>
            <w:r>
              <w:rPr>
                <w:rFonts w:hint="eastAsia" w:ascii="宋体" w:hAnsi="宋体"/>
                <w:color w:val="auto"/>
                <w:sz w:val="18"/>
                <w:szCs w:val="18"/>
                <w:highlight w:val="none"/>
              </w:rPr>
              <w:t>，</w:t>
            </w:r>
            <w:r>
              <w:rPr>
                <w:rFonts w:ascii="宋体" w:hAnsi="宋体"/>
                <w:color w:val="auto"/>
                <w:sz w:val="18"/>
                <w:szCs w:val="18"/>
                <w:highlight w:val="none"/>
              </w:rPr>
              <w:t>监理日志</w:t>
            </w:r>
            <w:r>
              <w:rPr>
                <w:rFonts w:hint="eastAsia" w:ascii="宋体" w:hAnsi="宋体"/>
                <w:color w:val="auto"/>
                <w:sz w:val="18"/>
                <w:szCs w:val="18"/>
                <w:highlight w:val="none"/>
                <w:lang w:val="en-US" w:eastAsia="zh-CN"/>
              </w:rPr>
              <w:t>不能真实反映现场实际</w:t>
            </w:r>
            <w:r>
              <w:rPr>
                <w:rFonts w:hint="eastAsia" w:ascii="宋体" w:hAnsi="宋体"/>
                <w:color w:val="auto"/>
                <w:sz w:val="18"/>
                <w:szCs w:val="18"/>
                <w:highlight w:val="none"/>
              </w:rPr>
              <w:t>（</w:t>
            </w:r>
            <w:r>
              <w:rPr>
                <w:rFonts w:ascii="宋体" w:hAnsi="宋体"/>
                <w:color w:val="auto"/>
                <w:sz w:val="18"/>
                <w:szCs w:val="18"/>
                <w:highlight w:val="none"/>
              </w:rPr>
              <w:t>每发现1</w:t>
            </w:r>
            <w:r>
              <w:rPr>
                <w:rFonts w:hint="eastAsia" w:ascii="宋体" w:hAnsi="宋体"/>
                <w:color w:val="auto"/>
                <w:sz w:val="18"/>
                <w:szCs w:val="18"/>
                <w:highlight w:val="none"/>
                <w:lang w:val="en-US" w:eastAsia="zh-CN"/>
              </w:rPr>
              <w:t>次</w:t>
            </w:r>
            <w:r>
              <w:rPr>
                <w:rFonts w:ascii="宋体" w:hAnsi="宋体"/>
                <w:color w:val="auto"/>
                <w:sz w:val="18"/>
                <w:szCs w:val="18"/>
                <w:highlight w:val="none"/>
              </w:rPr>
              <w:t>，扣</w:t>
            </w:r>
            <w:r>
              <w:rPr>
                <w:rFonts w:hint="eastAsia" w:ascii="宋体" w:hAnsi="宋体"/>
                <w:color w:val="auto"/>
                <w:sz w:val="18"/>
                <w:szCs w:val="18"/>
                <w:highlight w:val="none"/>
                <w:lang w:val="en-US" w:eastAsia="zh-CN"/>
              </w:rPr>
              <w:t>200元</w:t>
            </w:r>
            <w:r>
              <w:rPr>
                <w:rFonts w:hint="eastAsia" w:ascii="宋体" w:hAnsi="宋体"/>
                <w:color w:val="auto"/>
                <w:sz w:val="18"/>
                <w:szCs w:val="18"/>
                <w:highlight w:val="none"/>
              </w:rPr>
              <w:t>）</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jc w:val="left"/>
              <w:rPr>
                <w:rFonts w:ascii="宋体" w:hAnsi="宋体"/>
                <w:color w:val="auto"/>
                <w:sz w:val="18"/>
                <w:szCs w:val="18"/>
                <w:highlight w:val="none"/>
              </w:rPr>
            </w:pPr>
            <w:r>
              <w:rPr>
                <w:rFonts w:ascii="宋体" w:hAnsi="宋体"/>
                <w:color w:val="auto"/>
                <w:sz w:val="18"/>
                <w:szCs w:val="18"/>
                <w:highlight w:val="none"/>
              </w:rPr>
              <w:t>监理日记内容不封闭、或不整齐、涂改严重</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Pr>
          <w:p>
            <w:pPr>
              <w:ind w:firstLine="360"/>
              <w:rPr>
                <w:rFonts w:ascii="宋体" w:hAnsi="宋体"/>
                <w:color w:val="auto"/>
                <w:sz w:val="18"/>
                <w:szCs w:val="18"/>
                <w:highlight w:val="none"/>
              </w:rPr>
            </w:pPr>
          </w:p>
        </w:tc>
        <w:tc>
          <w:tcPr>
            <w:tcW w:w="1031" w:type="dxa"/>
            <w:vMerge w:val="continue"/>
            <w:vAlign w:val="center"/>
          </w:tcPr>
          <w:p>
            <w:pPr>
              <w:ind w:firstLine="360"/>
              <w:rPr>
                <w:rFonts w:ascii="宋体" w:hAnsi="宋体"/>
                <w:color w:val="auto"/>
                <w:sz w:val="18"/>
                <w:szCs w:val="18"/>
                <w:highlight w:val="none"/>
              </w:rPr>
            </w:pPr>
          </w:p>
        </w:tc>
        <w:tc>
          <w:tcPr>
            <w:tcW w:w="4945" w:type="dxa"/>
            <w:vAlign w:val="center"/>
          </w:tcPr>
          <w:p>
            <w:pPr>
              <w:ind w:firstLine="0"/>
              <w:jc w:val="left"/>
              <w:rPr>
                <w:rFonts w:ascii="宋体" w:hAnsi="宋体"/>
                <w:color w:val="auto"/>
                <w:sz w:val="18"/>
                <w:szCs w:val="18"/>
                <w:highlight w:val="none"/>
              </w:rPr>
            </w:pPr>
            <w:r>
              <w:rPr>
                <w:rFonts w:hint="eastAsia" w:ascii="宋体" w:hAnsi="宋体"/>
                <w:color w:val="auto"/>
                <w:sz w:val="18"/>
                <w:szCs w:val="18"/>
                <w:highlight w:val="none"/>
              </w:rPr>
              <w:t>总监</w:t>
            </w:r>
            <w:r>
              <w:rPr>
                <w:rFonts w:ascii="宋体" w:hAnsi="宋体"/>
                <w:color w:val="auto"/>
                <w:sz w:val="18"/>
                <w:szCs w:val="18"/>
                <w:highlight w:val="none"/>
              </w:rPr>
              <w:t>未</w:t>
            </w:r>
            <w:r>
              <w:rPr>
                <w:rFonts w:hint="eastAsia" w:ascii="宋体" w:hAnsi="宋体"/>
                <w:color w:val="auto"/>
                <w:sz w:val="18"/>
                <w:szCs w:val="18"/>
                <w:highlight w:val="none"/>
              </w:rPr>
              <w:t>对日记</w:t>
            </w:r>
            <w:r>
              <w:rPr>
                <w:rFonts w:ascii="宋体" w:hAnsi="宋体"/>
                <w:color w:val="auto"/>
                <w:sz w:val="18"/>
                <w:szCs w:val="18"/>
                <w:highlight w:val="none"/>
              </w:rPr>
              <w:t>进行定期检查</w:t>
            </w:r>
            <w:r>
              <w:rPr>
                <w:rFonts w:hint="eastAsia" w:ascii="宋体" w:hAnsi="宋体"/>
                <w:color w:val="auto"/>
                <w:sz w:val="18"/>
                <w:szCs w:val="18"/>
                <w:highlight w:val="none"/>
              </w:rPr>
              <w:t>，未签署意见和无整改及措施的</w:t>
            </w:r>
          </w:p>
        </w:tc>
        <w:tc>
          <w:tcPr>
            <w:tcW w:w="1841" w:type="dxa"/>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restart"/>
            <w:tcBorders>
              <w:bottom w:val="single" w:color="000000" w:themeColor="text1" w:sz="4" w:space="0"/>
            </w:tcBorders>
            <w:vAlign w:val="center"/>
          </w:tcPr>
          <w:p>
            <w:pPr>
              <w:ind w:firstLine="0" w:firstLineChars="0"/>
              <w:rPr>
                <w:rFonts w:hint="eastAsia" w:ascii="宋体" w:hAnsi="宋体"/>
                <w:color w:val="auto"/>
                <w:sz w:val="18"/>
                <w:szCs w:val="18"/>
                <w:highlight w:val="none"/>
              </w:rPr>
            </w:pPr>
            <w:r>
              <w:rPr>
                <w:rFonts w:ascii="宋体" w:hAnsi="宋体"/>
                <w:color w:val="auto"/>
                <w:sz w:val="18"/>
                <w:szCs w:val="18"/>
                <w:highlight w:val="none"/>
              </w:rPr>
              <w:t>综合管</w:t>
            </w:r>
            <w:r>
              <w:rPr>
                <w:rFonts w:hint="eastAsia" w:ascii="宋体" w:hAnsi="宋体"/>
                <w:color w:val="auto"/>
                <w:sz w:val="18"/>
                <w:szCs w:val="18"/>
                <w:highlight w:val="none"/>
              </w:rPr>
              <w:t xml:space="preserve"> </w:t>
            </w:r>
            <w:r>
              <w:rPr>
                <w:rFonts w:ascii="宋体" w:hAnsi="宋体"/>
                <w:color w:val="auto"/>
                <w:sz w:val="18"/>
                <w:szCs w:val="18"/>
                <w:highlight w:val="none"/>
              </w:rPr>
              <w:t>理</w:t>
            </w:r>
          </w:p>
          <w:p>
            <w:pPr>
              <w:ind w:firstLine="0" w:firstLineChars="0"/>
              <w:rPr>
                <w:rFonts w:hint="eastAsia" w:ascii="宋体" w:hAnsi="宋体"/>
                <w:color w:val="auto"/>
                <w:sz w:val="18"/>
                <w:szCs w:val="18"/>
                <w:highlight w:val="none"/>
              </w:rPr>
            </w:pPr>
          </w:p>
        </w:tc>
        <w:tc>
          <w:tcPr>
            <w:tcW w:w="1031" w:type="dxa"/>
            <w:vMerge w:val="restart"/>
            <w:tcBorders>
              <w:bottom w:val="single" w:color="000000" w:themeColor="text1" w:sz="4" w:space="0"/>
            </w:tcBorders>
            <w:vAlign w:val="center"/>
          </w:tcPr>
          <w:p>
            <w:pPr>
              <w:ind w:firstLine="0" w:firstLineChars="0"/>
              <w:rPr>
                <w:rFonts w:hint="eastAsia" w:ascii="宋体" w:hAnsi="宋体" w:eastAsia="宋体"/>
                <w:color w:val="auto"/>
                <w:sz w:val="18"/>
                <w:szCs w:val="18"/>
                <w:highlight w:val="none"/>
                <w:lang w:val="en-US" w:eastAsia="zh-CN"/>
              </w:rPr>
            </w:pPr>
            <w:r>
              <w:rPr>
                <w:rFonts w:ascii="宋体" w:hAnsi="宋体"/>
                <w:color w:val="auto"/>
                <w:sz w:val="18"/>
                <w:szCs w:val="18"/>
                <w:highlight w:val="none"/>
              </w:rPr>
              <w:t>职业道德</w:t>
            </w:r>
            <w:r>
              <w:rPr>
                <w:rFonts w:hint="eastAsia" w:ascii="宋体" w:hAnsi="宋体"/>
                <w:color w:val="auto"/>
                <w:sz w:val="18"/>
                <w:szCs w:val="18"/>
                <w:highlight w:val="none"/>
                <w:lang w:val="en-US" w:eastAsia="zh-CN"/>
              </w:rPr>
              <w:t>及廉洁管理</w:t>
            </w:r>
          </w:p>
        </w:tc>
        <w:tc>
          <w:tcPr>
            <w:tcW w:w="4945" w:type="dxa"/>
            <w:tcBorders>
              <w:bottom w:val="single" w:color="auto" w:sz="4" w:space="0"/>
            </w:tcBorders>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w:t>
            </w:r>
            <w:r>
              <w:rPr>
                <w:rFonts w:hint="eastAsia" w:ascii="宋体" w:hAnsi="宋体"/>
                <w:color w:val="auto"/>
                <w:sz w:val="18"/>
                <w:szCs w:val="18"/>
                <w:highlight w:val="none"/>
              </w:rPr>
              <w:t>无故</w:t>
            </w:r>
            <w:r>
              <w:rPr>
                <w:rFonts w:ascii="宋体" w:hAnsi="宋体"/>
                <w:color w:val="auto"/>
                <w:sz w:val="18"/>
                <w:szCs w:val="18"/>
                <w:highlight w:val="none"/>
              </w:rPr>
              <w:t>刁难承包商</w:t>
            </w:r>
          </w:p>
        </w:tc>
        <w:tc>
          <w:tcPr>
            <w:tcW w:w="1841" w:type="dxa"/>
            <w:tcBorders>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1031"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4945" w:type="dxa"/>
            <w:tcBorders>
              <w:top w:val="single" w:color="auto" w:sz="4" w:space="0"/>
              <w:bottom w:val="single" w:color="auto" w:sz="4" w:space="0"/>
            </w:tcBorders>
            <w:vAlign w:val="center"/>
          </w:tcPr>
          <w:p>
            <w:pPr>
              <w:ind w:firstLine="0"/>
              <w:jc w:val="left"/>
              <w:rPr>
                <w:rFonts w:ascii="宋体" w:hAnsi="宋体"/>
                <w:color w:val="auto"/>
                <w:sz w:val="18"/>
                <w:szCs w:val="18"/>
                <w:highlight w:val="none"/>
              </w:rPr>
            </w:pPr>
            <w:r>
              <w:rPr>
                <w:rFonts w:ascii="宋体" w:hAnsi="宋体"/>
                <w:color w:val="auto"/>
                <w:sz w:val="18"/>
                <w:szCs w:val="18"/>
                <w:highlight w:val="none"/>
              </w:rPr>
              <w:t>监理人员与承包商</w:t>
            </w:r>
            <w:r>
              <w:rPr>
                <w:rFonts w:hint="eastAsia" w:ascii="宋体" w:hAnsi="宋体"/>
                <w:color w:val="auto"/>
                <w:sz w:val="18"/>
                <w:szCs w:val="18"/>
                <w:highlight w:val="none"/>
              </w:rPr>
              <w:t>发生监理制度不允许的</w:t>
            </w:r>
            <w:r>
              <w:rPr>
                <w:rFonts w:ascii="宋体" w:hAnsi="宋体"/>
                <w:color w:val="auto"/>
                <w:sz w:val="18"/>
                <w:szCs w:val="18"/>
                <w:highlight w:val="none"/>
              </w:rPr>
              <w:t>经济</w:t>
            </w:r>
            <w:r>
              <w:rPr>
                <w:rFonts w:hint="eastAsia" w:ascii="宋体" w:hAnsi="宋体"/>
                <w:color w:val="auto"/>
                <w:sz w:val="18"/>
                <w:szCs w:val="18"/>
                <w:highlight w:val="none"/>
              </w:rPr>
              <w:t>利益</w:t>
            </w:r>
            <w:r>
              <w:rPr>
                <w:rFonts w:ascii="宋体" w:hAnsi="宋体"/>
                <w:color w:val="auto"/>
                <w:sz w:val="18"/>
                <w:szCs w:val="18"/>
                <w:highlight w:val="none"/>
              </w:rPr>
              <w:t>关系</w:t>
            </w:r>
          </w:p>
        </w:tc>
        <w:tc>
          <w:tcPr>
            <w:tcW w:w="1841" w:type="dxa"/>
            <w:tcBorders>
              <w:top w:val="single" w:color="auto" w:sz="4" w:space="0"/>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处罚200-800元/次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1031"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4945" w:type="dxa"/>
            <w:tcBorders>
              <w:top w:val="single" w:color="auto" w:sz="4" w:space="0"/>
              <w:bottom w:val="single" w:color="auto" w:sz="4" w:space="0"/>
            </w:tcBorders>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不按时考勤或考勤</w:t>
            </w:r>
            <w:r>
              <w:rPr>
                <w:rFonts w:ascii="宋体" w:hAnsi="宋体"/>
                <w:color w:val="auto"/>
                <w:sz w:val="18"/>
                <w:szCs w:val="18"/>
                <w:highlight w:val="none"/>
              </w:rPr>
              <w:t>弄虚作假</w:t>
            </w:r>
          </w:p>
        </w:tc>
        <w:tc>
          <w:tcPr>
            <w:tcW w:w="1841" w:type="dxa"/>
            <w:tcBorders>
              <w:top w:val="single" w:color="auto" w:sz="4" w:space="0"/>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处罚100-200元/次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1031"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4945" w:type="dxa"/>
            <w:tcBorders>
              <w:top w:val="single" w:color="auto" w:sz="4" w:space="0"/>
              <w:bottom w:val="single" w:color="auto" w:sz="4" w:space="0"/>
            </w:tcBorders>
            <w:vAlign w:val="center"/>
          </w:tcPr>
          <w:p>
            <w:pPr>
              <w:ind w:firstLine="0"/>
              <w:jc w:val="left"/>
              <w:rPr>
                <w:rFonts w:hint="eastAsia" w:ascii="宋体" w:hAnsi="宋体"/>
                <w:color w:val="auto"/>
                <w:sz w:val="18"/>
                <w:szCs w:val="18"/>
                <w:highlight w:val="none"/>
              </w:rPr>
            </w:pPr>
            <w:r>
              <w:rPr>
                <w:rFonts w:ascii="宋体" w:hAnsi="宋体"/>
                <w:color w:val="auto"/>
                <w:sz w:val="18"/>
                <w:szCs w:val="18"/>
                <w:highlight w:val="none"/>
              </w:rPr>
              <w:t>接受承包商</w:t>
            </w:r>
            <w:r>
              <w:rPr>
                <w:rFonts w:hint="eastAsia" w:ascii="宋体" w:hAnsi="宋体"/>
                <w:color w:val="auto"/>
                <w:sz w:val="18"/>
                <w:szCs w:val="18"/>
                <w:highlight w:val="none"/>
              </w:rPr>
              <w:t>礼金、“红包”、礼物</w:t>
            </w:r>
            <w:r>
              <w:rPr>
                <w:rFonts w:hint="eastAsia" w:ascii="宋体" w:hAnsi="宋体"/>
                <w:color w:val="auto"/>
                <w:sz w:val="18"/>
                <w:szCs w:val="18"/>
                <w:highlight w:val="none"/>
                <w:lang w:eastAsia="zh-CN"/>
              </w:rPr>
              <w:t>，</w:t>
            </w:r>
            <w:r>
              <w:rPr>
                <w:rFonts w:hint="eastAsia" w:ascii="宋体" w:hAnsi="宋体"/>
                <w:color w:val="auto"/>
                <w:sz w:val="18"/>
                <w:szCs w:val="18"/>
                <w:highlight w:val="none"/>
              </w:rPr>
              <w:t>接受承包商</w:t>
            </w:r>
            <w:r>
              <w:rPr>
                <w:rFonts w:ascii="宋体" w:hAnsi="宋体"/>
                <w:color w:val="auto"/>
                <w:sz w:val="18"/>
                <w:szCs w:val="18"/>
                <w:highlight w:val="none"/>
              </w:rPr>
              <w:t>提供</w:t>
            </w:r>
            <w:r>
              <w:rPr>
                <w:rFonts w:hint="eastAsia" w:ascii="宋体" w:hAnsi="宋体"/>
                <w:color w:val="auto"/>
                <w:sz w:val="18"/>
                <w:szCs w:val="18"/>
                <w:highlight w:val="none"/>
              </w:rPr>
              <w:t>的</w:t>
            </w:r>
            <w:r>
              <w:rPr>
                <w:rFonts w:ascii="宋体" w:hAnsi="宋体"/>
                <w:color w:val="auto"/>
                <w:sz w:val="18"/>
                <w:szCs w:val="18"/>
                <w:highlight w:val="none"/>
              </w:rPr>
              <w:t>非工作便利</w:t>
            </w:r>
          </w:p>
        </w:tc>
        <w:tc>
          <w:tcPr>
            <w:tcW w:w="1841" w:type="dxa"/>
            <w:tcBorders>
              <w:top w:val="single" w:color="auto" w:sz="4" w:space="0"/>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处罚1000-2000元/次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1031"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4945" w:type="dxa"/>
            <w:tcBorders>
              <w:top w:val="single" w:color="auto" w:sz="4" w:space="0"/>
              <w:bottom w:val="single" w:color="auto" w:sz="4" w:space="0"/>
            </w:tcBorders>
            <w:vAlign w:val="center"/>
          </w:tcPr>
          <w:p>
            <w:pPr>
              <w:ind w:firstLine="0"/>
              <w:jc w:val="left"/>
              <w:rPr>
                <w:rFonts w:hint="eastAsia" w:ascii="宋体" w:hAnsi="宋体"/>
                <w:color w:val="auto"/>
                <w:sz w:val="18"/>
                <w:szCs w:val="18"/>
                <w:highlight w:val="none"/>
              </w:rPr>
            </w:pPr>
            <w:r>
              <w:rPr>
                <w:rFonts w:hint="eastAsia" w:ascii="宋体" w:hAnsi="宋体"/>
                <w:color w:val="auto"/>
                <w:sz w:val="18"/>
                <w:szCs w:val="18"/>
                <w:highlight w:val="none"/>
              </w:rPr>
              <w:t>监理的人员安排或工作时间不能满足工程要求</w:t>
            </w:r>
          </w:p>
        </w:tc>
        <w:tc>
          <w:tcPr>
            <w:tcW w:w="1841" w:type="dxa"/>
            <w:tcBorders>
              <w:top w:val="single" w:color="auto" w:sz="4" w:space="0"/>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处罚100-500元/次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705"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1031" w:type="dxa"/>
            <w:vMerge w:val="continue"/>
            <w:tcBorders>
              <w:top w:val="single" w:color="000000" w:themeColor="text1" w:sz="4" w:space="0"/>
              <w:bottom w:val="single" w:color="000000" w:themeColor="text1" w:sz="4" w:space="0"/>
            </w:tcBorders>
          </w:tcPr>
          <w:p>
            <w:pPr>
              <w:ind w:firstLine="360"/>
              <w:rPr>
                <w:rFonts w:ascii="宋体" w:hAnsi="宋体"/>
                <w:color w:val="auto"/>
                <w:sz w:val="18"/>
                <w:szCs w:val="18"/>
                <w:highlight w:val="none"/>
              </w:rPr>
            </w:pPr>
          </w:p>
        </w:tc>
        <w:tc>
          <w:tcPr>
            <w:tcW w:w="4945" w:type="dxa"/>
            <w:tcBorders>
              <w:top w:val="single" w:color="auto" w:sz="4" w:space="0"/>
              <w:bottom w:val="single" w:color="auto" w:sz="4" w:space="0"/>
            </w:tcBorders>
            <w:vAlign w:val="center"/>
          </w:tcPr>
          <w:p>
            <w:pPr>
              <w:ind w:firstLine="0"/>
              <w:rPr>
                <w:rFonts w:hint="eastAsia" w:ascii="宋体" w:hAnsi="宋体"/>
                <w:color w:val="auto"/>
                <w:sz w:val="18"/>
                <w:szCs w:val="18"/>
                <w:highlight w:val="none"/>
              </w:rPr>
            </w:pPr>
            <w:r>
              <w:rPr>
                <w:rFonts w:hint="eastAsia" w:ascii="宋体" w:hAnsi="宋体"/>
                <w:color w:val="auto"/>
                <w:sz w:val="18"/>
                <w:szCs w:val="18"/>
                <w:highlight w:val="none"/>
              </w:rPr>
              <w:t>业主要求协助的其它的合理的工作不能按时有效的完成。（延迟一天扣2</w:t>
            </w:r>
            <w:r>
              <w:rPr>
                <w:rFonts w:hint="eastAsia" w:ascii="宋体" w:hAnsi="宋体"/>
                <w:color w:val="auto"/>
                <w:sz w:val="18"/>
                <w:szCs w:val="18"/>
                <w:highlight w:val="none"/>
                <w:lang w:val="en-US" w:eastAsia="zh-CN"/>
              </w:rPr>
              <w:t>00元</w:t>
            </w:r>
            <w:r>
              <w:rPr>
                <w:rFonts w:hint="eastAsia" w:ascii="宋体" w:hAnsi="宋体"/>
                <w:color w:val="auto"/>
                <w:sz w:val="18"/>
                <w:szCs w:val="18"/>
                <w:highlight w:val="none"/>
              </w:rPr>
              <w:t>），效果不好（扣</w:t>
            </w:r>
            <w:r>
              <w:rPr>
                <w:rFonts w:hint="eastAsia" w:ascii="宋体" w:hAnsi="宋体"/>
                <w:color w:val="auto"/>
                <w:sz w:val="18"/>
                <w:szCs w:val="18"/>
                <w:highlight w:val="none"/>
                <w:lang w:val="en-US" w:eastAsia="zh-CN"/>
              </w:rPr>
              <w:t>200元</w:t>
            </w:r>
            <w:r>
              <w:rPr>
                <w:rFonts w:hint="eastAsia" w:ascii="宋体" w:hAnsi="宋体"/>
                <w:color w:val="auto"/>
                <w:sz w:val="18"/>
                <w:szCs w:val="18"/>
                <w:highlight w:val="none"/>
              </w:rPr>
              <w:t>）</w:t>
            </w:r>
          </w:p>
        </w:tc>
        <w:tc>
          <w:tcPr>
            <w:tcW w:w="1841" w:type="dxa"/>
            <w:tcBorders>
              <w:top w:val="single" w:color="auto" w:sz="4" w:space="0"/>
              <w:bottom w:val="single" w:color="auto" w:sz="4" w:space="0"/>
            </w:tcBorders>
            <w:vAlign w:val="center"/>
          </w:tcPr>
          <w:p>
            <w:pPr>
              <w:ind w:firstLine="0"/>
              <w:rPr>
                <w:rFonts w:ascii="宋体" w:hAnsi="宋体"/>
                <w:color w:val="auto"/>
                <w:sz w:val="18"/>
                <w:szCs w:val="18"/>
                <w:highlight w:val="none"/>
              </w:rPr>
            </w:pPr>
            <w:r>
              <w:rPr>
                <w:rFonts w:hint="eastAsia" w:ascii="宋体" w:hAnsi="宋体"/>
                <w:color w:val="auto"/>
                <w:sz w:val="18"/>
                <w:szCs w:val="18"/>
                <w:highlight w:val="none"/>
                <w:lang w:val="en-US" w:eastAsia="zh-CN"/>
              </w:rPr>
              <w:t>处罚50-200元/天</w:t>
            </w:r>
          </w:p>
        </w:tc>
      </w:tr>
    </w:tbl>
    <w:p>
      <w:pPr>
        <w:spacing w:line="360" w:lineRule="auto"/>
        <w:ind w:firstLine="480" w:firstLineChars="200"/>
        <w:rPr>
          <w:rFonts w:hint="eastAsia" w:ascii="Times New Roman" w:hAnsi="Times New Roman" w:cs="Times New Roman"/>
          <w:color w:val="auto"/>
          <w:sz w:val="24"/>
          <w:lang w:val="en-US" w:eastAsia="zh-CN"/>
        </w:rPr>
      </w:pPr>
    </w:p>
    <w:p>
      <w:pPr>
        <w:spacing w:line="360" w:lineRule="auto"/>
        <w:rPr>
          <w:rFonts w:hint="eastAsia" w:asciiTheme="minorEastAsia" w:hAnsiTheme="minorEastAsia" w:eastAsiaTheme="minorEastAsia" w:cstheme="minorEastAsia"/>
          <w:bCs/>
          <w:color w:val="auto"/>
          <w:kern w:val="0"/>
          <w:sz w:val="24"/>
          <w:lang w:val="en-US" w:eastAsia="zh-CN"/>
        </w:rPr>
      </w:pPr>
    </w:p>
    <w:p>
      <w:pPr>
        <w:spacing w:line="360" w:lineRule="auto"/>
        <w:ind w:firstLine="480" w:firstLineChars="200"/>
        <w:rPr>
          <w:rFonts w:hint="eastAsia" w:asciiTheme="minorEastAsia" w:hAnsiTheme="minorEastAsia" w:eastAsiaTheme="minorEastAsia" w:cstheme="minorEastAsia"/>
          <w:bCs/>
          <w:color w:val="auto"/>
          <w:kern w:val="0"/>
          <w:sz w:val="24"/>
        </w:rPr>
      </w:pPr>
    </w:p>
    <w:p>
      <w:pPr>
        <w:spacing w:line="360" w:lineRule="auto"/>
        <w:rPr>
          <w:color w:val="auto"/>
          <w:sz w:val="24"/>
        </w:rPr>
      </w:pPr>
    </w:p>
    <w:p>
      <w:pPr>
        <w:rPr>
          <w:color w:val="auto"/>
        </w:rPr>
      </w:pP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FZHei-B01">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49" o:spid="_x0000_s2049"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140"/>
      <w:lvlText w:val="%1."/>
      <w:lvlJc w:val="left"/>
      <w:pPr>
        <w:ind w:left="720" w:hanging="360"/>
      </w:pPr>
    </w:lvl>
    <w:lvl w:ilvl="1" w:tentative="0">
      <w:start w:val="1"/>
      <w:numFmt w:val="decimal"/>
      <w:lvlText w:val="%1.%2."/>
      <w:lvlJc w:val="left"/>
      <w:pPr>
        <w:ind w:left="1152" w:hanging="432"/>
      </w:pPr>
    </w:lvl>
    <w:lvl w:ilvl="2" w:tentative="0">
      <w:start w:val="1"/>
      <w:numFmt w:val="decimal"/>
      <w:lvlText w:val="%1.%2.%3."/>
      <w:lvlJc w:val="left"/>
      <w:pPr>
        <w:ind w:left="1584" w:hanging="504"/>
      </w:pPr>
    </w:lvl>
    <w:lvl w:ilvl="3" w:tentative="0">
      <w:start w:val="1"/>
      <w:numFmt w:val="decimal"/>
      <w:lvlText w:val="%1.%2.%3.%4."/>
      <w:lvlJc w:val="left"/>
      <w:pPr>
        <w:ind w:left="2088" w:hanging="648"/>
      </w:pPr>
    </w:lvl>
    <w:lvl w:ilvl="4" w:tentative="0">
      <w:start w:val="1"/>
      <w:numFmt w:val="decimal"/>
      <w:lvlText w:val="%1.%2.%3.%4.%5."/>
      <w:lvlJc w:val="left"/>
      <w:pPr>
        <w:ind w:left="2592" w:hanging="792"/>
      </w:pPr>
    </w:lvl>
    <w:lvl w:ilvl="5" w:tentative="0">
      <w:start w:val="1"/>
      <w:numFmt w:val="decimal"/>
      <w:lvlText w:val="%1.%2.%3.%4.%5.%6."/>
      <w:lvlJc w:val="left"/>
      <w:pPr>
        <w:ind w:left="3096" w:hanging="936"/>
      </w:pPr>
    </w:lvl>
    <w:lvl w:ilvl="6" w:tentative="0">
      <w:start w:val="1"/>
      <w:numFmt w:val="decimal"/>
      <w:lvlText w:val="%1.%2.%3.%4.%5.%6.%7."/>
      <w:lvlJc w:val="left"/>
      <w:pPr>
        <w:ind w:left="3600" w:hanging="1080"/>
      </w:pPr>
    </w:lvl>
    <w:lvl w:ilvl="7" w:tentative="0">
      <w:start w:val="1"/>
      <w:numFmt w:val="decimal"/>
      <w:lvlText w:val="%1.%2.%3.%4.%5.%6.%7.%8."/>
      <w:lvlJc w:val="left"/>
      <w:pPr>
        <w:ind w:left="4104" w:hanging="1224"/>
      </w:pPr>
    </w:lvl>
    <w:lvl w:ilvl="8" w:tentative="0">
      <w:start w:val="1"/>
      <w:numFmt w:val="decimal"/>
      <w:lvlText w:val="%1.%2.%3.%4.%5.%6.%7.%8.%9."/>
      <w:lvlJc w:val="left"/>
      <w:pPr>
        <w:ind w:left="4680" w:hanging="1440"/>
      </w:pPr>
    </w:lvl>
  </w:abstractNum>
  <w:abstractNum w:abstractNumId="1">
    <w:nsid w:val="B5E306ED"/>
    <w:multiLevelType w:val="multilevel"/>
    <w:tmpl w:val="B5E306ED"/>
    <w:lvl w:ilvl="0" w:tentative="0">
      <w:start w:val="1"/>
      <w:numFmt w:val="decimal"/>
      <w:lvlText w:val="%1"/>
      <w:lvlJc w:val="left"/>
      <w:pPr>
        <w:ind w:left="425" w:hanging="425"/>
      </w:pPr>
    </w:lvl>
    <w:lvl w:ilvl="1" w:tentative="0">
      <w:start w:val="1"/>
      <w:numFmt w:val="decimal"/>
      <w:pStyle w:val="1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708"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BF205925"/>
    <w:multiLevelType w:val="multilevel"/>
    <w:tmpl w:val="BF205925"/>
    <w:lvl w:ilvl="0" w:tentative="0">
      <w:start w:val="1"/>
      <w:numFmt w:val="none"/>
      <w:pStyle w:val="122"/>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8879AEF"/>
    <w:multiLevelType w:val="multilevel"/>
    <w:tmpl w:val="C8879AEF"/>
    <w:lvl w:ilvl="0" w:tentative="0">
      <w:start w:val="1"/>
      <w:numFmt w:val="decimal"/>
      <w:pStyle w:val="148"/>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092B84"/>
    <w:multiLevelType w:val="multilevel"/>
    <w:tmpl w:val="CF092B84"/>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80"/>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81"/>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pStyle w:val="82"/>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pStyle w:val="83"/>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pStyle w:val="84"/>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Text w:val="图 %2.0.%5 -%8"/>
      <w:lvlJc w:val="left"/>
      <w:pPr>
        <w:tabs>
          <w:tab w:val="left" w:pos="1440"/>
        </w:tabs>
        <w:ind w:left="0" w:firstLine="0"/>
      </w:pPr>
      <w:rPr>
        <w:rFonts w:hint="eastAsia" w:ascii="黑体" w:eastAsia="黑体"/>
        <w:b/>
        <w:i w:val="0"/>
        <w:sz w:val="21"/>
      </w:rPr>
    </w:lvl>
    <w:lvl w:ilvl="8" w:tentative="0">
      <w:start w:val="1"/>
      <w:numFmt w:val="decimal"/>
      <w:lvlText w:val="      %9)"/>
      <w:lvlJc w:val="left"/>
      <w:pPr>
        <w:tabs>
          <w:tab w:val="left" w:pos="1080"/>
        </w:tabs>
        <w:ind w:left="0" w:firstLine="0"/>
      </w:pPr>
      <w:rPr>
        <w:rFonts w:hint="eastAsia" w:ascii="黑体" w:hAnsi="华文细黑" w:eastAsia="黑体"/>
        <w:b/>
        <w:i w:val="0"/>
        <w:sz w:val="21"/>
      </w:rPr>
    </w:lvl>
  </w:abstractNum>
  <w:abstractNum w:abstractNumId="5">
    <w:nsid w:val="DCBA6B53"/>
    <w:multiLevelType w:val="singleLevel"/>
    <w:tmpl w:val="DCBA6B53"/>
    <w:lvl w:ilvl="0" w:tentative="0">
      <w:start w:val="1"/>
      <w:numFmt w:val="decimal"/>
      <w:suff w:val="nothing"/>
      <w:lvlText w:val="%1）"/>
      <w:lvlJc w:val="left"/>
    </w:lvl>
  </w:abstractNum>
  <w:abstractNum w:abstractNumId="6">
    <w:nsid w:val="F4B5D9F5"/>
    <w:multiLevelType w:val="multilevel"/>
    <w:tmpl w:val="F4B5D9F5"/>
    <w:lvl w:ilvl="0" w:tentative="0">
      <w:start w:val="1"/>
      <w:numFmt w:val="decimal"/>
      <w:pStyle w:val="15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053208E"/>
    <w:multiLevelType w:val="multilevel"/>
    <w:tmpl w:val="0053208E"/>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75"/>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0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0248C179"/>
    <w:multiLevelType w:val="multilevel"/>
    <w:tmpl w:val="0248C179"/>
    <w:lvl w:ilvl="0" w:tentative="0">
      <w:start w:val="1"/>
      <w:numFmt w:val="none"/>
      <w:pStyle w:val="134"/>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3D62ECE"/>
    <w:multiLevelType w:val="multilevel"/>
    <w:tmpl w:val="03D62ECE"/>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kern w:val="21"/>
        <w:sz w:val="21"/>
      </w:rPr>
    </w:lvl>
    <w:lvl w:ilvl="2" w:tentative="0">
      <w:start w:val="1"/>
      <w:numFmt w:val="decimal"/>
      <w:pStyle w:val="125"/>
      <w:suff w:val="nothing"/>
      <w:lvlText w:val="%1.%2.%3　"/>
      <w:lvlJc w:val="left"/>
      <w:pPr>
        <w:ind w:left="0" w:firstLine="0"/>
      </w:pPr>
      <w:rPr>
        <w:rFonts w:hint="eastAsia" w:ascii="黑体" w:hAnsi="Times New Roman" w:eastAsia="黑体"/>
        <w:b w:val="0"/>
        <w:i w:val="0"/>
        <w:sz w:val="21"/>
      </w:rPr>
    </w:lvl>
    <w:lvl w:ilvl="3" w:tentative="0">
      <w:start w:val="1"/>
      <w:numFmt w:val="decimal"/>
      <w:pStyle w:val="126"/>
      <w:suff w:val="nothing"/>
      <w:lvlText w:val="%1.%2.%3.%4　"/>
      <w:lvlJc w:val="left"/>
      <w:pPr>
        <w:ind w:left="0" w:firstLine="0"/>
      </w:pPr>
      <w:rPr>
        <w:rFonts w:hint="eastAsia" w:ascii="黑体" w:hAnsi="Times New Roman" w:eastAsia="黑体"/>
        <w:b w:val="0"/>
        <w:i w:val="0"/>
        <w:sz w:val="21"/>
      </w:rPr>
    </w:lvl>
    <w:lvl w:ilvl="4" w:tentative="0">
      <w:start w:val="1"/>
      <w:numFmt w:val="decimal"/>
      <w:pStyle w:val="127"/>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2470EC97"/>
    <w:multiLevelType w:val="multilevel"/>
    <w:tmpl w:val="2470EC97"/>
    <w:lvl w:ilvl="0" w:tentative="0">
      <w:start w:val="1"/>
      <w:numFmt w:val="none"/>
      <w:pStyle w:val="153"/>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5B654F3"/>
    <w:multiLevelType w:val="multilevel"/>
    <w:tmpl w:val="25B654F3"/>
    <w:lvl w:ilvl="0" w:tentative="0">
      <w:start w:val="1"/>
      <w:numFmt w:val="none"/>
      <w:pStyle w:val="128"/>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A8F537B"/>
    <w:multiLevelType w:val="multilevel"/>
    <w:tmpl w:val="2A8F537B"/>
    <w:lvl w:ilvl="0" w:tentative="0">
      <w:start w:val="1"/>
      <w:numFmt w:val="decimal"/>
      <w:pStyle w:val="146"/>
      <w:lvlText w:val="%1）"/>
      <w:lvlJc w:val="left"/>
      <w:pPr>
        <w:ind w:left="710" w:firstLine="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13">
    <w:nsid w:val="4D4DC07F"/>
    <w:multiLevelType w:val="multilevel"/>
    <w:tmpl w:val="4D4DC07F"/>
    <w:lvl w:ilvl="0" w:tentative="0">
      <w:start w:val="1"/>
      <w:numFmt w:val="lowerLetter"/>
      <w:pStyle w:val="149"/>
      <w:lvlText w:val="%1)"/>
      <w:lvlJc w:val="left"/>
      <w:pPr>
        <w:tabs>
          <w:tab w:val="left" w:pos="840"/>
        </w:tabs>
        <w:ind w:left="840" w:hanging="420"/>
      </w:pPr>
      <w:rPr>
        <w:rFonts w:ascii="宋体" w:hAnsi="宋体" w:eastAsia="宋体"/>
      </w:rPr>
    </w:lvl>
    <w:lvl w:ilvl="1" w:tentative="0">
      <w:start w:val="1"/>
      <w:numFmt w:val="lowerLetter"/>
      <w:lvlText w:val="%2）"/>
      <w:lvlJc w:val="left"/>
      <w:pPr>
        <w:tabs>
          <w:tab w:val="left" w:pos="780"/>
        </w:tabs>
        <w:ind w:left="780" w:hanging="360"/>
      </w:pPr>
      <w:rPr>
        <w:rFonts w:hint="default" w:eastAsia="黑体"/>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9ADCABA"/>
    <w:multiLevelType w:val="multilevel"/>
    <w:tmpl w:val="59ADCABA"/>
    <w:lvl w:ilvl="0" w:tentative="0">
      <w:start w:val="1"/>
      <w:numFmt w:val="upperLetter"/>
      <w:pStyle w:val="121"/>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abstractNum w:abstractNumId="15">
    <w:nsid w:val="5A241D34"/>
    <w:multiLevelType w:val="multilevel"/>
    <w:tmpl w:val="5A241D34"/>
    <w:lvl w:ilvl="0" w:tentative="0">
      <w:start w:val="1"/>
      <w:numFmt w:val="decimal"/>
      <w:pStyle w:val="147"/>
      <w:lvlText w:val="%1）"/>
      <w:lvlJc w:val="left"/>
      <w:pPr>
        <w:ind w:left="456" w:hanging="420"/>
      </w:pPr>
      <w:rPr>
        <w:rFonts w:hint="eastAsia"/>
      </w:rPr>
    </w:lvl>
    <w:lvl w:ilvl="1" w:tentative="0">
      <w:start w:val="1"/>
      <w:numFmt w:val="lowerLetter"/>
      <w:lvlText w:val="%2)"/>
      <w:lvlJc w:val="left"/>
      <w:pPr>
        <w:ind w:left="876" w:hanging="420"/>
      </w:pPr>
    </w:lvl>
    <w:lvl w:ilvl="2" w:tentative="0">
      <w:start w:val="1"/>
      <w:numFmt w:val="lowerRoman"/>
      <w:lvlText w:val="%3."/>
      <w:lvlJc w:val="right"/>
      <w:pPr>
        <w:ind w:left="1296" w:hanging="420"/>
      </w:pPr>
    </w:lvl>
    <w:lvl w:ilvl="3" w:tentative="0">
      <w:start w:val="1"/>
      <w:numFmt w:val="decimal"/>
      <w:lvlText w:val="%4."/>
      <w:lvlJc w:val="left"/>
      <w:pPr>
        <w:ind w:left="1716" w:hanging="420"/>
      </w:pPr>
    </w:lvl>
    <w:lvl w:ilvl="4" w:tentative="0">
      <w:start w:val="1"/>
      <w:numFmt w:val="lowerLetter"/>
      <w:lvlText w:val="%5)"/>
      <w:lvlJc w:val="left"/>
      <w:pPr>
        <w:ind w:left="2136" w:hanging="420"/>
      </w:pPr>
    </w:lvl>
    <w:lvl w:ilvl="5" w:tentative="0">
      <w:start w:val="1"/>
      <w:numFmt w:val="lowerRoman"/>
      <w:lvlText w:val="%6."/>
      <w:lvlJc w:val="right"/>
      <w:pPr>
        <w:ind w:left="2556" w:hanging="420"/>
      </w:pPr>
    </w:lvl>
    <w:lvl w:ilvl="6" w:tentative="0">
      <w:start w:val="1"/>
      <w:numFmt w:val="decimal"/>
      <w:lvlText w:val="%7."/>
      <w:lvlJc w:val="left"/>
      <w:pPr>
        <w:ind w:left="2976" w:hanging="420"/>
      </w:pPr>
    </w:lvl>
    <w:lvl w:ilvl="7" w:tentative="0">
      <w:start w:val="1"/>
      <w:numFmt w:val="lowerLetter"/>
      <w:lvlText w:val="%8)"/>
      <w:lvlJc w:val="left"/>
      <w:pPr>
        <w:ind w:left="3396" w:hanging="420"/>
      </w:pPr>
    </w:lvl>
    <w:lvl w:ilvl="8" w:tentative="0">
      <w:start w:val="1"/>
      <w:numFmt w:val="lowerRoman"/>
      <w:lvlText w:val="%9."/>
      <w:lvlJc w:val="right"/>
      <w:pPr>
        <w:ind w:left="3816" w:hanging="420"/>
      </w:pPr>
    </w:lvl>
  </w:abstractNum>
  <w:abstractNum w:abstractNumId="16">
    <w:nsid w:val="72183CF9"/>
    <w:multiLevelType w:val="multilevel"/>
    <w:tmpl w:val="72183CF9"/>
    <w:lvl w:ilvl="0" w:tentative="0">
      <w:start w:val="1"/>
      <w:numFmt w:val="decimal"/>
      <w:lvlText w:val="%1."/>
      <w:lvlJc w:val="left"/>
      <w:pPr>
        <w:ind w:left="360" w:hanging="360"/>
      </w:pPr>
      <w:rPr>
        <w:rFonts w:hint="eastAsia"/>
      </w:rPr>
    </w:lvl>
    <w:lvl w:ilvl="1" w:tentative="0">
      <w:start w:val="1"/>
      <w:numFmt w:val="decimal"/>
      <w:lvlText w:val="%1.%2."/>
      <w:lvlJc w:val="left"/>
      <w:pPr>
        <w:ind w:left="792" w:hanging="432"/>
      </w:pPr>
      <w:rPr>
        <w:rFonts w:hint="eastAsia"/>
      </w:rPr>
    </w:lvl>
    <w:lvl w:ilvl="2" w:tentative="0">
      <w:start w:val="1"/>
      <w:numFmt w:val="decimal"/>
      <w:lvlText w:val="%1.%2.%3."/>
      <w:lvlJc w:val="left"/>
      <w:pPr>
        <w:ind w:left="567" w:firstLine="153"/>
      </w:pPr>
      <w:rPr>
        <w:rFonts w:hint="eastAsia"/>
        <w:b w:val="0"/>
      </w:rPr>
    </w:lvl>
    <w:lvl w:ilvl="3" w:tentative="0">
      <w:start w:val="1"/>
      <w:numFmt w:val="decimal"/>
      <w:lvlText w:val="%1.%2.%3.%4."/>
      <w:lvlJc w:val="left"/>
      <w:pPr>
        <w:ind w:left="1728" w:hanging="648"/>
      </w:pPr>
      <w:rPr>
        <w:rFonts w:hint="eastAsia"/>
      </w:rPr>
    </w:lvl>
    <w:lvl w:ilvl="4" w:tentative="0">
      <w:start w:val="1"/>
      <w:numFmt w:val="decimal"/>
      <w:lvlText w:val="%1.%2.%3.%4.%5."/>
      <w:lvlJc w:val="left"/>
      <w:pPr>
        <w:ind w:left="2232" w:hanging="792"/>
      </w:pPr>
      <w:rPr>
        <w:rFonts w:hint="eastAsia"/>
      </w:rPr>
    </w:lvl>
    <w:lvl w:ilvl="5" w:tentative="0">
      <w:start w:val="1"/>
      <w:numFmt w:val="decimal"/>
      <w:lvlText w:val="%1.%2.%3.%4.%5.%6."/>
      <w:lvlJc w:val="left"/>
      <w:pPr>
        <w:ind w:left="2736" w:hanging="936"/>
      </w:pPr>
      <w:rPr>
        <w:rFonts w:hint="eastAsia"/>
      </w:rPr>
    </w:lvl>
    <w:lvl w:ilvl="6" w:tentative="0">
      <w:start w:val="1"/>
      <w:numFmt w:val="decimal"/>
      <w:pStyle w:val="129"/>
      <w:lvlText w:val="%1.%2.%3.%4.%5.%6.%7."/>
      <w:lvlJc w:val="left"/>
      <w:pPr>
        <w:ind w:left="3240" w:hanging="1080"/>
      </w:pPr>
      <w:rPr>
        <w:rFonts w:hint="eastAsia"/>
      </w:rPr>
    </w:lvl>
    <w:lvl w:ilvl="7" w:tentative="0">
      <w:start w:val="1"/>
      <w:numFmt w:val="decimal"/>
      <w:lvlText w:val="%1.%2.%3.%4.%5.%6.%7.%8."/>
      <w:lvlJc w:val="left"/>
      <w:pPr>
        <w:ind w:left="3744" w:hanging="1224"/>
      </w:pPr>
      <w:rPr>
        <w:rFonts w:hint="eastAsia"/>
      </w:rPr>
    </w:lvl>
    <w:lvl w:ilvl="8" w:tentative="0">
      <w:start w:val="1"/>
      <w:numFmt w:val="decimal"/>
      <w:lvlText w:val="%1.%2.%3.%4.%5.%6.%7.%8.%9."/>
      <w:lvlJc w:val="left"/>
      <w:pPr>
        <w:ind w:left="4320" w:hanging="1440"/>
      </w:pPr>
      <w:rPr>
        <w:rFonts w:hint="eastAsia"/>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doNotValidateAgainstSchema/>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1A557E"/>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6"/>
    <w:qFormat/>
    <w:uiPriority w:val="9"/>
    <w:pPr>
      <w:keepNext/>
      <w:keepLines/>
      <w:spacing w:before="260" w:after="260" w:line="416" w:lineRule="auto"/>
      <w:outlineLvl w:val="1"/>
    </w:pPr>
    <w:rPr>
      <w:rFonts w:ascii="Cambria" w:hAnsi="Cambria"/>
      <w:b/>
      <w:bCs/>
      <w:color w:val="4F81BD"/>
      <w:sz w:val="26"/>
      <w:szCs w:val="26"/>
    </w:rPr>
  </w:style>
  <w:style w:type="paragraph" w:styleId="6">
    <w:name w:val="heading 3"/>
    <w:basedOn w:val="1"/>
    <w:next w:val="1"/>
    <w:link w:val="57"/>
    <w:qFormat/>
    <w:uiPriority w:val="0"/>
    <w:pPr>
      <w:keepNext/>
      <w:keepLines/>
      <w:spacing w:before="260" w:after="260" w:line="416" w:lineRule="auto"/>
      <w:outlineLvl w:val="2"/>
    </w:pPr>
    <w:rPr>
      <w:b/>
      <w:bCs/>
      <w:sz w:val="32"/>
      <w:szCs w:val="32"/>
    </w:rPr>
  </w:style>
  <w:style w:type="paragraph" w:styleId="7">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9"/>
    <w:qFormat/>
    <w:uiPriority w:val="0"/>
    <w:pPr>
      <w:keepNext/>
      <w:keepLines/>
      <w:spacing w:before="280" w:after="290" w:line="376" w:lineRule="auto"/>
      <w:outlineLvl w:val="4"/>
    </w:pPr>
    <w:rPr>
      <w:b/>
      <w:bCs/>
      <w:sz w:val="28"/>
      <w:szCs w:val="28"/>
    </w:rPr>
  </w:style>
  <w:style w:type="paragraph" w:styleId="9">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10">
    <w:name w:val="heading 7"/>
    <w:basedOn w:val="1"/>
    <w:next w:val="1"/>
    <w:link w:val="61"/>
    <w:qFormat/>
    <w:uiPriority w:val="0"/>
    <w:pPr>
      <w:keepNext/>
      <w:keepLines/>
      <w:spacing w:before="240" w:after="64" w:line="320" w:lineRule="auto"/>
      <w:outlineLvl w:val="6"/>
    </w:pPr>
    <w:rPr>
      <w:b/>
      <w:bCs/>
      <w:sz w:val="24"/>
    </w:rPr>
  </w:style>
  <w:style w:type="paragraph" w:styleId="11">
    <w:name w:val="heading 8"/>
    <w:basedOn w:val="1"/>
    <w:next w:val="1"/>
    <w:link w:val="62"/>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link w:val="63"/>
    <w:qFormat/>
    <w:uiPriority w:val="0"/>
    <w:pPr>
      <w:keepNext/>
      <w:keepLines/>
      <w:spacing w:before="240" w:after="64" w:line="320" w:lineRule="auto"/>
      <w:outlineLvl w:val="8"/>
    </w:pPr>
    <w:rPr>
      <w:rFonts w:ascii="Arial" w:hAnsi="Arial" w:eastAsia="黑体"/>
      <w:szCs w:val="21"/>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ody Text"/>
    <w:basedOn w:val="3"/>
    <w:next w:val="3"/>
    <w:link w:val="92"/>
    <w:unhideWhenUsed/>
    <w:qFormat/>
    <w:uiPriority w:val="99"/>
    <w:pPr>
      <w:spacing w:after="120"/>
    </w:pPr>
    <w:rPr>
      <w:rFonts w:ascii="Calibri" w:hAnsi="Calibri"/>
      <w:szCs w:val="22"/>
    </w:rPr>
  </w:style>
  <w:style w:type="paragraph" w:styleId="3">
    <w:name w:val="Title"/>
    <w:basedOn w:val="1"/>
    <w:next w:val="1"/>
    <w:link w:val="99"/>
    <w:qFormat/>
    <w:uiPriority w:val="0"/>
    <w:pPr>
      <w:spacing w:before="240" w:after="60"/>
      <w:jc w:val="center"/>
      <w:outlineLvl w:val="0"/>
    </w:pPr>
    <w:rPr>
      <w:rFonts w:ascii="Arial" w:hAnsi="Arial"/>
      <w:b/>
      <w:bCs/>
      <w:sz w:val="32"/>
      <w:szCs w:val="32"/>
    </w:rPr>
  </w:style>
  <w:style w:type="paragraph" w:styleId="13">
    <w:name w:val="toc 7"/>
    <w:basedOn w:val="14"/>
    <w:next w:val="1"/>
    <w:qFormat/>
    <w:uiPriority w:val="0"/>
  </w:style>
  <w:style w:type="paragraph" w:styleId="14">
    <w:name w:val="toc 6"/>
    <w:basedOn w:val="15"/>
    <w:next w:val="1"/>
    <w:qFormat/>
    <w:uiPriority w:val="0"/>
  </w:style>
  <w:style w:type="paragraph" w:styleId="15">
    <w:name w:val="toc 5"/>
    <w:basedOn w:val="16"/>
    <w:next w:val="1"/>
    <w:qFormat/>
    <w:uiPriority w:val="0"/>
  </w:style>
  <w:style w:type="paragraph" w:styleId="16">
    <w:name w:val="toc 4"/>
    <w:basedOn w:val="17"/>
    <w:next w:val="1"/>
    <w:qFormat/>
    <w:uiPriority w:val="0"/>
  </w:style>
  <w:style w:type="paragraph" w:styleId="17">
    <w:name w:val="toc 3"/>
    <w:basedOn w:val="18"/>
    <w:next w:val="1"/>
    <w:qFormat/>
    <w:uiPriority w:val="0"/>
    <w:pPr>
      <w:widowControl/>
      <w:spacing w:after="0"/>
      <w:ind w:left="0"/>
    </w:pPr>
    <w:rPr>
      <w:rFonts w:ascii="宋体" w:hAnsi="Times New Roman"/>
      <w:kern w:val="0"/>
      <w:szCs w:val="20"/>
    </w:rPr>
  </w:style>
  <w:style w:type="paragraph" w:styleId="18">
    <w:name w:val="toc 2"/>
    <w:basedOn w:val="1"/>
    <w:next w:val="1"/>
    <w:unhideWhenUsed/>
    <w:qFormat/>
    <w:uiPriority w:val="39"/>
    <w:pPr>
      <w:spacing w:after="100"/>
      <w:ind w:left="210"/>
    </w:pPr>
    <w:rPr>
      <w:rFonts w:ascii="Calibri" w:hAnsi="Calibri"/>
      <w:szCs w:val="22"/>
    </w:rPr>
  </w:style>
  <w:style w:type="paragraph" w:styleId="19">
    <w:name w:val="Document Map"/>
    <w:basedOn w:val="1"/>
    <w:link w:val="70"/>
    <w:unhideWhenUsed/>
    <w:qFormat/>
    <w:uiPriority w:val="0"/>
    <w:rPr>
      <w:rFonts w:ascii="宋体" w:hAnsi="Calibri"/>
      <w:kern w:val="0"/>
      <w:sz w:val="18"/>
      <w:szCs w:val="18"/>
    </w:rPr>
  </w:style>
  <w:style w:type="paragraph" w:styleId="20">
    <w:name w:val="Body Text Indent"/>
    <w:basedOn w:val="1"/>
    <w:link w:val="85"/>
    <w:qFormat/>
    <w:uiPriority w:val="0"/>
    <w:pPr>
      <w:spacing w:after="120"/>
      <w:ind w:left="420" w:leftChars="200"/>
    </w:pPr>
    <w:rPr>
      <w:rFonts w:ascii="Calibri" w:hAnsi="Calibri"/>
      <w:szCs w:val="22"/>
    </w:rPr>
  </w:style>
  <w:style w:type="paragraph" w:styleId="21">
    <w:name w:val="HTML Address"/>
    <w:basedOn w:val="1"/>
    <w:link w:val="97"/>
    <w:qFormat/>
    <w:uiPriority w:val="0"/>
    <w:rPr>
      <w:i/>
      <w:iCs/>
    </w:rPr>
  </w:style>
  <w:style w:type="paragraph" w:styleId="22">
    <w:name w:val="Plain Text"/>
    <w:basedOn w:val="1"/>
    <w:link w:val="172"/>
    <w:qFormat/>
    <w:uiPriority w:val="0"/>
    <w:rPr>
      <w:rFonts w:ascii="宋体" w:hAnsi="Courier New"/>
      <w:szCs w:val="20"/>
    </w:rPr>
  </w:style>
  <w:style w:type="paragraph" w:styleId="23">
    <w:name w:val="toc 8"/>
    <w:basedOn w:val="13"/>
    <w:next w:val="1"/>
    <w:qFormat/>
    <w:uiPriority w:val="0"/>
  </w:style>
  <w:style w:type="paragraph" w:styleId="24">
    <w:name w:val="Date"/>
    <w:basedOn w:val="1"/>
    <w:next w:val="1"/>
    <w:link w:val="151"/>
    <w:qFormat/>
    <w:uiPriority w:val="0"/>
    <w:pPr>
      <w:ind w:left="100" w:leftChars="2500"/>
    </w:pPr>
  </w:style>
  <w:style w:type="paragraph" w:styleId="25">
    <w:name w:val="Balloon Text"/>
    <w:basedOn w:val="1"/>
    <w:link w:val="71"/>
    <w:unhideWhenUsed/>
    <w:qFormat/>
    <w:uiPriority w:val="99"/>
    <w:rPr>
      <w:rFonts w:ascii="宋体" w:hAnsi="Calibri"/>
      <w:kern w:val="0"/>
      <w:sz w:val="18"/>
      <w:szCs w:val="18"/>
    </w:rPr>
  </w:style>
  <w:style w:type="paragraph" w:styleId="26">
    <w:name w:val="footer"/>
    <w:basedOn w:val="1"/>
    <w:link w:val="65"/>
    <w:qFormat/>
    <w:uiPriority w:val="99"/>
    <w:pPr>
      <w:tabs>
        <w:tab w:val="center" w:pos="4153"/>
        <w:tab w:val="right" w:pos="8306"/>
      </w:tabs>
      <w:snapToGrid w:val="0"/>
      <w:jc w:val="left"/>
    </w:pPr>
    <w:rPr>
      <w:sz w:val="18"/>
      <w:szCs w:val="18"/>
    </w:rPr>
  </w:style>
  <w:style w:type="paragraph" w:styleId="27">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unhideWhenUsed/>
    <w:qFormat/>
    <w:uiPriority w:val="39"/>
    <w:pPr>
      <w:tabs>
        <w:tab w:val="left" w:pos="840"/>
        <w:tab w:val="right" w:leader="dot" w:pos="8302"/>
      </w:tabs>
      <w:spacing w:line="276" w:lineRule="auto"/>
    </w:pPr>
    <w:rPr>
      <w:rFonts w:ascii="Calibri" w:hAnsi="Calibri"/>
      <w:szCs w:val="22"/>
    </w:rPr>
  </w:style>
  <w:style w:type="paragraph" w:styleId="29">
    <w:name w:val="footnote text"/>
    <w:basedOn w:val="1"/>
    <w:link w:val="132"/>
    <w:qFormat/>
    <w:uiPriority w:val="0"/>
    <w:pPr>
      <w:snapToGrid w:val="0"/>
      <w:jc w:val="left"/>
    </w:pPr>
    <w:rPr>
      <w:sz w:val="18"/>
      <w:szCs w:val="18"/>
    </w:rPr>
  </w:style>
  <w:style w:type="paragraph" w:styleId="30">
    <w:name w:val="Body Text Indent 3"/>
    <w:basedOn w:val="1"/>
    <w:link w:val="159"/>
    <w:qFormat/>
    <w:uiPriority w:val="0"/>
    <w:pPr>
      <w:spacing w:after="120"/>
      <w:ind w:left="420" w:leftChars="200"/>
    </w:pPr>
    <w:rPr>
      <w:sz w:val="16"/>
      <w:szCs w:val="16"/>
    </w:rPr>
  </w:style>
  <w:style w:type="paragraph" w:styleId="31">
    <w:name w:val="toc 9"/>
    <w:basedOn w:val="23"/>
    <w:next w:val="1"/>
    <w:qFormat/>
    <w:uiPriority w:val="0"/>
  </w:style>
  <w:style w:type="paragraph" w:styleId="32">
    <w:name w:val="HTML Preformatted"/>
    <w:basedOn w:val="1"/>
    <w:link w:val="98"/>
    <w:qFormat/>
    <w:uiPriority w:val="0"/>
    <w:rPr>
      <w:rFonts w:ascii="Courier New" w:hAnsi="Courier New"/>
      <w:sz w:val="20"/>
      <w:szCs w:val="20"/>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34">
    <w:name w:val="Body Text First Indent"/>
    <w:basedOn w:val="2"/>
    <w:link w:val="161"/>
    <w:qFormat/>
    <w:uiPriority w:val="0"/>
    <w:pPr>
      <w:spacing w:before="120" w:after="0"/>
      <w:ind w:firstLine="200" w:firstLineChars="200"/>
    </w:pPr>
    <w:rPr>
      <w:lang w:eastAsia="en-US"/>
    </w:rPr>
  </w:style>
  <w:style w:type="paragraph" w:styleId="35">
    <w:name w:val="Body Text First Indent 2"/>
    <w:basedOn w:val="20"/>
    <w:link w:val="86"/>
    <w:qFormat/>
    <w:uiPriority w:val="0"/>
    <w:pPr>
      <w:ind w:firstLine="420" w:firstLineChars="200"/>
    </w:pPr>
    <w:rPr>
      <w:sz w:val="28"/>
    </w:r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page number"/>
    <w:qFormat/>
    <w:uiPriority w:val="0"/>
    <w:rPr>
      <w:rFonts w:ascii="Times New Roman" w:hAnsi="Times New Roman" w:eastAsia="宋体"/>
      <w:sz w:val="18"/>
    </w:rPr>
  </w:style>
  <w:style w:type="character" w:styleId="41">
    <w:name w:val="FollowedHyperlink"/>
    <w:unhideWhenUsed/>
    <w:qFormat/>
    <w:uiPriority w:val="99"/>
    <w:rPr>
      <w:color w:val="800080"/>
      <w:u w:val="single"/>
    </w:rPr>
  </w:style>
  <w:style w:type="character" w:styleId="42">
    <w:name w:val="HTML Definition"/>
    <w:qFormat/>
    <w:uiPriority w:val="0"/>
    <w:rPr>
      <w:i/>
      <w:iCs/>
    </w:rPr>
  </w:style>
  <w:style w:type="character" w:styleId="43">
    <w:name w:val="HTML Typewriter"/>
    <w:qFormat/>
    <w:uiPriority w:val="0"/>
    <w:rPr>
      <w:rFonts w:ascii="Courier New" w:hAnsi="Courier New"/>
      <w:sz w:val="20"/>
      <w:szCs w:val="20"/>
    </w:rPr>
  </w:style>
  <w:style w:type="character" w:styleId="44">
    <w:name w:val="HTML Acronym"/>
    <w:qFormat/>
    <w:uiPriority w:val="0"/>
  </w:style>
  <w:style w:type="character" w:styleId="45">
    <w:name w:val="HTML Variable"/>
    <w:qFormat/>
    <w:uiPriority w:val="0"/>
    <w:rPr>
      <w:i/>
      <w:iCs/>
    </w:rPr>
  </w:style>
  <w:style w:type="character" w:styleId="46">
    <w:name w:val="Hyperlink"/>
    <w:unhideWhenUsed/>
    <w:qFormat/>
    <w:uiPriority w:val="99"/>
    <w:rPr>
      <w:color w:val="0000FF"/>
      <w:u w:val="single"/>
    </w:rPr>
  </w:style>
  <w:style w:type="character" w:styleId="47">
    <w:name w:val="HTML Code"/>
    <w:qFormat/>
    <w:uiPriority w:val="0"/>
    <w:rPr>
      <w:rFonts w:ascii="Courier New" w:hAnsi="Courier New"/>
      <w:sz w:val="20"/>
      <w:szCs w:val="20"/>
    </w:rPr>
  </w:style>
  <w:style w:type="character" w:styleId="48">
    <w:name w:val="HTML Cite"/>
    <w:qFormat/>
    <w:uiPriority w:val="0"/>
    <w:rPr>
      <w:i/>
      <w:iCs/>
    </w:rPr>
  </w:style>
  <w:style w:type="character" w:styleId="49">
    <w:name w:val="footnote reference"/>
    <w:qFormat/>
    <w:uiPriority w:val="0"/>
    <w:rPr>
      <w:vertAlign w:val="superscript"/>
    </w:rPr>
  </w:style>
  <w:style w:type="character" w:styleId="50">
    <w:name w:val="HTML Keyboard"/>
    <w:qFormat/>
    <w:uiPriority w:val="0"/>
    <w:rPr>
      <w:rFonts w:ascii="Courier New" w:hAnsi="Courier New"/>
      <w:sz w:val="20"/>
      <w:szCs w:val="20"/>
    </w:rPr>
  </w:style>
  <w:style w:type="character" w:styleId="51">
    <w:name w:val="HTML Sample"/>
    <w:qFormat/>
    <w:uiPriority w:val="0"/>
    <w:rPr>
      <w:rFonts w:ascii="Courier New" w:hAnsi="Courier New"/>
    </w:rPr>
  </w:style>
  <w:style w:type="paragraph" w:customStyle="1" w:styleId="52">
    <w:name w:val="Comment Text"/>
    <w:basedOn w:val="1"/>
    <w:link w:val="69"/>
    <w:qFormat/>
    <w:uiPriority w:val="0"/>
    <w:pPr>
      <w:jc w:val="left"/>
    </w:pPr>
    <w:rPr>
      <w:rFonts w:ascii="Calibri" w:hAnsi="Calibri"/>
      <w:kern w:val="0"/>
      <w:sz w:val="20"/>
      <w:szCs w:val="20"/>
    </w:rPr>
  </w:style>
  <w:style w:type="paragraph" w:customStyle="1" w:styleId="53">
    <w:name w:val="Comment Subject"/>
    <w:basedOn w:val="52"/>
    <w:next w:val="52"/>
    <w:link w:val="72"/>
    <w:unhideWhenUsed/>
    <w:qFormat/>
    <w:uiPriority w:val="99"/>
    <w:pPr>
      <w:jc w:val="both"/>
    </w:pPr>
    <w:rPr>
      <w:b/>
      <w:bCs/>
    </w:rPr>
  </w:style>
  <w:style w:type="character" w:customStyle="1" w:styleId="54">
    <w:name w:val="Comment Reference"/>
    <w:qFormat/>
    <w:uiPriority w:val="0"/>
    <w:rPr>
      <w:sz w:val="21"/>
      <w:szCs w:val="21"/>
    </w:rPr>
  </w:style>
  <w:style w:type="character" w:customStyle="1" w:styleId="55">
    <w:name w:val="标题 1 Char"/>
    <w:basedOn w:val="38"/>
    <w:link w:val="4"/>
    <w:qFormat/>
    <w:uiPriority w:val="0"/>
    <w:rPr>
      <w:rFonts w:ascii="Times New Roman" w:hAnsi="Times New Roman" w:eastAsia="宋体" w:cs="Times New Roman"/>
      <w:b/>
      <w:bCs/>
      <w:kern w:val="44"/>
      <w:sz w:val="44"/>
      <w:szCs w:val="44"/>
    </w:rPr>
  </w:style>
  <w:style w:type="character" w:customStyle="1" w:styleId="56">
    <w:name w:val="标题 2 Char"/>
    <w:basedOn w:val="38"/>
    <w:link w:val="5"/>
    <w:qFormat/>
    <w:uiPriority w:val="9"/>
    <w:rPr>
      <w:rFonts w:ascii="Cambria" w:hAnsi="Cambria" w:eastAsia="宋体" w:cs="Times New Roman"/>
      <w:b/>
      <w:bCs/>
      <w:color w:val="4F81BD"/>
      <w:sz w:val="26"/>
      <w:szCs w:val="26"/>
    </w:rPr>
  </w:style>
  <w:style w:type="character" w:customStyle="1" w:styleId="57">
    <w:name w:val="标题 3 Char"/>
    <w:basedOn w:val="38"/>
    <w:link w:val="6"/>
    <w:qFormat/>
    <w:uiPriority w:val="0"/>
    <w:rPr>
      <w:rFonts w:ascii="Times New Roman" w:hAnsi="Times New Roman" w:eastAsia="宋体" w:cs="Times New Roman"/>
      <w:b/>
      <w:bCs/>
      <w:sz w:val="32"/>
      <w:szCs w:val="32"/>
    </w:rPr>
  </w:style>
  <w:style w:type="character" w:customStyle="1" w:styleId="58">
    <w:name w:val="标题 4 Char"/>
    <w:basedOn w:val="38"/>
    <w:link w:val="7"/>
    <w:qFormat/>
    <w:uiPriority w:val="0"/>
    <w:rPr>
      <w:rFonts w:ascii="Arial" w:hAnsi="Arial" w:eastAsia="黑体" w:cs="Times New Roman"/>
      <w:b/>
      <w:bCs/>
      <w:sz w:val="28"/>
      <w:szCs w:val="28"/>
    </w:rPr>
  </w:style>
  <w:style w:type="character" w:customStyle="1" w:styleId="59">
    <w:name w:val="标题 5 Char"/>
    <w:basedOn w:val="38"/>
    <w:link w:val="8"/>
    <w:qFormat/>
    <w:uiPriority w:val="0"/>
    <w:rPr>
      <w:rFonts w:ascii="Times New Roman" w:hAnsi="Times New Roman" w:eastAsia="宋体" w:cs="Times New Roman"/>
      <w:b/>
      <w:bCs/>
      <w:sz w:val="28"/>
      <w:szCs w:val="28"/>
    </w:rPr>
  </w:style>
  <w:style w:type="character" w:customStyle="1" w:styleId="60">
    <w:name w:val="标题 6 Char"/>
    <w:basedOn w:val="38"/>
    <w:link w:val="9"/>
    <w:qFormat/>
    <w:uiPriority w:val="0"/>
    <w:rPr>
      <w:rFonts w:ascii="Arial" w:hAnsi="Arial" w:eastAsia="黑体" w:cs="Times New Roman"/>
      <w:b/>
      <w:bCs/>
      <w:sz w:val="24"/>
      <w:szCs w:val="24"/>
    </w:rPr>
  </w:style>
  <w:style w:type="character" w:customStyle="1" w:styleId="61">
    <w:name w:val="标题 7 Char"/>
    <w:basedOn w:val="38"/>
    <w:link w:val="10"/>
    <w:qFormat/>
    <w:uiPriority w:val="0"/>
    <w:rPr>
      <w:rFonts w:ascii="Times New Roman" w:hAnsi="Times New Roman" w:eastAsia="宋体" w:cs="Times New Roman"/>
      <w:b/>
      <w:bCs/>
      <w:sz w:val="24"/>
      <w:szCs w:val="24"/>
    </w:rPr>
  </w:style>
  <w:style w:type="character" w:customStyle="1" w:styleId="62">
    <w:name w:val="标题 8 Char"/>
    <w:basedOn w:val="38"/>
    <w:link w:val="11"/>
    <w:qFormat/>
    <w:uiPriority w:val="0"/>
    <w:rPr>
      <w:rFonts w:ascii="Arial" w:hAnsi="Arial" w:eastAsia="黑体" w:cs="Times New Roman"/>
      <w:sz w:val="24"/>
      <w:szCs w:val="24"/>
    </w:rPr>
  </w:style>
  <w:style w:type="character" w:customStyle="1" w:styleId="63">
    <w:name w:val="标题 9 Char"/>
    <w:basedOn w:val="38"/>
    <w:link w:val="12"/>
    <w:qFormat/>
    <w:uiPriority w:val="0"/>
    <w:rPr>
      <w:rFonts w:ascii="Arial" w:hAnsi="Arial" w:eastAsia="黑体" w:cs="Times New Roman"/>
      <w:szCs w:val="21"/>
    </w:rPr>
  </w:style>
  <w:style w:type="character" w:customStyle="1" w:styleId="64">
    <w:name w:val="页眉 Char"/>
    <w:basedOn w:val="38"/>
    <w:link w:val="27"/>
    <w:qFormat/>
    <w:uiPriority w:val="99"/>
    <w:rPr>
      <w:rFonts w:ascii="Times New Roman" w:hAnsi="Times New Roman" w:eastAsia="宋体" w:cs="Times New Roman"/>
      <w:sz w:val="18"/>
      <w:szCs w:val="18"/>
    </w:rPr>
  </w:style>
  <w:style w:type="character" w:customStyle="1" w:styleId="65">
    <w:name w:val="页脚 Char"/>
    <w:basedOn w:val="38"/>
    <w:link w:val="26"/>
    <w:qFormat/>
    <w:uiPriority w:val="99"/>
    <w:rPr>
      <w:rFonts w:ascii="Times New Roman" w:hAnsi="Times New Roman" w:eastAsia="宋体" w:cs="Times New Roman"/>
      <w:sz w:val="18"/>
      <w:szCs w:val="18"/>
    </w:rPr>
  </w:style>
  <w:style w:type="paragraph" w:customStyle="1" w:styleId="66">
    <w:name w:val="标题 21"/>
    <w:basedOn w:val="1"/>
    <w:next w:val="1"/>
    <w:unhideWhenUsed/>
    <w:qFormat/>
    <w:uiPriority w:val="9"/>
    <w:pPr>
      <w:keepNext/>
      <w:keepLines/>
      <w:spacing w:before="200"/>
      <w:outlineLvl w:val="1"/>
    </w:pPr>
    <w:rPr>
      <w:rFonts w:ascii="Cambria" w:hAnsi="Cambria"/>
      <w:b/>
      <w:bCs/>
      <w:color w:val="4F81BD"/>
      <w:sz w:val="26"/>
      <w:szCs w:val="26"/>
    </w:rPr>
  </w:style>
  <w:style w:type="paragraph" w:customStyle="1" w:styleId="67">
    <w:name w:val="列出段落1"/>
    <w:basedOn w:val="1"/>
    <w:qFormat/>
    <w:uiPriority w:val="99"/>
    <w:pPr>
      <w:ind w:firstLine="420" w:firstLineChars="200"/>
    </w:pPr>
    <w:rPr>
      <w:rFonts w:ascii="Calibri" w:hAnsi="Calibri"/>
      <w:szCs w:val="22"/>
    </w:rPr>
  </w:style>
  <w:style w:type="paragraph" w:customStyle="1" w:styleId="68">
    <w:name w:val="Cover text 2"/>
    <w:basedOn w:val="1"/>
    <w:qFormat/>
    <w:uiPriority w:val="0"/>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character" w:customStyle="1" w:styleId="69">
    <w:name w:val="批注文字 Char"/>
    <w:basedOn w:val="38"/>
    <w:link w:val="52"/>
    <w:qFormat/>
    <w:uiPriority w:val="0"/>
    <w:rPr>
      <w:rFonts w:ascii="Calibri" w:hAnsi="Calibri" w:eastAsia="宋体" w:cs="Times New Roman"/>
      <w:kern w:val="0"/>
      <w:sz w:val="20"/>
      <w:szCs w:val="20"/>
    </w:rPr>
  </w:style>
  <w:style w:type="character" w:customStyle="1" w:styleId="70">
    <w:name w:val="文档结构图 Char"/>
    <w:basedOn w:val="38"/>
    <w:link w:val="19"/>
    <w:qFormat/>
    <w:uiPriority w:val="0"/>
    <w:rPr>
      <w:rFonts w:ascii="宋体" w:hAnsi="Calibri" w:eastAsia="宋体" w:cs="Times New Roman"/>
      <w:kern w:val="0"/>
      <w:sz w:val="18"/>
      <w:szCs w:val="18"/>
    </w:rPr>
  </w:style>
  <w:style w:type="character" w:customStyle="1" w:styleId="71">
    <w:name w:val="批注框文本 Char"/>
    <w:basedOn w:val="38"/>
    <w:link w:val="25"/>
    <w:qFormat/>
    <w:uiPriority w:val="99"/>
    <w:rPr>
      <w:rFonts w:ascii="宋体" w:hAnsi="Calibri" w:eastAsia="宋体" w:cs="Times New Roman"/>
      <w:kern w:val="0"/>
      <w:sz w:val="18"/>
      <w:szCs w:val="18"/>
    </w:rPr>
  </w:style>
  <w:style w:type="character" w:customStyle="1" w:styleId="72">
    <w:name w:val="批注主题 Char"/>
    <w:basedOn w:val="69"/>
    <w:link w:val="53"/>
    <w:qFormat/>
    <w:uiPriority w:val="99"/>
    <w:rPr>
      <w:rFonts w:ascii="Calibri" w:hAnsi="Calibri" w:eastAsia="宋体" w:cs="Times New Roman"/>
      <w:b/>
      <w:bCs/>
      <w:kern w:val="0"/>
      <w:sz w:val="20"/>
      <w:szCs w:val="20"/>
    </w:rPr>
  </w:style>
  <w:style w:type="paragraph" w:customStyle="1" w:styleId="73">
    <w:name w:val="1111111"/>
    <w:basedOn w:val="5"/>
    <w:link w:val="74"/>
    <w:qFormat/>
    <w:uiPriority w:val="0"/>
    <w:pPr>
      <w:numPr>
        <w:ilvl w:val="1"/>
        <w:numId w:val="1"/>
      </w:numPr>
    </w:pPr>
  </w:style>
  <w:style w:type="character" w:customStyle="1" w:styleId="74">
    <w:name w:val="1111111 Char"/>
    <w:link w:val="73"/>
    <w:qFormat/>
    <w:uiPriority w:val="0"/>
    <w:rPr>
      <w:rFonts w:ascii="Cambria" w:hAnsi="Cambria" w:eastAsia="宋体" w:cs="Times New Roman"/>
      <w:b/>
      <w:bCs/>
      <w:color w:val="4F81BD"/>
      <w:sz w:val="26"/>
      <w:szCs w:val="26"/>
    </w:rPr>
  </w:style>
  <w:style w:type="paragraph" w:customStyle="1" w:styleId="75">
    <w:name w:val="修订1"/>
    <w:hidden/>
    <w:semiHidden/>
    <w:qFormat/>
    <w:uiPriority w:val="99"/>
    <w:pPr>
      <w:numPr>
        <w:ilvl w:val="3"/>
        <w:numId w:val="1"/>
      </w:numPr>
    </w:pPr>
    <w:rPr>
      <w:rFonts w:ascii="Calibri" w:hAnsi="Calibri" w:eastAsia="宋体" w:cs="Times New Roman"/>
      <w:kern w:val="2"/>
      <w:sz w:val="21"/>
      <w:szCs w:val="22"/>
      <w:lang w:val="en-US" w:eastAsia="zh-CN" w:bidi="ar-SA"/>
    </w:rPr>
  </w:style>
  <w:style w:type="character" w:customStyle="1" w:styleId="76">
    <w:name w:val="标题 2 Char1"/>
    <w:semiHidden/>
    <w:qFormat/>
    <w:uiPriority w:val="9"/>
    <w:rPr>
      <w:rFonts w:ascii="Cambria" w:hAnsi="Cambria" w:eastAsia="宋体" w:cs="Times New Roman"/>
      <w:b/>
      <w:bCs/>
      <w:sz w:val="32"/>
      <w:szCs w:val="32"/>
    </w:rPr>
  </w:style>
  <w:style w:type="paragraph" w:customStyle="1" w:styleId="77">
    <w:name w:val="无间隔1"/>
    <w:link w:val="78"/>
    <w:qFormat/>
    <w:uiPriority w:val="1"/>
    <w:rPr>
      <w:rFonts w:ascii="Calibri" w:hAnsi="Calibri" w:eastAsia="宋体" w:cs="Times New Roman"/>
      <w:sz w:val="22"/>
      <w:lang w:val="en-US" w:eastAsia="zh-CN" w:bidi="ar-SA"/>
    </w:rPr>
  </w:style>
  <w:style w:type="character" w:customStyle="1" w:styleId="78">
    <w:name w:val="无间隔 Char"/>
    <w:link w:val="77"/>
    <w:qFormat/>
    <w:uiPriority w:val="1"/>
    <w:rPr>
      <w:rFonts w:ascii="Calibri" w:hAnsi="Calibri" w:eastAsia="宋体" w:cs="Times New Roman"/>
      <w:kern w:val="0"/>
      <w:sz w:val="22"/>
      <w:szCs w:val="20"/>
    </w:rPr>
  </w:style>
  <w:style w:type="paragraph" w:customStyle="1" w:styleId="79">
    <w:name w:val="章标题"/>
    <w:next w:val="1"/>
    <w:qFormat/>
    <w:uiPriority w:val="0"/>
    <w:pPr>
      <w:numPr>
        <w:ilvl w:val="1"/>
        <w:numId w:val="2"/>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80">
    <w:name w:val="一级条标题"/>
    <w:basedOn w:val="79"/>
    <w:next w:val="1"/>
    <w:link w:val="145"/>
    <w:qFormat/>
    <w:uiPriority w:val="0"/>
    <w:pPr>
      <w:numPr>
        <w:ilvl w:val="2"/>
      </w:numPr>
      <w:tabs>
        <w:tab w:val="left" w:pos="525"/>
        <w:tab w:val="clear" w:pos="420"/>
      </w:tabs>
      <w:spacing w:before="0" w:after="0"/>
      <w:outlineLvl w:val="2"/>
    </w:pPr>
    <w:rPr>
      <w:rFonts w:ascii="宋体" w:hAnsi="宋体" w:eastAsia="宋体"/>
    </w:rPr>
  </w:style>
  <w:style w:type="paragraph" w:customStyle="1" w:styleId="81">
    <w:name w:val="二级条标题"/>
    <w:basedOn w:val="80"/>
    <w:next w:val="1"/>
    <w:link w:val="158"/>
    <w:qFormat/>
    <w:uiPriority w:val="0"/>
    <w:pPr>
      <w:numPr>
        <w:ilvl w:val="3"/>
      </w:numPr>
      <w:tabs>
        <w:tab w:val="clear" w:pos="525"/>
      </w:tabs>
      <w:outlineLvl w:val="3"/>
    </w:pPr>
  </w:style>
  <w:style w:type="paragraph" w:customStyle="1" w:styleId="82">
    <w:name w:val="三级条标题"/>
    <w:basedOn w:val="81"/>
    <w:next w:val="1"/>
    <w:qFormat/>
    <w:uiPriority w:val="0"/>
    <w:pPr>
      <w:numPr>
        <w:ilvl w:val="4"/>
      </w:numPr>
      <w:tabs>
        <w:tab w:val="left" w:pos="945"/>
      </w:tabs>
      <w:outlineLvl w:val="4"/>
    </w:pPr>
  </w:style>
  <w:style w:type="paragraph" w:customStyle="1" w:styleId="83">
    <w:name w:val="四级条标题"/>
    <w:basedOn w:val="82"/>
    <w:next w:val="1"/>
    <w:qFormat/>
    <w:uiPriority w:val="0"/>
    <w:pPr>
      <w:numPr>
        <w:ilvl w:val="5"/>
      </w:numPr>
      <w:tabs>
        <w:tab w:val="left" w:pos="1155"/>
        <w:tab w:val="clear" w:pos="945"/>
      </w:tabs>
      <w:outlineLvl w:val="5"/>
    </w:pPr>
  </w:style>
  <w:style w:type="paragraph" w:customStyle="1" w:styleId="84">
    <w:name w:val="五级条标题"/>
    <w:basedOn w:val="83"/>
    <w:next w:val="1"/>
    <w:qFormat/>
    <w:uiPriority w:val="0"/>
    <w:pPr>
      <w:numPr>
        <w:ilvl w:val="6"/>
      </w:numPr>
      <w:tabs>
        <w:tab w:val="left" w:pos="1407"/>
        <w:tab w:val="clear" w:pos="1155"/>
      </w:tabs>
      <w:outlineLvl w:val="6"/>
    </w:pPr>
  </w:style>
  <w:style w:type="character" w:customStyle="1" w:styleId="85">
    <w:name w:val="正文文本缩进 Char"/>
    <w:basedOn w:val="38"/>
    <w:link w:val="20"/>
    <w:qFormat/>
    <w:uiPriority w:val="0"/>
    <w:rPr>
      <w:rFonts w:ascii="Calibri" w:hAnsi="Calibri" w:eastAsia="宋体" w:cs="Times New Roman"/>
    </w:rPr>
  </w:style>
  <w:style w:type="character" w:customStyle="1" w:styleId="86">
    <w:name w:val="正文首行缩进 2 Char"/>
    <w:basedOn w:val="85"/>
    <w:link w:val="35"/>
    <w:qFormat/>
    <w:uiPriority w:val="0"/>
    <w:rPr>
      <w:rFonts w:ascii="Calibri" w:hAnsi="Calibri" w:eastAsia="宋体" w:cs="Times New Roman"/>
      <w:sz w:val="28"/>
    </w:rPr>
  </w:style>
  <w:style w:type="paragraph" w:customStyle="1" w:styleId="87">
    <w:name w:val="h三级条标题"/>
    <w:basedOn w:val="1"/>
    <w:next w:val="1"/>
    <w:qFormat/>
    <w:uiPriority w:val="0"/>
    <w:pPr>
      <w:widowControl/>
      <w:tabs>
        <w:tab w:val="left" w:pos="945"/>
        <w:tab w:val="left" w:pos="1080"/>
      </w:tabs>
      <w:spacing w:line="360" w:lineRule="auto"/>
      <w:outlineLvl w:val="4"/>
    </w:pPr>
    <w:rPr>
      <w:kern w:val="0"/>
      <w:sz w:val="24"/>
      <w:szCs w:val="20"/>
    </w:rPr>
  </w:style>
  <w:style w:type="paragraph" w:customStyle="1" w:styleId="88">
    <w:name w:val="h这是章节的"/>
    <w:basedOn w:val="79"/>
    <w:qFormat/>
    <w:uiPriority w:val="0"/>
    <w:pPr>
      <w:numPr>
        <w:numId w:val="0"/>
      </w:numPr>
      <w:spacing w:beforeLines="50" w:afterLines="50" w:line="240" w:lineRule="auto"/>
    </w:pPr>
    <w:rPr>
      <w:rFonts w:cs="宋体"/>
      <w:b/>
      <w:bCs/>
    </w:rPr>
  </w:style>
  <w:style w:type="paragraph" w:customStyle="1" w:styleId="89">
    <w:name w:val="h这是正文的"/>
    <w:basedOn w:val="35"/>
    <w:qFormat/>
    <w:uiPriority w:val="0"/>
    <w:pPr>
      <w:spacing w:line="360" w:lineRule="auto"/>
      <w:ind w:left="200" w:firstLine="200"/>
    </w:pPr>
    <w:rPr>
      <w:rFonts w:cs="宋体"/>
      <w:sz w:val="24"/>
    </w:rPr>
  </w:style>
  <w:style w:type="paragraph" w:customStyle="1" w:styleId="90">
    <w:name w:val="样式 段 + 首行缩进:  2 字符"/>
    <w:basedOn w:val="1"/>
    <w:qFormat/>
    <w:uiPriority w:val="0"/>
    <w:pPr>
      <w:widowControl/>
      <w:spacing w:line="360" w:lineRule="auto"/>
      <w:jc w:val="center"/>
      <w:outlineLvl w:val="1"/>
    </w:pPr>
    <w:rPr>
      <w:rFonts w:ascii="黑体" w:hAnsi="宋体" w:eastAsia="黑体" w:cs="宋体"/>
      <w:kern w:val="0"/>
      <w:sz w:val="32"/>
      <w:szCs w:val="21"/>
    </w:rPr>
  </w:style>
  <w:style w:type="paragraph" w:customStyle="1" w:styleId="91">
    <w:name w:val="Char Char Char Char Char Char"/>
    <w:basedOn w:val="1"/>
    <w:qFormat/>
    <w:uiPriority w:val="0"/>
    <w:pPr>
      <w:spacing w:line="360" w:lineRule="auto"/>
    </w:pPr>
    <w:rPr>
      <w:rFonts w:ascii="Tahoma" w:hAnsi="Tahoma"/>
      <w:sz w:val="24"/>
      <w:szCs w:val="20"/>
    </w:rPr>
  </w:style>
  <w:style w:type="character" w:customStyle="1" w:styleId="92">
    <w:name w:val="正文文本 Char"/>
    <w:basedOn w:val="38"/>
    <w:link w:val="2"/>
    <w:qFormat/>
    <w:uiPriority w:val="99"/>
    <w:rPr>
      <w:rFonts w:ascii="Calibri" w:hAnsi="Calibri" w:eastAsia="宋体" w:cs="Times New Roman"/>
    </w:rPr>
  </w:style>
  <w:style w:type="paragraph" w:customStyle="1" w:styleId="93">
    <w:name w:val="表格标题"/>
    <w:basedOn w:val="1"/>
    <w:next w:val="1"/>
    <w:qFormat/>
    <w:uiPriority w:val="0"/>
    <w:pPr>
      <w:jc w:val="center"/>
    </w:pPr>
    <w:rPr>
      <w:rFonts w:cs="宋体"/>
      <w:b/>
      <w:bCs/>
      <w:smallCaps/>
      <w:szCs w:val="20"/>
    </w:rPr>
  </w:style>
  <w:style w:type="paragraph" w:customStyle="1" w:styleId="94">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5">
    <w:name w:val="表格文本 居左"/>
    <w:basedOn w:val="1"/>
    <w:link w:val="96"/>
    <w:unhideWhenUsed/>
    <w:qFormat/>
    <w:uiPriority w:val="0"/>
    <w:pPr>
      <w:wordWrap w:val="0"/>
      <w:jc w:val="left"/>
    </w:pPr>
    <w:rPr>
      <w:rFonts w:ascii="宋体" w:hAnsi="宋体"/>
      <w:szCs w:val="21"/>
    </w:rPr>
  </w:style>
  <w:style w:type="character" w:customStyle="1" w:styleId="96">
    <w:name w:val="表格文本 居左 Char"/>
    <w:link w:val="95"/>
    <w:qFormat/>
    <w:uiPriority w:val="0"/>
    <w:rPr>
      <w:rFonts w:ascii="宋体" w:hAnsi="宋体" w:eastAsia="宋体" w:cs="Times New Roman"/>
      <w:szCs w:val="21"/>
    </w:rPr>
  </w:style>
  <w:style w:type="character" w:customStyle="1" w:styleId="97">
    <w:name w:val="HTML 地址 Char"/>
    <w:basedOn w:val="38"/>
    <w:link w:val="21"/>
    <w:qFormat/>
    <w:uiPriority w:val="0"/>
    <w:rPr>
      <w:rFonts w:ascii="Times New Roman" w:hAnsi="Times New Roman" w:eastAsia="宋体" w:cs="Times New Roman"/>
      <w:i/>
      <w:iCs/>
      <w:szCs w:val="24"/>
    </w:rPr>
  </w:style>
  <w:style w:type="character" w:customStyle="1" w:styleId="98">
    <w:name w:val="HTML 预设格式 Char"/>
    <w:basedOn w:val="38"/>
    <w:link w:val="32"/>
    <w:qFormat/>
    <w:uiPriority w:val="0"/>
    <w:rPr>
      <w:rFonts w:ascii="Courier New" w:hAnsi="Courier New" w:eastAsia="宋体" w:cs="Times New Roman"/>
      <w:sz w:val="20"/>
      <w:szCs w:val="20"/>
    </w:rPr>
  </w:style>
  <w:style w:type="character" w:customStyle="1" w:styleId="99">
    <w:name w:val="标题 Char"/>
    <w:basedOn w:val="38"/>
    <w:link w:val="3"/>
    <w:qFormat/>
    <w:uiPriority w:val="0"/>
    <w:rPr>
      <w:rFonts w:ascii="Arial" w:hAnsi="Arial" w:eastAsia="宋体" w:cs="Times New Roman"/>
      <w:b/>
      <w:bCs/>
      <w:sz w:val="32"/>
      <w:szCs w:val="32"/>
    </w:rPr>
  </w:style>
  <w:style w:type="paragraph" w:customStyle="1" w:styleId="100">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4">
    <w:name w:val="标准书眉_偶数页"/>
    <w:basedOn w:val="103"/>
    <w:next w:val="1"/>
    <w:qFormat/>
    <w:uiPriority w:val="0"/>
    <w:pPr>
      <w:jc w:val="left"/>
    </w:pPr>
  </w:style>
  <w:style w:type="paragraph" w:customStyle="1" w:styleId="105">
    <w:name w:val="标准书眉一"/>
    <w:qFormat/>
    <w:uiPriority w:val="0"/>
    <w:pPr>
      <w:numPr>
        <w:ilvl w:val="6"/>
        <w:numId w:val="1"/>
      </w:numPr>
      <w:jc w:val="both"/>
    </w:pPr>
    <w:rPr>
      <w:rFonts w:ascii="Times New Roman" w:hAnsi="Times New Roman" w:eastAsia="宋体" w:cs="Times New Roman"/>
      <w:lang w:val="en-US" w:eastAsia="zh-CN" w:bidi="ar-SA"/>
    </w:rPr>
  </w:style>
  <w:style w:type="paragraph" w:customStyle="1" w:styleId="106">
    <w:name w:val="前言、引言标题"/>
    <w:next w:val="1"/>
    <w:link w:val="156"/>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7">
    <w:name w:val="参考文献、索引标题"/>
    <w:basedOn w:val="106"/>
    <w:next w:val="1"/>
    <w:qFormat/>
    <w:uiPriority w:val="0"/>
    <w:pPr>
      <w:spacing w:after="200"/>
    </w:pPr>
    <w:rPr>
      <w:sz w:val="21"/>
    </w:rPr>
  </w:style>
  <w:style w:type="paragraph" w:customStyle="1" w:styleId="108">
    <w:name w:val="段"/>
    <w:link w:val="15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09">
    <w:name w:val="发布"/>
    <w:qFormat/>
    <w:uiPriority w:val="0"/>
    <w:rPr>
      <w:rFonts w:ascii="黑体" w:eastAsia="黑体"/>
      <w:spacing w:val="22"/>
      <w:position w:val="3"/>
      <w:sz w:val="28"/>
    </w:rPr>
  </w:style>
  <w:style w:type="paragraph" w:customStyle="1" w:styleId="110">
    <w:name w:val="发布部门"/>
    <w:next w:val="108"/>
    <w:qFormat/>
    <w:uiPriority w:val="0"/>
    <w:pPr>
      <w:framePr w:w="7433" w:h="585" w:hRule="exact" w:hSpace="180" w:vSpace="180" w:wrap="around" w:vAnchor="margin" w:hAnchor="margin" w:xAlign="center" w:y="14401"/>
      <w:jc w:val="center"/>
    </w:pPr>
    <w:rPr>
      <w:rFonts w:ascii="宋体" w:hAnsi="Times New Roman" w:eastAsia="宋体" w:cs="Times New Roman"/>
      <w:b/>
      <w:spacing w:val="20"/>
      <w:w w:val="135"/>
      <w:sz w:val="36"/>
      <w:lang w:val="en-US" w:eastAsia="zh-CN" w:bidi="ar-SA"/>
    </w:rPr>
  </w:style>
  <w:style w:type="paragraph" w:customStyle="1" w:styleId="111">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11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3">
    <w:name w:val="封面标准号2"/>
    <w:basedOn w:val="112"/>
    <w:qFormat/>
    <w:uiPriority w:val="0"/>
    <w:pPr>
      <w:framePr w:w="9138" w:h="1244" w:hRule="exact" w:wrap="around" w:vAnchor="page" w:hAnchor="margin" w:y="2908"/>
      <w:adjustRightInd w:val="0"/>
      <w:spacing w:before="357" w:line="280" w:lineRule="exact"/>
    </w:pPr>
  </w:style>
  <w:style w:type="paragraph" w:customStyle="1" w:styleId="114">
    <w:name w:val="封面标准代替信息"/>
    <w:basedOn w:val="113"/>
    <w:qFormat/>
    <w:uiPriority w:val="0"/>
    <w:pPr>
      <w:spacing w:before="57"/>
    </w:pPr>
    <w:rPr>
      <w:rFonts w:ascii="宋体"/>
      <w:sz w:val="21"/>
    </w:rPr>
  </w:style>
  <w:style w:type="paragraph" w:customStyle="1" w:styleId="115">
    <w:name w:val="封面标准名称"/>
    <w:qFormat/>
    <w:uiPriority w:val="0"/>
    <w:pPr>
      <w:framePr w:w="9638" w:h="6917" w:hRule="exact" w:wrap="around" w:vAnchor="margin" w:hAnchor="margin" w:xAlign="center" w:y="5955"/>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0">
    <w:name w:val="封面正文"/>
    <w:qFormat/>
    <w:uiPriority w:val="0"/>
    <w:pPr>
      <w:jc w:val="both"/>
    </w:pPr>
    <w:rPr>
      <w:rFonts w:ascii="Times New Roman" w:hAnsi="Times New Roman" w:eastAsia="宋体" w:cs="Times New Roman"/>
      <w:lang w:val="en-US" w:eastAsia="zh-CN" w:bidi="ar-SA"/>
    </w:rPr>
  </w:style>
  <w:style w:type="paragraph" w:customStyle="1" w:styleId="121">
    <w:name w:val="附录标识"/>
    <w:basedOn w:val="106"/>
    <w:link w:val="157"/>
    <w:qFormat/>
    <w:uiPriority w:val="0"/>
    <w:pPr>
      <w:numPr>
        <w:ilvl w:val="0"/>
        <w:numId w:val="3"/>
      </w:numPr>
      <w:tabs>
        <w:tab w:val="left" w:pos="6405"/>
      </w:tabs>
      <w:spacing w:after="200"/>
    </w:pPr>
    <w:rPr>
      <w:sz w:val="21"/>
    </w:rPr>
  </w:style>
  <w:style w:type="paragraph" w:customStyle="1" w:styleId="122">
    <w:name w:val="附录表标题"/>
    <w:next w:val="108"/>
    <w:qFormat/>
    <w:uiPriority w:val="0"/>
    <w:pPr>
      <w:numPr>
        <w:ilvl w:val="0"/>
        <w:numId w:val="4"/>
      </w:numPr>
      <w:jc w:val="center"/>
      <w:textAlignment w:val="baseline"/>
    </w:pPr>
    <w:rPr>
      <w:rFonts w:ascii="黑体" w:hAnsi="Times New Roman" w:eastAsia="黑体" w:cs="Times New Roman"/>
      <w:kern w:val="21"/>
      <w:sz w:val="21"/>
      <w:lang w:val="en-US" w:eastAsia="zh-CN" w:bidi="ar-SA"/>
    </w:rPr>
  </w:style>
  <w:style w:type="paragraph" w:customStyle="1" w:styleId="123">
    <w:name w:val="附录章标题"/>
    <w:next w:val="108"/>
    <w:qFormat/>
    <w:uiPriority w:val="0"/>
    <w:pPr>
      <w:numPr>
        <w:ilvl w:val="1"/>
        <w:numId w:val="5"/>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附录一级条标题"/>
    <w:basedOn w:val="123"/>
    <w:next w:val="108"/>
    <w:qFormat/>
    <w:uiPriority w:val="0"/>
    <w:pPr>
      <w:numPr>
        <w:numId w:val="6"/>
      </w:numPr>
      <w:autoSpaceDN w:val="0"/>
      <w:spacing w:beforeLines="0" w:afterLines="0"/>
      <w:outlineLvl w:val="2"/>
    </w:pPr>
  </w:style>
  <w:style w:type="paragraph" w:customStyle="1" w:styleId="125">
    <w:name w:val="附录二级条标题"/>
    <w:basedOn w:val="124"/>
    <w:next w:val="108"/>
    <w:qFormat/>
    <w:uiPriority w:val="0"/>
    <w:pPr>
      <w:numPr>
        <w:ilvl w:val="2"/>
      </w:numPr>
      <w:outlineLvl w:val="3"/>
    </w:pPr>
  </w:style>
  <w:style w:type="paragraph" w:customStyle="1" w:styleId="126">
    <w:name w:val="附录三级条标题"/>
    <w:basedOn w:val="125"/>
    <w:next w:val="108"/>
    <w:qFormat/>
    <w:uiPriority w:val="0"/>
    <w:pPr>
      <w:numPr>
        <w:ilvl w:val="3"/>
      </w:numPr>
      <w:outlineLvl w:val="4"/>
    </w:pPr>
  </w:style>
  <w:style w:type="paragraph" w:customStyle="1" w:styleId="127">
    <w:name w:val="附录四级条标题"/>
    <w:basedOn w:val="126"/>
    <w:next w:val="108"/>
    <w:qFormat/>
    <w:uiPriority w:val="0"/>
    <w:pPr>
      <w:numPr>
        <w:ilvl w:val="4"/>
      </w:numPr>
      <w:outlineLvl w:val="5"/>
    </w:pPr>
  </w:style>
  <w:style w:type="paragraph" w:customStyle="1" w:styleId="128">
    <w:name w:val="附录图标题"/>
    <w:next w:val="108"/>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29">
    <w:name w:val="附录五级条标题"/>
    <w:basedOn w:val="127"/>
    <w:next w:val="108"/>
    <w:qFormat/>
    <w:uiPriority w:val="0"/>
    <w:pPr>
      <w:numPr>
        <w:ilvl w:val="6"/>
        <w:numId w:val="8"/>
      </w:numPr>
      <w:outlineLvl w:val="6"/>
    </w:pPr>
  </w:style>
  <w:style w:type="character" w:customStyle="1" w:styleId="130">
    <w:name w:val="个人答复风格"/>
    <w:qFormat/>
    <w:uiPriority w:val="0"/>
    <w:rPr>
      <w:rFonts w:ascii="Arial" w:hAnsi="Arial" w:eastAsia="宋体" w:cs="Arial"/>
      <w:color w:val="auto"/>
      <w:sz w:val="20"/>
    </w:rPr>
  </w:style>
  <w:style w:type="character" w:customStyle="1" w:styleId="131">
    <w:name w:val="个人撰写风格"/>
    <w:qFormat/>
    <w:uiPriority w:val="0"/>
    <w:rPr>
      <w:rFonts w:ascii="Arial" w:hAnsi="Arial" w:eastAsia="宋体" w:cs="Arial"/>
      <w:color w:val="auto"/>
      <w:sz w:val="20"/>
    </w:rPr>
  </w:style>
  <w:style w:type="character" w:customStyle="1" w:styleId="132">
    <w:name w:val="脚注文本 Char"/>
    <w:basedOn w:val="38"/>
    <w:link w:val="29"/>
    <w:qFormat/>
    <w:uiPriority w:val="0"/>
    <w:rPr>
      <w:rFonts w:ascii="Times New Roman" w:hAnsi="Times New Roman" w:eastAsia="宋体" w:cs="Times New Roman"/>
      <w:sz w:val="18"/>
      <w:szCs w:val="18"/>
    </w:rPr>
  </w:style>
  <w:style w:type="paragraph" w:customStyle="1" w:styleId="133">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134">
    <w:name w:val="列项●（二级）"/>
    <w:qFormat/>
    <w:uiPriority w:val="0"/>
    <w:pPr>
      <w:numPr>
        <w:ilvl w:val="0"/>
        <w:numId w:val="9"/>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35">
    <w:name w:val="目次、标准名称标题"/>
    <w:basedOn w:val="106"/>
    <w:next w:val="108"/>
    <w:qFormat/>
    <w:uiPriority w:val="0"/>
    <w:pPr>
      <w:spacing w:line="460" w:lineRule="exact"/>
    </w:pPr>
  </w:style>
  <w:style w:type="paragraph" w:customStyle="1" w:styleId="13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8">
    <w:name w:val="其他发布部门"/>
    <w:basedOn w:val="110"/>
    <w:qFormat/>
    <w:uiPriority w:val="0"/>
    <w:pPr>
      <w:spacing w:line="0" w:lineRule="atLeast"/>
    </w:pPr>
    <w:rPr>
      <w:rFonts w:ascii="黑体" w:eastAsia="黑体"/>
      <w:b w:val="0"/>
    </w:rPr>
  </w:style>
  <w:style w:type="paragraph" w:customStyle="1" w:styleId="139">
    <w:name w:val="实施日期"/>
    <w:basedOn w:val="1"/>
    <w:qFormat/>
    <w:uiPriority w:val="0"/>
    <w:pPr>
      <w:jc w:val="right"/>
    </w:pPr>
    <w:rPr>
      <w:rFonts w:ascii="黑体" w:hAnsi="黑体" w:eastAsia="黑体"/>
      <w:sz w:val="28"/>
    </w:rPr>
  </w:style>
  <w:style w:type="paragraph" w:customStyle="1" w:styleId="140">
    <w:name w:val="示例"/>
    <w:next w:val="108"/>
    <w:qFormat/>
    <w:uiPriority w:val="0"/>
    <w:pPr>
      <w:numPr>
        <w:ilvl w:val="0"/>
        <w:numId w:val="10"/>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4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42">
    <w:name w:val="条文脚注"/>
    <w:basedOn w:val="29"/>
    <w:qFormat/>
    <w:uiPriority w:val="0"/>
    <w:pPr>
      <w:ind w:left="780" w:leftChars="200" w:hanging="360" w:hangingChars="200"/>
      <w:jc w:val="both"/>
    </w:pPr>
    <w:rPr>
      <w:rFonts w:ascii="宋体"/>
    </w:rPr>
  </w:style>
  <w:style w:type="paragraph" w:customStyle="1" w:styleId="143">
    <w:name w:val="图表脚注"/>
    <w:next w:val="108"/>
    <w:qFormat/>
    <w:uiPriority w:val="0"/>
    <w:pPr>
      <w:jc w:val="both"/>
    </w:pPr>
    <w:rPr>
      <w:rFonts w:ascii="宋体" w:hAnsi="Times New Roman" w:eastAsia="宋体" w:cs="Times New Roman"/>
      <w:sz w:val="18"/>
      <w:lang w:val="en-US" w:eastAsia="zh-CN" w:bidi="ar-SA"/>
    </w:rPr>
  </w:style>
  <w:style w:type="paragraph" w:customStyle="1" w:styleId="144">
    <w:name w:val="文献分类号"/>
    <w:qFormat/>
    <w:uiPriority w:val="0"/>
    <w:pPr>
      <w:framePr w:hSpace="180" w:vSpace="180" w:wrap="around" w:vAnchor="margin" w:hAnchor="margin" w:y="1"/>
      <w:widowControl w:val="0"/>
      <w:textAlignment w:val="center"/>
    </w:pPr>
    <w:rPr>
      <w:rFonts w:ascii="Times New Roman" w:hAnsi="Times New Roman" w:eastAsia="黑体" w:cs="Times New Roman"/>
      <w:sz w:val="21"/>
      <w:lang w:val="en-US" w:eastAsia="zh-CN" w:bidi="ar-SA"/>
    </w:rPr>
  </w:style>
  <w:style w:type="character" w:customStyle="1" w:styleId="145">
    <w:name w:val="一级条标题 Char"/>
    <w:link w:val="80"/>
    <w:qFormat/>
    <w:uiPriority w:val="0"/>
    <w:rPr>
      <w:rFonts w:ascii="宋体" w:hAnsi="宋体" w:eastAsia="宋体" w:cs="Times New Roman"/>
      <w:kern w:val="0"/>
      <w:sz w:val="24"/>
      <w:szCs w:val="20"/>
    </w:rPr>
  </w:style>
  <w:style w:type="paragraph" w:customStyle="1" w:styleId="146">
    <w:name w:val="正文表标题"/>
    <w:next w:val="108"/>
    <w:qFormat/>
    <w:uiPriority w:val="0"/>
    <w:pPr>
      <w:numPr>
        <w:ilvl w:val="0"/>
        <w:numId w:val="11"/>
      </w:numPr>
      <w:jc w:val="center"/>
    </w:pPr>
    <w:rPr>
      <w:rFonts w:ascii="黑体" w:hAnsi="Times New Roman" w:eastAsia="黑体" w:cs="Times New Roman"/>
      <w:sz w:val="21"/>
      <w:lang w:val="en-US" w:eastAsia="zh-CN" w:bidi="ar-SA"/>
    </w:rPr>
  </w:style>
  <w:style w:type="paragraph" w:customStyle="1" w:styleId="147">
    <w:name w:val="正文图标题"/>
    <w:next w:val="108"/>
    <w:qFormat/>
    <w:uiPriority w:val="0"/>
    <w:pPr>
      <w:numPr>
        <w:ilvl w:val="0"/>
        <w:numId w:val="12"/>
      </w:numPr>
      <w:jc w:val="center"/>
    </w:pPr>
    <w:rPr>
      <w:rFonts w:ascii="黑体" w:hAnsi="Times New Roman" w:eastAsia="黑体" w:cs="Times New Roman"/>
      <w:sz w:val="21"/>
      <w:lang w:val="en-US" w:eastAsia="zh-CN" w:bidi="ar-SA"/>
    </w:rPr>
  </w:style>
  <w:style w:type="paragraph" w:customStyle="1" w:styleId="148">
    <w:name w:val="注："/>
    <w:next w:val="108"/>
    <w:qFormat/>
    <w:uiPriority w:val="0"/>
    <w:pPr>
      <w:widowControl w:val="0"/>
      <w:numPr>
        <w:ilvl w:val="0"/>
        <w:numId w:val="13"/>
      </w:numPr>
      <w:autoSpaceDE w:val="0"/>
      <w:autoSpaceDN w:val="0"/>
      <w:jc w:val="both"/>
    </w:pPr>
    <w:rPr>
      <w:rFonts w:ascii="宋体" w:hAnsi="Times New Roman" w:eastAsia="宋体" w:cs="Times New Roman"/>
      <w:sz w:val="18"/>
      <w:lang w:val="en-US" w:eastAsia="zh-CN" w:bidi="ar-SA"/>
    </w:rPr>
  </w:style>
  <w:style w:type="paragraph" w:customStyle="1" w:styleId="149">
    <w:name w:val="注×："/>
    <w:qFormat/>
    <w:uiPriority w:val="0"/>
    <w:pPr>
      <w:widowControl w:val="0"/>
      <w:numPr>
        <w:ilvl w:val="0"/>
        <w:numId w:val="14"/>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51">
    <w:name w:val="日期 Char"/>
    <w:basedOn w:val="38"/>
    <w:link w:val="24"/>
    <w:qFormat/>
    <w:uiPriority w:val="0"/>
    <w:rPr>
      <w:rFonts w:ascii="Times New Roman" w:hAnsi="Times New Roman" w:eastAsia="宋体" w:cs="Times New Roman"/>
      <w:szCs w:val="24"/>
    </w:rPr>
  </w:style>
  <w:style w:type="paragraph" w:customStyle="1" w:styleId="152">
    <w:name w:val="列项◆（三级）"/>
    <w:qFormat/>
    <w:uiPriority w:val="0"/>
    <w:pPr>
      <w:numPr>
        <w:ilvl w:val="0"/>
        <w:numId w:val="15"/>
      </w:num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53">
    <w:name w:val="编号列项（三级）"/>
    <w:qFormat/>
    <w:uiPriority w:val="0"/>
    <w:pPr>
      <w:numPr>
        <w:ilvl w:val="0"/>
        <w:numId w:val="16"/>
      </w:numPr>
      <w:tabs>
        <w:tab w:val="clear" w:pos="1140"/>
      </w:tabs>
      <w:ind w:left="800" w:leftChars="600" w:hanging="200" w:hangingChars="200"/>
    </w:pPr>
    <w:rPr>
      <w:rFonts w:ascii="宋体" w:hAnsi="Times New Roman" w:eastAsia="宋体" w:cs="Times New Roman"/>
      <w:sz w:val="21"/>
      <w:lang w:val="en-US" w:eastAsia="zh-CN" w:bidi="ar-SA"/>
    </w:rPr>
  </w:style>
  <w:style w:type="character" w:customStyle="1" w:styleId="154">
    <w:name w:val="段 Char"/>
    <w:link w:val="108"/>
    <w:qFormat/>
    <w:uiPriority w:val="0"/>
    <w:rPr>
      <w:rFonts w:ascii="宋体" w:hAnsi="Times New Roman" w:eastAsia="宋体" w:cs="Times New Roman"/>
      <w:kern w:val="0"/>
      <w:szCs w:val="20"/>
    </w:rPr>
  </w:style>
  <w:style w:type="paragraph" w:customStyle="1" w:styleId="15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156">
    <w:name w:val="前言、引言标题 Char"/>
    <w:link w:val="106"/>
    <w:qFormat/>
    <w:uiPriority w:val="0"/>
    <w:rPr>
      <w:rFonts w:ascii="黑体" w:hAnsi="Times New Roman" w:eastAsia="黑体" w:cs="Times New Roman"/>
      <w:kern w:val="0"/>
      <w:sz w:val="32"/>
      <w:szCs w:val="20"/>
      <w:shd w:val="clear" w:color="FFFFFF" w:fill="FFFFFF"/>
    </w:rPr>
  </w:style>
  <w:style w:type="character" w:customStyle="1" w:styleId="157">
    <w:name w:val="附录标识 Char Char"/>
    <w:link w:val="121"/>
    <w:qFormat/>
    <w:uiPriority w:val="0"/>
    <w:rPr>
      <w:rFonts w:ascii="黑体" w:hAnsi="Times New Roman" w:eastAsia="黑体" w:cs="Times New Roman"/>
      <w:kern w:val="0"/>
      <w:szCs w:val="20"/>
      <w:shd w:val="clear" w:color="FFFFFF" w:fill="FFFFFF"/>
    </w:rPr>
  </w:style>
  <w:style w:type="character" w:customStyle="1" w:styleId="158">
    <w:name w:val="二级条标题 Char"/>
    <w:link w:val="81"/>
    <w:qFormat/>
    <w:uiPriority w:val="0"/>
    <w:rPr>
      <w:rFonts w:ascii="宋体" w:hAnsi="宋体" w:eastAsia="宋体" w:cs="Times New Roman"/>
      <w:kern w:val="0"/>
      <w:sz w:val="24"/>
      <w:szCs w:val="20"/>
    </w:rPr>
  </w:style>
  <w:style w:type="character" w:customStyle="1" w:styleId="159">
    <w:name w:val="正文文本缩进 3 Char"/>
    <w:basedOn w:val="38"/>
    <w:link w:val="30"/>
    <w:qFormat/>
    <w:uiPriority w:val="0"/>
    <w:rPr>
      <w:rFonts w:ascii="Times New Roman" w:hAnsi="Times New Roman" w:eastAsia="宋体" w:cs="Times New Roman"/>
      <w:sz w:val="16"/>
      <w:szCs w:val="16"/>
    </w:rPr>
  </w:style>
  <w:style w:type="character" w:customStyle="1" w:styleId="160">
    <w:name w:val="印刷版（目录）"/>
    <w:qFormat/>
    <w:uiPriority w:val="0"/>
    <w:rPr>
      <w:rFonts w:ascii="Times New Roman" w:hAnsi="Times New Roman" w:eastAsia="宋体"/>
      <w:sz w:val="30"/>
      <w:szCs w:val="30"/>
      <w:lang w:val="en-US" w:eastAsia="zh-CN"/>
    </w:rPr>
  </w:style>
  <w:style w:type="character" w:customStyle="1" w:styleId="161">
    <w:name w:val="正文首行缩进 Char"/>
    <w:basedOn w:val="92"/>
    <w:link w:val="34"/>
    <w:qFormat/>
    <w:uiPriority w:val="0"/>
    <w:rPr>
      <w:rFonts w:ascii="Calibri" w:hAnsi="Calibri" w:eastAsia="宋体" w:cs="Times New Roman"/>
      <w:lang w:eastAsia="en-US"/>
    </w:rPr>
  </w:style>
  <w:style w:type="paragraph" w:customStyle="1" w:styleId="162">
    <w:name w:val="h二级条标题"/>
    <w:basedOn w:val="163"/>
    <w:next w:val="108"/>
    <w:qFormat/>
    <w:uiPriority w:val="0"/>
    <w:pPr>
      <w:tabs>
        <w:tab w:val="left" w:pos="360"/>
        <w:tab w:val="left" w:pos="525"/>
        <w:tab w:val="left" w:pos="720"/>
      </w:tabs>
      <w:outlineLvl w:val="3"/>
    </w:pPr>
  </w:style>
  <w:style w:type="paragraph" w:customStyle="1" w:styleId="163">
    <w:name w:val="h一级条标题"/>
    <w:basedOn w:val="79"/>
    <w:next w:val="108"/>
    <w:qFormat/>
    <w:uiPriority w:val="0"/>
    <w:pPr>
      <w:numPr>
        <w:numId w:val="0"/>
      </w:numPr>
      <w:tabs>
        <w:tab w:val="left" w:pos="525"/>
        <w:tab w:val="left" w:pos="720"/>
        <w:tab w:val="clear" w:pos="420"/>
      </w:tabs>
      <w:spacing w:before="0" w:after="0"/>
      <w:outlineLvl w:val="2"/>
    </w:pPr>
    <w:rPr>
      <w:rFonts w:ascii="Times New Roman" w:eastAsia="宋体"/>
    </w:rPr>
  </w:style>
  <w:style w:type="paragraph" w:customStyle="1" w:styleId="164">
    <w:name w:val="Char"/>
    <w:basedOn w:val="1"/>
    <w:qFormat/>
    <w:uiPriority w:val="0"/>
    <w:pPr>
      <w:spacing w:line="360" w:lineRule="auto"/>
    </w:pPr>
    <w:rPr>
      <w:rFonts w:ascii="Tahoma" w:hAnsi="Tahoma"/>
      <w:sz w:val="24"/>
      <w:szCs w:val="20"/>
    </w:rPr>
  </w:style>
  <w:style w:type="paragraph" w:customStyle="1" w:styleId="165">
    <w:name w:val="表格文本 居右"/>
    <w:basedOn w:val="1"/>
    <w:unhideWhenUsed/>
    <w:qFormat/>
    <w:uiPriority w:val="4"/>
    <w:pPr>
      <w:wordWrap w:val="0"/>
      <w:jc w:val="right"/>
    </w:pPr>
    <w:rPr>
      <w:rFonts w:ascii="宋体" w:hAnsi="宋体"/>
      <w:szCs w:val="21"/>
    </w:rPr>
  </w:style>
  <w:style w:type="paragraph" w:customStyle="1" w:styleId="166">
    <w:name w:val="表格文本 居中 倾斜 深红"/>
    <w:basedOn w:val="165"/>
    <w:qFormat/>
    <w:uiPriority w:val="0"/>
    <w:pPr>
      <w:jc w:val="center"/>
    </w:pPr>
    <w:rPr>
      <w:rFonts w:cs="宋体"/>
      <w:i/>
      <w:iCs/>
      <w:color w:val="C00000"/>
      <w:szCs w:val="20"/>
    </w:rPr>
  </w:style>
  <w:style w:type="paragraph" w:customStyle="1" w:styleId="167">
    <w:name w:val="结束线"/>
    <w:basedOn w:val="143"/>
    <w:qFormat/>
    <w:uiPriority w:val="0"/>
    <w:pPr>
      <w:ind w:left="600" w:leftChars="200" w:hanging="180" w:hangingChars="100"/>
      <w:jc w:val="center"/>
    </w:pPr>
  </w:style>
  <w:style w:type="paragraph" w:customStyle="1" w:styleId="168">
    <w:name w:val="正文首行缩进2字符"/>
    <w:basedOn w:val="1"/>
    <w:link w:val="169"/>
    <w:qFormat/>
    <w:uiPriority w:val="0"/>
    <w:pPr>
      <w:spacing w:beforeLines="50" w:afterLines="50" w:line="360" w:lineRule="auto"/>
      <w:ind w:firstLine="480" w:firstLineChars="200"/>
    </w:pPr>
    <w:rPr>
      <w:sz w:val="24"/>
      <w:szCs w:val="20"/>
    </w:rPr>
  </w:style>
  <w:style w:type="character" w:customStyle="1" w:styleId="169">
    <w:name w:val="正文首行缩进2字符 Char"/>
    <w:link w:val="168"/>
    <w:qFormat/>
    <w:uiPriority w:val="0"/>
    <w:rPr>
      <w:rFonts w:ascii="Times New Roman" w:hAnsi="Times New Roman" w:eastAsia="宋体" w:cs="Times New Roman"/>
      <w:sz w:val="24"/>
      <w:szCs w:val="20"/>
    </w:rPr>
  </w:style>
  <w:style w:type="paragraph" w:customStyle="1" w:styleId="170">
    <w:name w:val="h这是附录表标题"/>
    <w:basedOn w:val="1"/>
    <w:next w:val="108"/>
    <w:qFormat/>
    <w:uiPriority w:val="0"/>
    <w:pPr>
      <w:widowControl/>
      <w:tabs>
        <w:tab w:val="left" w:pos="210"/>
      </w:tabs>
      <w:jc w:val="center"/>
      <w:textAlignment w:val="baseline"/>
    </w:pPr>
    <w:rPr>
      <w:rFonts w:ascii="宋体" w:eastAsia="黑体"/>
      <w:kern w:val="21"/>
      <w:szCs w:val="20"/>
    </w:rPr>
  </w:style>
  <w:style w:type="paragraph" w:customStyle="1" w:styleId="1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2">
    <w:name w:val="纯文本 Char"/>
    <w:basedOn w:val="38"/>
    <w:link w:val="22"/>
    <w:qFormat/>
    <w:uiPriority w:val="0"/>
    <w:rPr>
      <w:rFonts w:ascii="宋体" w:hAnsi="Courier New" w:eastAsia="宋体" w:cs="Times New Roman"/>
      <w:szCs w:val="20"/>
    </w:rPr>
  </w:style>
  <w:style w:type="character" w:customStyle="1" w:styleId="173">
    <w:name w:val="普通文字 Char Char"/>
    <w:qFormat/>
    <w:uiPriority w:val="0"/>
    <w:rPr>
      <w:rFonts w:ascii="宋体" w:hAnsi="Courier New" w:eastAsia="宋体" w:cs="Times New Roman"/>
      <w:szCs w:val="20"/>
    </w:rPr>
  </w:style>
  <w:style w:type="paragraph" w:customStyle="1" w:styleId="174">
    <w:name w:val="CM284"/>
    <w:basedOn w:val="1"/>
    <w:next w:val="1"/>
    <w:qFormat/>
    <w:uiPriority w:val="99"/>
    <w:pPr>
      <w:autoSpaceDE w:val="0"/>
      <w:autoSpaceDN w:val="0"/>
      <w:adjustRightInd w:val="0"/>
      <w:jc w:val="left"/>
    </w:pPr>
    <w:rPr>
      <w:rFonts w:ascii="FZHei-B01" w:hAnsi="Calibri" w:eastAsia="FZHei-B01" w:cs="FZHei-B01"/>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D463911855CD461AA02E645D765498F6</vt:lpwstr>
  </property>
</Properties>
</file>

<file path=customXml/item3.xml><?xml version="1.0" encoding="utf-8"?>
<Properties xmlns="http://schemas.openxmlformats.org/officeDocument/2006/extended-properties" xmlns:vt="http://schemas.openxmlformats.org/officeDocument/2006/docPropsVTypes">
  <Template>Normal</Template>
  <Company>微软中国</Company>
  <Pages>14</Pages>
  <Words>499</Words>
  <Characters>2845</Characters>
  <Lines>23</Lines>
  <Paragraphs>6</Paragraphs>
  <TotalTime>37</TotalTime>
  <ScaleCrop>false</ScaleCrop>
  <LinksUpToDate>false</LinksUpToDate>
  <CharactersWithSpaces>3338</CharactersWithSpaces>
  <Application>WPS Office_11.8.2.12309_F1E327BC-269C-435d-A152-05C5408002CA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未知</cp:lastModifiedBy>
  <dcterms:modified xsi:type="dcterms:W3CDTF">2025-02-06T01:48:47Z</dcterms:modified>
  <cp:revision>17</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85f786-e317-408c-96c9-07d3212df76a}">
  <ds:schemaRefs/>
</ds:datastoreItem>
</file>

<file path=customXml/itemProps3.xml><?xml version="1.0" encoding="utf-8"?>
<ds:datastoreItem xmlns:ds="http://schemas.openxmlformats.org/officeDocument/2006/customXml" ds:itemID="{531d8487-3381-40fa-bc18-d1f83e89b7ff}">
  <ds:schemaRefs/>
</ds:datastoreItem>
</file>

<file path=customXml/itemProps4.xml><?xml version="1.0" encoding="utf-8"?>
<ds:datastoreItem xmlns:ds="http://schemas.openxmlformats.org/officeDocument/2006/customXml" ds:itemID="{b23c4141-fa91-4808-a784-f4dcea73d7c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Pages>
  <Words>499</Words>
  <Characters>2845</Characters>
  <Lines>23</Lines>
  <Paragraphs>6</Paragraphs>
  <TotalTime>41</TotalTime>
  <ScaleCrop>false</ScaleCrop>
  <LinksUpToDate>false</LinksUpToDate>
  <CharactersWithSpaces>3338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阳光雨</cp:lastModifiedBy>
  <dcterms:modified xsi:type="dcterms:W3CDTF">2025-12-25T14:39:27Z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16001F486FC74E89B5966CFA2F38462E</vt:lpwstr>
  </property>
</Properties>
</file>