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Style w:val="10"/>
          <w:rFonts w:hint="eastAsia" w:ascii="宋体" w:hAnsi="宋体"/>
          <w:b/>
          <w:sz w:val="28"/>
          <w:szCs w:val="28"/>
        </w:rPr>
      </w:pPr>
      <w:r>
        <w:rPr>
          <w:rStyle w:val="10"/>
          <w:rFonts w:hint="eastAsia" w:ascii="宋体" w:hAnsi="宋体"/>
          <w:b/>
          <w:sz w:val="28"/>
          <w:szCs w:val="28"/>
        </w:rPr>
        <w:t>202</w:t>
      </w:r>
      <w:r>
        <w:rPr>
          <w:rStyle w:val="10"/>
          <w:rFonts w:hint="eastAsia" w:ascii="宋体" w:hAnsi="宋体"/>
          <w:b/>
          <w:sz w:val="28"/>
          <w:szCs w:val="28"/>
          <w:lang w:val="en-US" w:eastAsia="zh-CN"/>
        </w:rPr>
        <w:t>6</w:t>
      </w:r>
      <w:r>
        <w:rPr>
          <w:rStyle w:val="10"/>
          <w:rFonts w:hint="eastAsia" w:ascii="宋体" w:hAnsi="宋体"/>
          <w:b/>
          <w:sz w:val="28"/>
          <w:szCs w:val="28"/>
        </w:rPr>
        <w:t>年南方电网数字电网集团有限公司绿色电力证书采购报价表</w:t>
      </w:r>
    </w:p>
    <w:p>
      <w:pPr>
        <w:pStyle w:val="2"/>
      </w:pPr>
    </w:p>
    <w:p>
      <w:pPr>
        <w:spacing w:line="239" w:lineRule="auto"/>
        <w:jc w:val="right"/>
        <w:rPr>
          <w:rStyle w:val="10"/>
          <w:rFonts w:ascii="宋体" w:hAnsi="宋体"/>
          <w:sz w:val="24"/>
          <w:szCs w:val="24"/>
        </w:rPr>
      </w:pPr>
    </w:p>
    <w:tbl>
      <w:tblPr>
        <w:tblStyle w:val="6"/>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37"/>
        <w:gridCol w:w="906"/>
        <w:gridCol w:w="1863"/>
        <w:gridCol w:w="1362"/>
        <w:gridCol w:w="4537"/>
        <w:gridCol w:w="594"/>
        <w:gridCol w:w="1076"/>
        <w:gridCol w:w="978"/>
        <w:gridCol w:w="1268"/>
        <w:gridCol w:w="10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437" w:type="dxa"/>
            <w:tcBorders>
              <w:top w:val="single" w:color="000000" w:sz="4" w:space="0"/>
              <w:left w:val="single" w:color="000000" w:sz="8"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项目</w:t>
            </w:r>
          </w:p>
        </w:tc>
        <w:tc>
          <w:tcPr>
            <w:tcW w:w="189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采购内容</w:t>
            </w:r>
          </w:p>
        </w:tc>
        <w:tc>
          <w:tcPr>
            <w:tcW w:w="14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22"/>
                <w:szCs w:val="22"/>
                <w:u w:val="none"/>
                <w:lang w:val="en-US" w:eastAsia="zh-CN" w:bidi="ar"/>
              </w:rPr>
            </w:pPr>
            <w:r>
              <w:rPr>
                <w:rFonts w:hint="eastAsia" w:ascii="宋体" w:hAnsi="宋体" w:cs="宋体"/>
                <w:b/>
                <w:bCs/>
                <w:i w:val="0"/>
                <w:iCs w:val="0"/>
                <w:color w:val="000000"/>
                <w:kern w:val="0"/>
                <w:sz w:val="22"/>
                <w:szCs w:val="22"/>
                <w:u w:val="none"/>
                <w:lang w:val="en-US" w:eastAsia="zh-CN" w:bidi="ar"/>
              </w:rPr>
              <w:t>绿证所属单位</w:t>
            </w:r>
          </w:p>
        </w:tc>
        <w:tc>
          <w:tcPr>
            <w:tcW w:w="4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规格型号</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单位</w:t>
            </w: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数量（Mwh）</w:t>
            </w:r>
          </w:p>
        </w:tc>
        <w:tc>
          <w:tcPr>
            <w:tcW w:w="8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单价</w:t>
            </w:r>
            <w:r>
              <w:rPr>
                <w:rFonts w:hint="eastAsia" w:ascii="宋体" w:hAnsi="宋体" w:cs="宋体"/>
                <w:b/>
                <w:bCs/>
                <w:i w:val="0"/>
                <w:iCs w:val="0"/>
                <w:color w:val="000000"/>
                <w:kern w:val="0"/>
                <w:sz w:val="22"/>
                <w:szCs w:val="22"/>
                <w:highlight w:val="none"/>
                <w:u w:val="none"/>
                <w:lang w:val="en-US" w:eastAsia="zh-CN" w:bidi="ar"/>
              </w:rPr>
              <w:t>最高</w:t>
            </w:r>
            <w:r>
              <w:rPr>
                <w:rFonts w:hint="eastAsia" w:ascii="宋体" w:hAnsi="宋体" w:cs="宋体"/>
                <w:b/>
                <w:bCs/>
                <w:i w:val="0"/>
                <w:iCs w:val="0"/>
                <w:color w:val="000000"/>
                <w:kern w:val="0"/>
                <w:sz w:val="22"/>
                <w:szCs w:val="22"/>
                <w:u w:val="none"/>
                <w:lang w:val="en-US" w:eastAsia="zh-CN" w:bidi="ar"/>
              </w:rPr>
              <w:t>限价</w:t>
            </w:r>
            <w:r>
              <w:rPr>
                <w:rFonts w:hint="eastAsia" w:ascii="宋体" w:hAnsi="宋体" w:eastAsia="宋体" w:cs="宋体"/>
                <w:b/>
                <w:bCs/>
                <w:i w:val="0"/>
                <w:iCs w:val="0"/>
                <w:color w:val="000000"/>
                <w:kern w:val="0"/>
                <w:sz w:val="22"/>
                <w:szCs w:val="22"/>
                <w:u w:val="none"/>
                <w:lang w:val="en-US" w:eastAsia="zh-CN" w:bidi="ar"/>
              </w:rPr>
              <w:t>（元/M</w:t>
            </w:r>
            <w:r>
              <w:rPr>
                <w:rFonts w:hint="eastAsia" w:ascii="宋体" w:hAnsi="宋体" w:cs="宋体"/>
                <w:b/>
                <w:bCs/>
                <w:i w:val="0"/>
                <w:iCs w:val="0"/>
                <w:color w:val="000000"/>
                <w:kern w:val="0"/>
                <w:sz w:val="22"/>
                <w:szCs w:val="22"/>
                <w:u w:val="none"/>
                <w:lang w:val="en-US" w:eastAsia="zh-CN" w:bidi="ar"/>
              </w:rPr>
              <w:t>W</w:t>
            </w:r>
            <w:r>
              <w:rPr>
                <w:rFonts w:hint="eastAsia" w:ascii="宋体" w:hAnsi="宋体" w:eastAsia="宋体" w:cs="宋体"/>
                <w:b/>
                <w:bCs/>
                <w:i w:val="0"/>
                <w:iCs w:val="0"/>
                <w:color w:val="000000"/>
                <w:kern w:val="0"/>
                <w:sz w:val="22"/>
                <w:szCs w:val="22"/>
                <w:u w:val="none"/>
                <w:lang w:val="en-US" w:eastAsia="zh-CN" w:bidi="ar"/>
              </w:rPr>
              <w:t>h）</w:t>
            </w:r>
          </w:p>
        </w:tc>
        <w:tc>
          <w:tcPr>
            <w:tcW w:w="12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单价</w:t>
            </w:r>
            <w:r>
              <w:rPr>
                <w:rFonts w:hint="eastAsia" w:ascii="宋体" w:hAnsi="宋体" w:cs="宋体"/>
                <w:b/>
                <w:bCs/>
                <w:i w:val="0"/>
                <w:iCs w:val="0"/>
                <w:color w:val="000000"/>
                <w:kern w:val="0"/>
                <w:sz w:val="22"/>
                <w:szCs w:val="22"/>
                <w:u w:val="none"/>
                <w:lang w:val="en-US" w:eastAsia="zh-CN" w:bidi="ar"/>
              </w:rPr>
              <w:t>报价</w:t>
            </w:r>
            <w:r>
              <w:rPr>
                <w:rFonts w:hint="eastAsia" w:ascii="宋体" w:hAnsi="宋体" w:eastAsia="宋体" w:cs="宋体"/>
                <w:b/>
                <w:bCs/>
                <w:i w:val="0"/>
                <w:iCs w:val="0"/>
                <w:color w:val="000000"/>
                <w:kern w:val="0"/>
                <w:sz w:val="22"/>
                <w:szCs w:val="22"/>
                <w:u w:val="none"/>
                <w:lang w:val="en-US" w:eastAsia="zh-CN" w:bidi="ar"/>
              </w:rPr>
              <w:t>（元/M</w:t>
            </w:r>
            <w:r>
              <w:rPr>
                <w:rFonts w:hint="eastAsia" w:ascii="宋体" w:hAnsi="宋体" w:cs="宋体"/>
                <w:b/>
                <w:bCs/>
                <w:i w:val="0"/>
                <w:iCs w:val="0"/>
                <w:color w:val="000000"/>
                <w:kern w:val="0"/>
                <w:sz w:val="22"/>
                <w:szCs w:val="22"/>
                <w:u w:val="none"/>
                <w:lang w:val="en-US" w:eastAsia="zh-CN" w:bidi="ar"/>
              </w:rPr>
              <w:t>W</w:t>
            </w:r>
            <w:r>
              <w:rPr>
                <w:rFonts w:hint="eastAsia" w:ascii="宋体" w:hAnsi="宋体" w:eastAsia="宋体" w:cs="宋体"/>
                <w:b/>
                <w:bCs/>
                <w:i w:val="0"/>
                <w:iCs w:val="0"/>
                <w:color w:val="000000"/>
                <w:kern w:val="0"/>
                <w:sz w:val="22"/>
                <w:szCs w:val="22"/>
                <w:u w:val="none"/>
                <w:lang w:val="en-US" w:eastAsia="zh-CN" w:bidi="ar"/>
              </w:rPr>
              <w:t>h）</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cs="宋体"/>
                <w:b/>
                <w:bCs/>
                <w:i w:val="0"/>
                <w:iCs w:val="0"/>
                <w:color w:val="000000"/>
                <w:kern w:val="0"/>
                <w:sz w:val="22"/>
                <w:szCs w:val="22"/>
                <w:u w:val="none"/>
                <w:lang w:val="en-US" w:eastAsia="zh-CN" w:bidi="ar"/>
              </w:rPr>
              <w:t>报价</w:t>
            </w:r>
            <w:r>
              <w:rPr>
                <w:rFonts w:hint="eastAsia" w:ascii="宋体" w:hAnsi="宋体" w:eastAsia="宋体" w:cs="宋体"/>
                <w:b/>
                <w:bCs/>
                <w:i w:val="0"/>
                <w:iCs w:val="0"/>
                <w:color w:val="000000"/>
                <w:kern w:val="0"/>
                <w:sz w:val="22"/>
                <w:szCs w:val="22"/>
                <w:u w:val="none"/>
                <w:lang w:val="en-US" w:eastAsia="zh-CN" w:bidi="ar"/>
              </w:rPr>
              <w:t>总计（元）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0" w:hRule="atLeast"/>
        </w:trPr>
        <w:tc>
          <w:tcPr>
            <w:tcW w:w="437" w:type="dxa"/>
            <w:vMerge w:val="restart"/>
            <w:tcBorders>
              <w:top w:val="single" w:color="000000" w:sz="4" w:space="0"/>
              <w:left w:val="single" w:color="000000" w:sz="8"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92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绿色电力证书采购</w:t>
            </w:r>
          </w:p>
        </w:tc>
        <w:tc>
          <w:tcPr>
            <w:tcW w:w="1892"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采购中国地区绿色电力证书（GEC）。</w:t>
            </w:r>
          </w:p>
        </w:tc>
        <w:tc>
          <w:tcPr>
            <w:tcW w:w="1402"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南方电网数字集团</w:t>
            </w:r>
          </w:p>
        </w:tc>
        <w:tc>
          <w:tcPr>
            <w:tcW w:w="4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1.绿证类型为中国国内绿证；</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2.电站项目类型</w:t>
            </w:r>
            <w:r>
              <w:rPr>
                <w:rFonts w:hint="eastAsia" w:ascii="宋体" w:hAnsi="宋体" w:cs="宋体"/>
                <w:i w:val="0"/>
                <w:iCs w:val="0"/>
                <w:color w:val="000000"/>
                <w:kern w:val="0"/>
                <w:sz w:val="20"/>
                <w:szCs w:val="20"/>
                <w:highlight w:val="none"/>
                <w:u w:val="none"/>
                <w:lang w:val="en-US" w:eastAsia="zh-CN" w:bidi="ar"/>
              </w:rPr>
              <w:t>为</w:t>
            </w:r>
            <w:r>
              <w:rPr>
                <w:rFonts w:hint="eastAsia" w:ascii="宋体" w:hAnsi="宋体" w:eastAsia="宋体" w:cs="宋体"/>
                <w:i w:val="0"/>
                <w:iCs w:val="0"/>
                <w:color w:val="000000"/>
                <w:kern w:val="0"/>
                <w:sz w:val="20"/>
                <w:szCs w:val="20"/>
                <w:u w:val="none"/>
                <w:lang w:val="en-US" w:eastAsia="zh-CN" w:bidi="ar"/>
              </w:rPr>
              <w:t>风电、光伏</w:t>
            </w:r>
            <w:r>
              <w:rPr>
                <w:rFonts w:hint="eastAsia" w:ascii="宋体" w:hAnsi="宋体" w:cs="宋体"/>
                <w:i w:val="0"/>
                <w:iCs w:val="0"/>
                <w:color w:val="000000"/>
                <w:kern w:val="0"/>
                <w:sz w:val="20"/>
                <w:szCs w:val="20"/>
                <w:highlight w:val="none"/>
                <w:u w:val="none"/>
                <w:lang w:val="en-US" w:eastAsia="zh-CN" w:bidi="ar"/>
              </w:rPr>
              <w:t>等</w:t>
            </w:r>
            <w:r>
              <w:rPr>
                <w:rFonts w:hint="eastAsia" w:ascii="宋体" w:hAnsi="宋体" w:eastAsia="宋体" w:cs="宋体"/>
                <w:i w:val="0"/>
                <w:iCs w:val="0"/>
                <w:color w:val="000000"/>
                <w:kern w:val="0"/>
                <w:sz w:val="20"/>
                <w:szCs w:val="20"/>
                <w:highlight w:val="none"/>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3.电量生产时间为202</w:t>
            </w:r>
            <w:r>
              <w:rPr>
                <w:rFonts w:hint="eastAsia" w:ascii="宋体" w:hAnsi="宋体" w:cs="宋体"/>
                <w:i w:val="0"/>
                <w:iCs w:val="0"/>
                <w:color w:val="000000"/>
                <w:kern w:val="0"/>
                <w:sz w:val="20"/>
                <w:szCs w:val="20"/>
                <w:highlight w:val="none"/>
                <w:u w:val="none"/>
                <w:lang w:val="en-US" w:eastAsia="zh-CN" w:bidi="ar"/>
              </w:rPr>
              <w:t>4</w:t>
            </w:r>
            <w:r>
              <w:rPr>
                <w:rFonts w:hint="eastAsia" w:ascii="宋体" w:hAnsi="宋体" w:eastAsia="宋体" w:cs="宋体"/>
                <w:i w:val="0"/>
                <w:iCs w:val="0"/>
                <w:color w:val="000000"/>
                <w:kern w:val="0"/>
                <w:sz w:val="20"/>
                <w:szCs w:val="20"/>
                <w:highlight w:val="none"/>
                <w:u w:val="none"/>
                <w:lang w:val="en-US" w:eastAsia="zh-CN" w:bidi="ar"/>
              </w:rPr>
              <w:t>年；</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4.所提供绿证的绿色环境权益未被重复开发；</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5.绿证出售后对应的电量不再享受国家可再生能源电价附加资金的补贴。</w:t>
            </w:r>
          </w:p>
          <w:p>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cs="宋体"/>
                <w:i w:val="0"/>
                <w:iCs w:val="0"/>
                <w:color w:val="000000"/>
                <w:kern w:val="0"/>
                <w:sz w:val="20"/>
                <w:szCs w:val="20"/>
                <w:highlight w:val="none"/>
                <w:u w:val="none"/>
                <w:lang w:val="en-US" w:eastAsia="zh-CN" w:bidi="ar"/>
              </w:rPr>
              <w:t>6.</w:t>
            </w:r>
            <w:r>
              <w:rPr>
                <w:rFonts w:hint="eastAsia" w:ascii="宋体" w:hAnsi="宋体" w:eastAsia="宋体" w:cs="宋体"/>
                <w:i w:val="0"/>
                <w:iCs w:val="0"/>
                <w:color w:val="000000"/>
                <w:kern w:val="0"/>
                <w:sz w:val="20"/>
                <w:szCs w:val="20"/>
                <w:highlight w:val="none"/>
                <w:u w:val="none"/>
                <w:lang w:val="en-US" w:eastAsia="zh-CN" w:bidi="ar"/>
              </w:rPr>
              <w:t>GEC的签发、核销需在南方区域绿色电力交易系统进行。</w:t>
            </w:r>
          </w:p>
        </w:tc>
        <w:tc>
          <w:tcPr>
            <w:tcW w:w="51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Mwh</w:t>
            </w: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0"/>
                <w:szCs w:val="20"/>
                <w:highlight w:val="none"/>
                <w:u w:val="none"/>
                <w:lang w:val="en-US" w:eastAsia="zh-CN"/>
              </w:rPr>
            </w:pPr>
            <w:r>
              <w:rPr>
                <w:rFonts w:hint="eastAsia" w:ascii="宋体" w:hAnsi="宋体" w:cs="宋体"/>
                <w:i w:val="0"/>
                <w:iCs w:val="0"/>
                <w:color w:val="000000"/>
                <w:sz w:val="20"/>
                <w:szCs w:val="20"/>
                <w:highlight w:val="none"/>
                <w:u w:val="none"/>
                <w:lang w:val="en-US" w:eastAsia="zh-CN"/>
              </w:rPr>
              <w:t>2000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eastAsia="zh-CN"/>
              </w:rPr>
            </w:pPr>
            <w:r>
              <w:rPr>
                <w:rFonts w:hint="eastAsia" w:ascii="宋体" w:hAnsi="宋体" w:cs="宋体"/>
                <w:i w:val="0"/>
                <w:iCs w:val="0"/>
                <w:color w:val="000000"/>
                <w:sz w:val="22"/>
                <w:szCs w:val="22"/>
                <w:highlight w:val="none"/>
                <w:u w:val="none"/>
                <w:lang w:val="en-US" w:eastAsia="zh-CN"/>
              </w:rPr>
              <w:t>1.5</w:t>
            </w:r>
          </w:p>
        </w:tc>
        <w:tc>
          <w:tcPr>
            <w:tcW w:w="12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仿宋" w:hAnsi="仿宋" w:eastAsia="仿宋" w:cs="仿宋"/>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437" w:type="dxa"/>
            <w:vMerge w:val="continue"/>
            <w:tcBorders>
              <w:left w:val="single" w:color="000000" w:sz="8"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926"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1892"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1402"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000000"/>
                <w:kern w:val="0"/>
                <w:sz w:val="20"/>
                <w:szCs w:val="20"/>
                <w:highlight w:val="none"/>
                <w:u w:val="none"/>
                <w:lang w:val="en-US" w:eastAsia="zh-CN" w:bidi="ar"/>
              </w:rPr>
            </w:pPr>
          </w:p>
        </w:tc>
        <w:tc>
          <w:tcPr>
            <w:tcW w:w="4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1.绿证类型为中国国内绿证；</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2.电站项目类型</w:t>
            </w:r>
            <w:r>
              <w:rPr>
                <w:rFonts w:hint="eastAsia" w:ascii="宋体" w:hAnsi="宋体" w:cs="宋体"/>
                <w:i w:val="0"/>
                <w:iCs w:val="0"/>
                <w:color w:val="000000"/>
                <w:kern w:val="0"/>
                <w:sz w:val="20"/>
                <w:szCs w:val="20"/>
                <w:highlight w:val="none"/>
                <w:u w:val="none"/>
                <w:lang w:val="en-US" w:eastAsia="zh-CN" w:bidi="ar"/>
              </w:rPr>
              <w:t>为</w:t>
            </w:r>
            <w:r>
              <w:rPr>
                <w:rFonts w:hint="eastAsia" w:ascii="宋体" w:hAnsi="宋体" w:eastAsia="宋体" w:cs="宋体"/>
                <w:i w:val="0"/>
                <w:iCs w:val="0"/>
                <w:color w:val="000000"/>
                <w:kern w:val="0"/>
                <w:sz w:val="20"/>
                <w:szCs w:val="20"/>
                <w:u w:val="none"/>
                <w:lang w:val="en-US" w:eastAsia="zh-CN" w:bidi="ar"/>
              </w:rPr>
              <w:t>风电、光伏</w:t>
            </w:r>
            <w:r>
              <w:rPr>
                <w:rFonts w:hint="eastAsia" w:ascii="宋体" w:hAnsi="宋体" w:cs="宋体"/>
                <w:i w:val="0"/>
                <w:iCs w:val="0"/>
                <w:color w:val="000000"/>
                <w:kern w:val="0"/>
                <w:sz w:val="20"/>
                <w:szCs w:val="20"/>
                <w:highlight w:val="none"/>
                <w:u w:val="none"/>
                <w:lang w:val="en-US" w:eastAsia="zh-CN" w:bidi="ar"/>
              </w:rPr>
              <w:t>等</w:t>
            </w:r>
            <w:r>
              <w:rPr>
                <w:rFonts w:hint="eastAsia" w:ascii="宋体" w:hAnsi="宋体" w:eastAsia="宋体" w:cs="宋体"/>
                <w:i w:val="0"/>
                <w:iCs w:val="0"/>
                <w:color w:val="000000"/>
                <w:kern w:val="0"/>
                <w:sz w:val="20"/>
                <w:szCs w:val="20"/>
                <w:highlight w:val="none"/>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3.电量生产时间为202</w:t>
            </w:r>
            <w:r>
              <w:rPr>
                <w:rFonts w:hint="eastAsia" w:ascii="宋体" w:hAnsi="宋体" w:cs="宋体"/>
                <w:i w:val="0"/>
                <w:iCs w:val="0"/>
                <w:color w:val="000000"/>
                <w:kern w:val="0"/>
                <w:sz w:val="20"/>
                <w:szCs w:val="20"/>
                <w:highlight w:val="none"/>
                <w:u w:val="none"/>
                <w:lang w:val="en-US" w:eastAsia="zh-CN" w:bidi="ar"/>
              </w:rPr>
              <w:t>5</w:t>
            </w:r>
            <w:r>
              <w:rPr>
                <w:rFonts w:hint="eastAsia" w:ascii="宋体" w:hAnsi="宋体" w:eastAsia="宋体" w:cs="宋体"/>
                <w:i w:val="0"/>
                <w:iCs w:val="0"/>
                <w:color w:val="000000"/>
                <w:kern w:val="0"/>
                <w:sz w:val="20"/>
                <w:szCs w:val="20"/>
                <w:highlight w:val="none"/>
                <w:u w:val="none"/>
                <w:lang w:val="en-US" w:eastAsia="zh-CN" w:bidi="ar"/>
              </w:rPr>
              <w:t>年；</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4.所提供绿证的绿色环境权益未被重复开发；</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5.绿证出售后对应的电量不再享受国家可再生能源电价附加资金的补贴。</w:t>
            </w:r>
          </w:p>
          <w:p>
            <w:pPr>
              <w:keepNext w:val="0"/>
              <w:keepLines w:val="0"/>
              <w:widowControl/>
              <w:suppressLineNumbers w:val="0"/>
              <w:jc w:val="left"/>
              <w:textAlignment w:val="center"/>
              <w:rPr>
                <w:rFonts w:hint="eastAsia" w:ascii="宋体" w:hAnsi="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6.</w:t>
            </w:r>
            <w:r>
              <w:rPr>
                <w:rFonts w:hint="eastAsia" w:ascii="宋体" w:hAnsi="宋体" w:eastAsia="宋体" w:cs="宋体"/>
                <w:i w:val="0"/>
                <w:iCs w:val="0"/>
                <w:color w:val="000000"/>
                <w:kern w:val="0"/>
                <w:sz w:val="20"/>
                <w:szCs w:val="20"/>
                <w:highlight w:val="none"/>
                <w:u w:val="none"/>
                <w:lang w:val="en-US" w:eastAsia="zh-CN" w:bidi="ar"/>
              </w:rPr>
              <w:t>GEC的签发、核销需在南方区域绿色电力交易系统进行。</w:t>
            </w:r>
          </w:p>
        </w:tc>
        <w:tc>
          <w:tcPr>
            <w:tcW w:w="516" w:type="dxa"/>
            <w:vMerge w:val="continue"/>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500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eastAsia="zh-CN"/>
              </w:rPr>
            </w:pPr>
            <w:r>
              <w:rPr>
                <w:rFonts w:hint="eastAsia" w:ascii="宋体" w:hAnsi="宋体" w:cs="宋体"/>
                <w:i w:val="0"/>
                <w:iCs w:val="0"/>
                <w:color w:val="000000"/>
                <w:sz w:val="22"/>
                <w:szCs w:val="22"/>
                <w:highlight w:val="none"/>
                <w:u w:val="none"/>
                <w:lang w:val="en-US" w:eastAsia="zh-CN"/>
              </w:rPr>
              <w:t>7</w:t>
            </w:r>
          </w:p>
        </w:tc>
        <w:tc>
          <w:tcPr>
            <w:tcW w:w="12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仿宋" w:hAnsi="仿宋" w:eastAsia="仿宋" w:cs="仿宋"/>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0" w:hRule="atLeast"/>
        </w:trPr>
        <w:tc>
          <w:tcPr>
            <w:tcW w:w="437" w:type="dxa"/>
            <w:vMerge w:val="restart"/>
            <w:tcBorders>
              <w:left w:val="single" w:color="000000" w:sz="8"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2</w:t>
            </w:r>
          </w:p>
        </w:tc>
        <w:tc>
          <w:tcPr>
            <w:tcW w:w="926" w:type="dxa"/>
            <w:vMerge w:val="restart"/>
            <w:tcBorders>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SA"/>
              </w:rPr>
            </w:pPr>
            <w:r>
              <w:rPr>
                <w:rFonts w:hint="eastAsia" w:ascii="宋体" w:hAnsi="宋体" w:eastAsia="宋体" w:cs="宋体"/>
                <w:i w:val="0"/>
                <w:iCs w:val="0"/>
                <w:color w:val="000000"/>
                <w:kern w:val="0"/>
                <w:sz w:val="20"/>
                <w:szCs w:val="20"/>
                <w:highlight w:val="none"/>
                <w:u w:val="none"/>
                <w:lang w:val="en-US" w:eastAsia="zh-CN" w:bidi="ar"/>
              </w:rPr>
              <w:t>绿色电力证书采购</w:t>
            </w:r>
          </w:p>
        </w:tc>
        <w:tc>
          <w:tcPr>
            <w:tcW w:w="1892" w:type="dxa"/>
            <w:vMerge w:val="restart"/>
            <w:tcBorders>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SA"/>
              </w:rPr>
            </w:pPr>
            <w:r>
              <w:rPr>
                <w:rFonts w:hint="eastAsia" w:ascii="宋体" w:hAnsi="宋体" w:eastAsia="宋体" w:cs="宋体"/>
                <w:i w:val="0"/>
                <w:iCs w:val="0"/>
                <w:color w:val="000000"/>
                <w:kern w:val="0"/>
                <w:sz w:val="20"/>
                <w:szCs w:val="20"/>
                <w:highlight w:val="none"/>
                <w:u w:val="none"/>
                <w:lang w:val="en-US" w:eastAsia="zh-CN" w:bidi="ar"/>
              </w:rPr>
              <w:t>采购中国地区绿色电力证书（GEC）。</w:t>
            </w:r>
          </w:p>
        </w:tc>
        <w:tc>
          <w:tcPr>
            <w:tcW w:w="1402"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南方电网数字电网研究院有限公司</w:t>
            </w:r>
          </w:p>
        </w:tc>
        <w:tc>
          <w:tcPr>
            <w:tcW w:w="4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1.绿证类型为中国国内绿证；</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2.电站项目类型</w:t>
            </w:r>
            <w:r>
              <w:rPr>
                <w:rFonts w:hint="eastAsia" w:ascii="宋体" w:hAnsi="宋体" w:cs="宋体"/>
                <w:i w:val="0"/>
                <w:iCs w:val="0"/>
                <w:color w:val="000000"/>
                <w:kern w:val="0"/>
                <w:sz w:val="20"/>
                <w:szCs w:val="20"/>
                <w:highlight w:val="none"/>
                <w:u w:val="none"/>
                <w:lang w:val="en-US" w:eastAsia="zh-CN" w:bidi="ar"/>
              </w:rPr>
              <w:t>为</w:t>
            </w:r>
            <w:r>
              <w:rPr>
                <w:rFonts w:hint="eastAsia" w:ascii="宋体" w:hAnsi="宋体" w:eastAsia="宋体" w:cs="宋体"/>
                <w:i w:val="0"/>
                <w:iCs w:val="0"/>
                <w:color w:val="000000"/>
                <w:kern w:val="0"/>
                <w:sz w:val="20"/>
                <w:szCs w:val="20"/>
                <w:u w:val="none"/>
                <w:lang w:val="en-US" w:eastAsia="zh-CN" w:bidi="ar"/>
              </w:rPr>
              <w:t>风电、光伏</w:t>
            </w:r>
            <w:r>
              <w:rPr>
                <w:rFonts w:hint="eastAsia" w:ascii="宋体" w:hAnsi="宋体" w:cs="宋体"/>
                <w:i w:val="0"/>
                <w:iCs w:val="0"/>
                <w:color w:val="000000"/>
                <w:kern w:val="0"/>
                <w:sz w:val="20"/>
                <w:szCs w:val="20"/>
                <w:highlight w:val="none"/>
                <w:u w:val="none"/>
                <w:lang w:val="en-US" w:eastAsia="zh-CN" w:bidi="ar"/>
              </w:rPr>
              <w:t>等</w:t>
            </w:r>
            <w:r>
              <w:rPr>
                <w:rFonts w:hint="eastAsia" w:ascii="宋体" w:hAnsi="宋体" w:eastAsia="宋体" w:cs="宋体"/>
                <w:i w:val="0"/>
                <w:iCs w:val="0"/>
                <w:color w:val="000000"/>
                <w:kern w:val="0"/>
                <w:sz w:val="20"/>
                <w:szCs w:val="20"/>
                <w:highlight w:val="none"/>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3.电量生产时间为202</w:t>
            </w:r>
            <w:r>
              <w:rPr>
                <w:rFonts w:hint="eastAsia" w:ascii="宋体" w:hAnsi="宋体" w:cs="宋体"/>
                <w:i w:val="0"/>
                <w:iCs w:val="0"/>
                <w:color w:val="000000"/>
                <w:kern w:val="0"/>
                <w:sz w:val="20"/>
                <w:szCs w:val="20"/>
                <w:highlight w:val="none"/>
                <w:u w:val="none"/>
                <w:lang w:val="en-US" w:eastAsia="zh-CN" w:bidi="ar"/>
              </w:rPr>
              <w:t>4</w:t>
            </w:r>
            <w:r>
              <w:rPr>
                <w:rFonts w:hint="eastAsia" w:ascii="宋体" w:hAnsi="宋体" w:eastAsia="宋体" w:cs="宋体"/>
                <w:i w:val="0"/>
                <w:iCs w:val="0"/>
                <w:color w:val="000000"/>
                <w:kern w:val="0"/>
                <w:sz w:val="20"/>
                <w:szCs w:val="20"/>
                <w:highlight w:val="none"/>
                <w:u w:val="none"/>
                <w:lang w:val="en-US" w:eastAsia="zh-CN" w:bidi="ar"/>
              </w:rPr>
              <w:t>年；</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4.所提供绿证的绿色环境权益未被重复开发；</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5.绿证出售后对应的电量不再享受国家可再生能源电价附加资金的补贴。</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SA"/>
              </w:rPr>
            </w:pPr>
            <w:r>
              <w:rPr>
                <w:rFonts w:hint="eastAsia" w:ascii="宋体" w:hAnsi="宋体" w:cs="宋体"/>
                <w:i w:val="0"/>
                <w:iCs w:val="0"/>
                <w:color w:val="000000"/>
                <w:kern w:val="0"/>
                <w:sz w:val="20"/>
                <w:szCs w:val="20"/>
                <w:highlight w:val="none"/>
                <w:u w:val="none"/>
                <w:lang w:val="en-US" w:eastAsia="zh-CN" w:bidi="ar"/>
              </w:rPr>
              <w:t>6.</w:t>
            </w:r>
            <w:r>
              <w:rPr>
                <w:rFonts w:hint="eastAsia" w:ascii="宋体" w:hAnsi="宋体" w:eastAsia="宋体" w:cs="宋体"/>
                <w:i w:val="0"/>
                <w:iCs w:val="0"/>
                <w:color w:val="000000"/>
                <w:kern w:val="0"/>
                <w:sz w:val="20"/>
                <w:szCs w:val="20"/>
                <w:highlight w:val="none"/>
                <w:u w:val="none"/>
                <w:lang w:val="en-US" w:eastAsia="zh-CN" w:bidi="ar"/>
              </w:rPr>
              <w:t>GEC的签发、核销需在南方区域绿色电力交易系统进行。</w:t>
            </w:r>
          </w:p>
        </w:tc>
        <w:tc>
          <w:tcPr>
            <w:tcW w:w="516" w:type="dxa"/>
            <w:vMerge w:val="restart"/>
            <w:tcBorders>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SA"/>
              </w:rPr>
            </w:pPr>
            <w:r>
              <w:rPr>
                <w:rFonts w:hint="eastAsia" w:ascii="宋体" w:hAnsi="宋体" w:eastAsia="宋体" w:cs="宋体"/>
                <w:i w:val="0"/>
                <w:iCs w:val="0"/>
                <w:color w:val="000000"/>
                <w:kern w:val="0"/>
                <w:sz w:val="20"/>
                <w:szCs w:val="20"/>
                <w:highlight w:val="none"/>
                <w:u w:val="none"/>
                <w:lang w:val="en-US" w:eastAsia="zh-CN" w:bidi="ar"/>
              </w:rPr>
              <w:t>Mwh</w:t>
            </w: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5000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sz w:val="22"/>
                <w:szCs w:val="22"/>
                <w:highlight w:val="none"/>
                <w:u w:val="none"/>
                <w:lang w:val="en-US" w:eastAsia="zh-CN"/>
              </w:rPr>
            </w:pPr>
            <w:r>
              <w:rPr>
                <w:rFonts w:hint="eastAsia" w:ascii="宋体" w:hAnsi="宋体" w:cs="宋体"/>
                <w:i w:val="0"/>
                <w:iCs w:val="0"/>
                <w:color w:val="000000"/>
                <w:sz w:val="22"/>
                <w:szCs w:val="22"/>
                <w:highlight w:val="none"/>
                <w:u w:val="none"/>
                <w:lang w:val="en-US" w:eastAsia="zh-CN"/>
              </w:rPr>
              <w:t>1.5</w:t>
            </w:r>
          </w:p>
        </w:tc>
        <w:tc>
          <w:tcPr>
            <w:tcW w:w="12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仿宋" w:hAnsi="仿宋" w:eastAsia="仿宋" w:cs="仿宋"/>
                <w:i w:val="0"/>
                <w:iCs w:val="0"/>
                <w:color w:val="000000"/>
                <w:sz w:val="21"/>
                <w:szCs w:val="21"/>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437" w:type="dxa"/>
            <w:vMerge w:val="continue"/>
            <w:tcBorders>
              <w:left w:val="single" w:color="000000" w:sz="8"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92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1892"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1402"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000000"/>
                <w:kern w:val="0"/>
                <w:sz w:val="20"/>
                <w:szCs w:val="20"/>
                <w:highlight w:val="none"/>
                <w:u w:val="none"/>
                <w:lang w:val="en-US" w:eastAsia="zh-CN" w:bidi="ar"/>
              </w:rPr>
            </w:pPr>
          </w:p>
        </w:tc>
        <w:tc>
          <w:tcPr>
            <w:tcW w:w="47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1.绿证类型为中国国内绿证；</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2.电站项目类型</w:t>
            </w:r>
            <w:r>
              <w:rPr>
                <w:rFonts w:hint="eastAsia" w:ascii="宋体" w:hAnsi="宋体" w:cs="宋体"/>
                <w:i w:val="0"/>
                <w:iCs w:val="0"/>
                <w:color w:val="000000"/>
                <w:kern w:val="0"/>
                <w:sz w:val="20"/>
                <w:szCs w:val="20"/>
                <w:highlight w:val="none"/>
                <w:u w:val="none"/>
                <w:lang w:val="en-US" w:eastAsia="zh-CN" w:bidi="ar"/>
              </w:rPr>
              <w:t>为</w:t>
            </w:r>
            <w:r>
              <w:rPr>
                <w:rFonts w:hint="eastAsia" w:ascii="宋体" w:hAnsi="宋体" w:eastAsia="宋体" w:cs="宋体"/>
                <w:i w:val="0"/>
                <w:iCs w:val="0"/>
                <w:color w:val="000000"/>
                <w:kern w:val="0"/>
                <w:sz w:val="20"/>
                <w:szCs w:val="20"/>
                <w:u w:val="none"/>
                <w:lang w:val="en-US" w:eastAsia="zh-CN" w:bidi="ar"/>
              </w:rPr>
              <w:t>风电、光</w:t>
            </w:r>
            <w:r>
              <w:rPr>
                <w:rFonts w:hint="eastAsia" w:ascii="宋体" w:hAnsi="宋体" w:eastAsia="宋体" w:cs="宋体"/>
                <w:i w:val="0"/>
                <w:iCs w:val="0"/>
                <w:color w:val="000000"/>
                <w:kern w:val="0"/>
                <w:sz w:val="20"/>
                <w:szCs w:val="20"/>
                <w:highlight w:val="none"/>
                <w:u w:val="none"/>
                <w:lang w:val="en-US" w:eastAsia="zh-CN" w:bidi="ar"/>
              </w:rPr>
              <w:t>伏</w:t>
            </w:r>
            <w:r>
              <w:rPr>
                <w:rFonts w:hint="eastAsia" w:ascii="宋体" w:hAnsi="宋体" w:cs="宋体"/>
                <w:i w:val="0"/>
                <w:iCs w:val="0"/>
                <w:color w:val="000000"/>
                <w:kern w:val="0"/>
                <w:sz w:val="20"/>
                <w:szCs w:val="20"/>
                <w:highlight w:val="none"/>
                <w:u w:val="none"/>
                <w:lang w:val="en-US" w:eastAsia="zh-CN" w:bidi="ar"/>
              </w:rPr>
              <w:t>等</w:t>
            </w:r>
            <w:r>
              <w:rPr>
                <w:rFonts w:hint="eastAsia" w:ascii="宋体" w:hAnsi="宋体" w:eastAsia="宋体" w:cs="宋体"/>
                <w:i w:val="0"/>
                <w:iCs w:val="0"/>
                <w:color w:val="000000"/>
                <w:kern w:val="0"/>
                <w:sz w:val="20"/>
                <w:szCs w:val="20"/>
                <w:highlight w:val="none"/>
                <w:u w:val="none"/>
                <w:lang w:val="en-US" w:eastAsia="zh-CN" w:bidi="ar"/>
              </w:rPr>
              <w:t>；</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3.电量生产时间为202</w:t>
            </w:r>
            <w:r>
              <w:rPr>
                <w:rFonts w:hint="eastAsia" w:ascii="宋体" w:hAnsi="宋体" w:cs="宋体"/>
                <w:i w:val="0"/>
                <w:iCs w:val="0"/>
                <w:color w:val="000000"/>
                <w:kern w:val="0"/>
                <w:sz w:val="20"/>
                <w:szCs w:val="20"/>
                <w:highlight w:val="none"/>
                <w:u w:val="none"/>
                <w:lang w:val="en-US" w:eastAsia="zh-CN" w:bidi="ar"/>
              </w:rPr>
              <w:t>5</w:t>
            </w:r>
            <w:r>
              <w:rPr>
                <w:rFonts w:hint="eastAsia" w:ascii="宋体" w:hAnsi="宋体" w:eastAsia="宋体" w:cs="宋体"/>
                <w:i w:val="0"/>
                <w:iCs w:val="0"/>
                <w:color w:val="000000"/>
                <w:kern w:val="0"/>
                <w:sz w:val="20"/>
                <w:szCs w:val="20"/>
                <w:highlight w:val="none"/>
                <w:u w:val="none"/>
                <w:lang w:val="en-US" w:eastAsia="zh-CN" w:bidi="ar"/>
              </w:rPr>
              <w:t>年；</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4.所提供绿证的绿色环境权益未被重复开发；</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5.绿证出售后对应的电量不再享受国家可再生能源电价附加资金的补贴。</w:t>
            </w:r>
          </w:p>
          <w:p>
            <w:pPr>
              <w:keepNext w:val="0"/>
              <w:keepLines w:val="0"/>
              <w:widowControl/>
              <w:suppressLineNumbers w:val="0"/>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6.</w:t>
            </w:r>
            <w:r>
              <w:rPr>
                <w:rFonts w:hint="eastAsia" w:ascii="宋体" w:hAnsi="宋体" w:eastAsia="宋体" w:cs="宋体"/>
                <w:i w:val="0"/>
                <w:iCs w:val="0"/>
                <w:color w:val="000000"/>
                <w:kern w:val="0"/>
                <w:sz w:val="20"/>
                <w:szCs w:val="20"/>
                <w:highlight w:val="none"/>
                <w:u w:val="none"/>
                <w:lang w:val="en-US" w:eastAsia="zh-CN" w:bidi="ar"/>
              </w:rPr>
              <w:t>GEC的签发、核销需在南方区域绿色电力交易系统进行。</w:t>
            </w:r>
          </w:p>
        </w:tc>
        <w:tc>
          <w:tcPr>
            <w:tcW w:w="51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none"/>
                <w:u w:val="none"/>
                <w:lang w:val="en-US" w:eastAsia="zh-CN" w:bidi="ar"/>
              </w:rPr>
            </w:pP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5</w:t>
            </w:r>
            <w:bookmarkStart w:id="0" w:name="_GoBack"/>
            <w:bookmarkEnd w:id="0"/>
            <w:r>
              <w:rPr>
                <w:rFonts w:hint="eastAsia" w:ascii="宋体" w:hAnsi="宋体" w:cs="宋体"/>
                <w:i w:val="0"/>
                <w:iCs w:val="0"/>
                <w:color w:val="000000"/>
                <w:kern w:val="0"/>
                <w:sz w:val="20"/>
                <w:szCs w:val="20"/>
                <w:highlight w:val="none"/>
                <w:u w:val="none"/>
                <w:lang w:val="en-US" w:eastAsia="zh-CN" w:bidi="ar"/>
              </w:rPr>
              <w:t>00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cs="宋体"/>
                <w:i w:val="0"/>
                <w:iCs w:val="0"/>
                <w:color w:val="000000"/>
                <w:sz w:val="22"/>
                <w:szCs w:val="22"/>
                <w:highlight w:val="none"/>
                <w:u w:val="none"/>
                <w:lang w:val="en-US" w:eastAsia="zh-CN"/>
              </w:rPr>
            </w:pPr>
            <w:r>
              <w:rPr>
                <w:rFonts w:hint="eastAsia" w:ascii="宋体" w:hAnsi="宋体" w:cs="宋体"/>
                <w:i w:val="0"/>
                <w:iCs w:val="0"/>
                <w:color w:val="000000"/>
                <w:sz w:val="22"/>
                <w:szCs w:val="22"/>
                <w:highlight w:val="none"/>
                <w:u w:val="none"/>
                <w:lang w:val="en-US" w:eastAsia="zh-CN"/>
              </w:rPr>
              <w:t>7</w:t>
            </w:r>
          </w:p>
        </w:tc>
        <w:tc>
          <w:tcPr>
            <w:tcW w:w="12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仿宋" w:hAnsi="仿宋" w:eastAsia="仿宋" w:cs="仿宋"/>
                <w:i w:val="0"/>
                <w:iCs w:val="0"/>
                <w:color w:val="000000"/>
                <w:sz w:val="21"/>
                <w:szCs w:val="21"/>
                <w:highlight w:val="none"/>
                <w:u w:val="none"/>
              </w:rPr>
            </w:pPr>
          </w:p>
        </w:tc>
      </w:tr>
    </w:tbl>
    <w:p>
      <w:pPr>
        <w:rPr>
          <w:rFonts w:hint="eastAsia"/>
        </w:rPr>
      </w:pPr>
      <w:r>
        <w:rPr>
          <w:rFonts w:hint="eastAsia"/>
        </w:rPr>
        <w:t>注：本</w:t>
      </w:r>
      <w:r>
        <w:rPr>
          <w:rFonts w:hint="eastAsia"/>
          <w:lang w:val="en-US" w:eastAsia="zh-CN"/>
        </w:rPr>
        <w:t>单</w:t>
      </w:r>
      <w:r>
        <w:rPr>
          <w:rFonts w:hint="eastAsia"/>
        </w:rPr>
        <w:t>价已包税金、签发、核销及其他相关各类费用。报价含</w:t>
      </w:r>
      <w:r>
        <w:rPr>
          <w:rFonts w:hint="eastAsia"/>
          <w:lang w:val="en-US" w:eastAsia="zh-CN"/>
        </w:rPr>
        <w:t>6%</w:t>
      </w:r>
      <w:r>
        <w:rPr>
          <w:rFonts w:hint="eastAsia"/>
        </w:rPr>
        <w:t>增值税，报价保留两位小数。</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黑体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g1MjZiYWYzOTlkYmYxNzVjZjcyZGE5ZWViNTg1MzQifQ=="/>
  </w:docVars>
  <w:rsids>
    <w:rsidRoot w:val="00222489"/>
    <w:rsid w:val="00222489"/>
    <w:rsid w:val="00361FFF"/>
    <w:rsid w:val="00597E06"/>
    <w:rsid w:val="005F2260"/>
    <w:rsid w:val="00863796"/>
    <w:rsid w:val="009F0433"/>
    <w:rsid w:val="00BD795D"/>
    <w:rsid w:val="00CD74DD"/>
    <w:rsid w:val="00E077BC"/>
    <w:rsid w:val="00EB7DCC"/>
    <w:rsid w:val="00F2113B"/>
    <w:rsid w:val="00F744DD"/>
    <w:rsid w:val="00FC11AF"/>
    <w:rsid w:val="02904E6B"/>
    <w:rsid w:val="0A7974BD"/>
    <w:rsid w:val="10725943"/>
    <w:rsid w:val="14530E95"/>
    <w:rsid w:val="187F2149"/>
    <w:rsid w:val="1A2428A3"/>
    <w:rsid w:val="1EE043EB"/>
    <w:rsid w:val="1EF10C2C"/>
    <w:rsid w:val="24783FD0"/>
    <w:rsid w:val="2C8026C6"/>
    <w:rsid w:val="40F37EF5"/>
    <w:rsid w:val="437B7794"/>
    <w:rsid w:val="481C7677"/>
    <w:rsid w:val="4FC526FD"/>
    <w:rsid w:val="5026332B"/>
    <w:rsid w:val="562A7103"/>
    <w:rsid w:val="5723497C"/>
    <w:rsid w:val="5BFF4F41"/>
    <w:rsid w:val="5E77A001"/>
    <w:rsid w:val="62192E45"/>
    <w:rsid w:val="6DCE717A"/>
    <w:rsid w:val="6EF33312"/>
    <w:rsid w:val="6FEB63D0"/>
    <w:rsid w:val="797713E8"/>
    <w:rsid w:val="79AB2154"/>
    <w:rsid w:val="7B2043BD"/>
    <w:rsid w:val="7CFD9C49"/>
    <w:rsid w:val="7DEFC299"/>
    <w:rsid w:val="7ECE765C"/>
    <w:rsid w:val="DBF66E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textAlignment w:val="baseline"/>
    </w:pPr>
    <w:rPr>
      <w:rFonts w:ascii="Calibri" w:hAnsi="Calibri" w:eastAsia="宋体" w:cs="Times New Roman"/>
      <w:kern w:val="0"/>
      <w:sz w:val="22"/>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Plain Text"/>
    <w:basedOn w:val="1"/>
    <w:link w:val="11"/>
    <w:qFormat/>
    <w:uiPriority w:val="0"/>
    <w:rPr>
      <w:rFonts w:ascii="宋体" w:hAnsi="Courier New"/>
      <w:szCs w:val="21"/>
    </w:rPr>
  </w:style>
  <w:style w:type="paragraph" w:styleId="3">
    <w:name w:val="annotation text"/>
    <w:basedOn w:val="1"/>
    <w:semiHidden/>
    <w:unhideWhenUsed/>
    <w:qFormat/>
    <w:uiPriority w:val="99"/>
    <w:pPr>
      <w:jc w:val="left"/>
    </w:pPr>
  </w:style>
  <w:style w:type="paragraph" w:styleId="4">
    <w:name w:val="footer"/>
    <w:basedOn w:val="1"/>
    <w:link w:val="9"/>
    <w:unhideWhenUsed/>
    <w:qFormat/>
    <w:uiPriority w:val="99"/>
    <w:pPr>
      <w:tabs>
        <w:tab w:val="center" w:pos="4153"/>
        <w:tab w:val="right" w:pos="8306"/>
      </w:tabs>
      <w:snapToGrid w:val="0"/>
    </w:pPr>
    <w:rPr>
      <w:sz w:val="18"/>
      <w:szCs w:val="18"/>
    </w:rPr>
  </w:style>
  <w:style w:type="paragraph" w:styleId="5">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8">
    <w:name w:val="页眉 字符"/>
    <w:basedOn w:val="7"/>
    <w:link w:val="5"/>
    <w:qFormat/>
    <w:uiPriority w:val="99"/>
    <w:rPr>
      <w:sz w:val="18"/>
      <w:szCs w:val="18"/>
    </w:rPr>
  </w:style>
  <w:style w:type="character" w:customStyle="1" w:styleId="9">
    <w:name w:val="页脚 字符"/>
    <w:basedOn w:val="7"/>
    <w:link w:val="4"/>
    <w:qFormat/>
    <w:uiPriority w:val="99"/>
    <w:rPr>
      <w:sz w:val="18"/>
      <w:szCs w:val="18"/>
    </w:rPr>
  </w:style>
  <w:style w:type="character" w:customStyle="1" w:styleId="10">
    <w:name w:val="NormalCharacter"/>
    <w:qFormat/>
    <w:uiPriority w:val="0"/>
  </w:style>
  <w:style w:type="character" w:customStyle="1" w:styleId="11">
    <w:name w:val="纯文本 字符"/>
    <w:basedOn w:val="7"/>
    <w:link w:val="2"/>
    <w:qFormat/>
    <w:uiPriority w:val="0"/>
    <w:rPr>
      <w:rFonts w:ascii="宋体" w:hAnsi="Courier New" w:eastAsia="宋体" w:cs="Times New Roman"/>
      <w:kern w:val="0"/>
      <w:sz w:val="22"/>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658</Words>
  <Characters>730</Characters>
  <Lines>1</Lines>
  <Paragraphs>1</Paragraphs>
  <TotalTime>3</TotalTime>
  <ScaleCrop>false</ScaleCrop>
  <LinksUpToDate>false</LinksUpToDate>
  <CharactersWithSpaces>730</CharactersWithSpaces>
  <Application>WPS Office_11.8.2.12313_F1E327BC-269C-435d-A152-05C5408002CA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2022-11-04T22:21:00Z</dcterms:created>
  <dc:creator>刘 剑清</dc:creator>
  <cp:lastModifiedBy>wangfang8</cp:lastModifiedBy>
  <dcterms:modified xsi:type="dcterms:W3CDTF">2026-01-08T13:52:47Z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2052-11.8.2.12313</vt:lpwstr>
  </property>
  <property fmtid="{D5CDD505-2E9C-101B-9397-08002B2CF9AE}" pid="3" name="ICV">
    <vt:lpwstr>E180E457AD7D4D6797E3CD4FF95D47B6_13</vt:lpwstr>
  </property>
  <property fmtid="{D5CDD505-2E9C-101B-9397-08002B2CF9AE}" pid="4" name="KSOTemplateDocerSaveRecord">
    <vt:lpwstr>eyJoZGlkIjoiNDNlZjI0OTdjZmY2NWQ4ZTc2YzQyYTBlNmVmODYxOTYiLCJ1c2VySWQiOiI0ODg5NzA2ODgifQ==</vt:lpwstr>
  </property>
</Properties>
</file>