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hint="eastAsia" w:ascii="Times New Roman" w:hAnsi="Times New Roman" w:eastAsia="仿宋_GB2312" w:cs="Times New Roman"/>
          <w:b/>
          <w:sz w:val="36"/>
          <w:szCs w:val="20"/>
          <w:highlight w:val="none"/>
        </w:rPr>
      </w:pPr>
      <w:r>
        <w:rPr>
          <w:highlight w:val="none"/>
        </w:rPr>
        <mc:AlternateContent>
          <mc:Choice Requires="wps">
            <w:drawing>
              <wp:anchor distT="0" distB="0" distL="114300" distR="114300" simplePos="0" relativeHeight="251662336" behindDoc="0" locked="0" layoutInCell="1" allowOverlap="1">
                <wp:simplePos x="0" y="0"/>
                <wp:positionH relativeFrom="column">
                  <wp:posOffset>1513840</wp:posOffset>
                </wp:positionH>
                <wp:positionV relativeFrom="paragraph">
                  <wp:posOffset>8010525</wp:posOffset>
                </wp:positionV>
                <wp:extent cx="2294890" cy="47942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294890" cy="479425"/>
                        </a:xfrm>
                        <a:prstGeom prst="rect">
                          <a:avLst/>
                        </a:prstGeom>
                        <a:noFill/>
                        <a:ln>
                          <a:noFill/>
                        </a:ln>
                        <a:effectLst/>
                      </wps:spPr>
                      <wps:txbx>
                        <w:txbxContent>
                          <w:p>
                            <w:pPr>
                              <w:ind w:firstLine="840" w:firstLineChars="300"/>
                              <w:rPr>
                                <w:rFonts w:hint="default" w:eastAsia="宋体"/>
                                <w:sz w:val="28"/>
                                <w:szCs w:val="28"/>
                                <w:lang w:val="en-US" w:eastAsia="zh-CN"/>
                              </w:rPr>
                            </w:pPr>
                            <w:r>
                              <w:rPr>
                                <w:rFonts w:hint="eastAsia"/>
                                <w:sz w:val="28"/>
                                <w:szCs w:val="28"/>
                                <w:lang w:val="en-US" w:eastAsia="zh-CN"/>
                              </w:rPr>
                              <w:t>2026年01月</w:t>
                            </w:r>
                          </w:p>
                        </w:txbxContent>
                      </wps:txbx>
                      <wps:bodyPr upright="1"/>
                    </wps:wsp>
                  </a:graphicData>
                </a:graphic>
              </wp:anchor>
            </w:drawing>
          </mc:Choice>
          <mc:Fallback>
            <w:pict>
              <v:shape id="_x0000_s1026" o:spid="_x0000_s1026" o:spt="202" type="#_x0000_t202" style="position:absolute;left:0pt;margin-left:119.2pt;margin-top:630.75pt;height:37.75pt;width:180.7pt;z-index:251662336;mso-width-relative:page;mso-height-relative:page;" filled="f" stroked="f" coordsize="21600,21600" o:gfxdata="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D&#10;d79d2QAAAA0BAAAPAAAAAAAAAAEAIAAAACIAAABkcnMvZG93bnJldi54bWxQSwECFAAUAAAACACH&#10;TuJA01ALXrEBAABcAwAADgAAAAAAAAABACAAAAAoAQAAZHJzL2Uyb0RvYy54bWxQSwUGAAAAAAYA&#10;BgBZAQAASwUAAAAA&#10;">
                <v:fill on="f" focussize="0,0"/>
                <v:stroke on="f"/>
                <v:imagedata o:title=""/>
                <o:lock v:ext="edit" aspectratio="f"/>
                <v:textbox>
                  <w:txbxContent>
                    <w:p>
                      <w:pPr>
                        <w:ind w:firstLine="840" w:firstLineChars="300"/>
                        <w:rPr>
                          <w:rFonts w:hint="default" w:eastAsia="宋体"/>
                          <w:sz w:val="28"/>
                          <w:szCs w:val="28"/>
                          <w:lang w:val="en-US" w:eastAsia="zh-CN"/>
                        </w:rPr>
                      </w:pPr>
                      <w:r>
                        <w:rPr>
                          <w:rFonts w:hint="eastAsia"/>
                          <w:sz w:val="28"/>
                          <w:szCs w:val="28"/>
                          <w:lang w:val="en-US" w:eastAsia="zh-CN"/>
                        </w:rPr>
                        <w:t>2026年01月</w:t>
                      </w:r>
                    </w:p>
                  </w:txbxContent>
                </v:textbox>
              </v:shape>
            </w:pict>
          </mc:Fallback>
        </mc:AlternateContent>
      </w:r>
      <w:r>
        <w:rPr>
          <w:highlight w:val="none"/>
        </w:rPr>
        <mc:AlternateContent>
          <mc:Choice Requires="wps">
            <w:drawing>
              <wp:anchor distT="0" distB="0" distL="114300" distR="114300" simplePos="0" relativeHeight="251659264" behindDoc="0" locked="0" layoutInCell="1" allowOverlap="1">
                <wp:simplePos x="0" y="0"/>
                <wp:positionH relativeFrom="column">
                  <wp:posOffset>123825</wp:posOffset>
                </wp:positionH>
                <wp:positionV relativeFrom="paragraph">
                  <wp:posOffset>3636645</wp:posOffset>
                </wp:positionV>
                <wp:extent cx="4848225" cy="9340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848225" cy="934085"/>
                        </a:xfrm>
                        <a:prstGeom prst="rect">
                          <a:avLst/>
                        </a:prstGeom>
                        <a:noFill/>
                        <a:ln>
                          <a:noFill/>
                        </a:ln>
                        <a:effectLst/>
                      </wps:spPr>
                      <wps:txbx>
                        <w:txbxContent>
                          <w:p>
                            <w:pPr>
                              <w:ind w:firstLine="0" w:firstLineChars="0"/>
                              <w:jc w:val="center"/>
                              <w:rPr>
                                <w:rFonts w:hint="eastAsia"/>
                                <w:sz w:val="52"/>
                                <w:szCs w:val="52"/>
                              </w:rPr>
                            </w:pPr>
                            <w:r>
                              <w:rPr>
                                <w:rFonts w:hint="eastAsia" w:ascii="黑体" w:hAnsi="黑体" w:eastAsia="黑体"/>
                                <w:sz w:val="52"/>
                                <w:szCs w:val="52"/>
                              </w:rPr>
                              <w:t>技术规范书</w:t>
                            </w:r>
                          </w:p>
                        </w:txbxContent>
                      </wps:txbx>
                      <wps:bodyPr upright="1"/>
                    </wps:wsp>
                  </a:graphicData>
                </a:graphic>
              </wp:anchor>
            </w:drawing>
          </mc:Choice>
          <mc:Fallback>
            <w:pict>
              <v:shape id="_x0000_s1026" o:spid="_x0000_s1026" o:spt="202" type="#_x0000_t202" style="position:absolute;left:0pt;margin-left:9.75pt;margin-top:286.35pt;height:73.55pt;width:381.75pt;z-index:251659264;mso-width-relative:page;mso-height-relative:page;" filled="f" stroked="f" coordsize="21600,21600" o:gfxdata="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Bi3b&#10;/dYAAAAKAQAADwAAAAAAAAABACAAAAAiAAAAZHJzL2Rvd25yZXYueG1sUEsBAhQAFAAAAAgAh07i&#10;QIzkPGmyAQAAXAMAAA4AAAAAAAAAAQAgAAAAJQEAAGRycy9lMm9Eb2MueG1sUEsFBgAAAAAGAAYA&#10;WQEAAEkFAAAAAA==&#10;">
                <v:fill on="f" focussize="0,0"/>
                <v:stroke on="f"/>
                <v:imagedata o:title=""/>
                <o:lock v:ext="edit" aspectratio="f"/>
                <v:textbox>
                  <w:txbxContent>
                    <w:p>
                      <w:pPr>
                        <w:ind w:firstLine="0" w:firstLineChars="0"/>
                        <w:jc w:val="center"/>
                        <w:rPr>
                          <w:rFonts w:hint="eastAsia"/>
                          <w:sz w:val="52"/>
                          <w:szCs w:val="52"/>
                        </w:rPr>
                      </w:pPr>
                      <w:r>
                        <w:rPr>
                          <w:rFonts w:hint="eastAsia" w:ascii="黑体" w:hAnsi="黑体" w:eastAsia="黑体"/>
                          <w:sz w:val="52"/>
                          <w:szCs w:val="52"/>
                        </w:rPr>
                        <w:t>技术规范书</w:t>
                      </w:r>
                    </w:p>
                  </w:txbxContent>
                </v:textbox>
              </v:shape>
            </w:pict>
          </mc:Fallback>
        </mc:AlternateContent>
      </w:r>
      <w:r>
        <w:rPr>
          <w:rFonts w:hint="eastAsia" w:ascii="Times New Roman" w:hAnsi="Times New Roman" w:eastAsia="仿宋_GB2312" w:cs="Times New Roman"/>
          <w:b/>
          <w:sz w:val="36"/>
          <w:szCs w:val="20"/>
          <w:highlight w:val="none"/>
        </w:rPr>
        <w:t xml:space="preserve">  </w:t>
      </w:r>
    </w:p>
    <w:p>
      <w:pPr>
        <w:spacing w:before="1560" w:beforeLines="500" w:line="240" w:lineRule="auto"/>
        <w:ind w:firstLine="0" w:firstLineChars="0"/>
        <w:jc w:val="left"/>
        <w:rPr>
          <w:rFonts w:hint="eastAsia" w:ascii="Times New Roman" w:hAnsi="Times New Roman" w:eastAsia="仿宋_GB2312" w:cs="Times New Roman"/>
          <w:b/>
          <w:sz w:val="36"/>
          <w:szCs w:val="20"/>
          <w:highlight w:val="none"/>
        </w:rPr>
      </w:pPr>
      <w:r>
        <w:rPr>
          <w:highlight w:val="none"/>
        </w:rPr>
        <mc:AlternateContent>
          <mc:Choice Requires="wps">
            <w:drawing>
              <wp:anchor distT="0" distB="0" distL="114300" distR="114300" simplePos="0" relativeHeight="251660288" behindDoc="0" locked="0" layoutInCell="1" allowOverlap="1">
                <wp:simplePos x="0" y="0"/>
                <wp:positionH relativeFrom="column">
                  <wp:posOffset>-146050</wp:posOffset>
                </wp:positionH>
                <wp:positionV relativeFrom="paragraph">
                  <wp:posOffset>254635</wp:posOffset>
                </wp:positionV>
                <wp:extent cx="5894070" cy="1395730"/>
                <wp:effectExtent l="0" t="0" r="0" b="0"/>
                <wp:wrapNone/>
                <wp:docPr id="4" name="文本框 4"/>
                <wp:cNvGraphicFramePr/>
                <a:graphic xmlns:a="http://schemas.openxmlformats.org/drawingml/2006/main">
                  <a:graphicData uri="http://schemas.microsoft.com/office/word/2010/wordprocessingShape">
                    <wps:wsp>
                      <wps:cNvSpPr txBox="1"/>
                      <wps:spPr>
                        <a:xfrm>
                          <a:off x="0" y="0"/>
                          <a:ext cx="5894070" cy="1395730"/>
                        </a:xfrm>
                        <a:prstGeom prst="rect">
                          <a:avLst/>
                        </a:prstGeom>
                        <a:noFill/>
                        <a:ln>
                          <a:noFill/>
                        </a:ln>
                        <a:effectLst/>
                      </wps:spPr>
                      <wps:txbx>
                        <w:txbxContent>
                          <w:p>
                            <w:pPr>
                              <w:ind w:firstLine="0" w:firstLineChars="0"/>
                              <w:jc w:val="center"/>
                              <w:rPr>
                                <w:rFonts w:hint="eastAsia" w:ascii="微软雅黑" w:hAnsi="微软雅黑" w:eastAsia="微软雅黑"/>
                                <w:sz w:val="52"/>
                                <w:szCs w:val="52"/>
                              </w:rPr>
                            </w:pPr>
                            <w:r>
                              <w:rPr>
                                <w:rFonts w:hint="eastAsia" w:ascii="微软雅黑" w:hAnsi="微软雅黑" w:eastAsia="微软雅黑"/>
                                <w:sz w:val="52"/>
                                <w:szCs w:val="52"/>
                                <w:lang w:val="en-US" w:eastAsia="zh-CN"/>
                              </w:rPr>
                              <w:t>配电线路活动杆号牌</w:t>
                            </w:r>
                          </w:p>
                        </w:txbxContent>
                      </wps:txbx>
                      <wps:bodyPr upright="1"/>
                    </wps:wsp>
                  </a:graphicData>
                </a:graphic>
              </wp:anchor>
            </w:drawing>
          </mc:Choice>
          <mc:Fallback>
            <w:pict>
              <v:shape id="_x0000_s1026" o:spid="_x0000_s1026" o:spt="202" type="#_x0000_t202" style="position:absolute;left:0pt;margin-left:-11.5pt;margin-top:20.05pt;height:109.9pt;width:464.1pt;z-index:251660288;mso-width-relative:page;mso-height-relative:page;" filled="f" stroked="f" coordsize="21600,21600" o:gfxdata="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MG+Di7YAAAACgEAAA8AAAAAAAAAAQAgAAAAIgAAAGRycy9kb3ducmV2LnhtbFBLAQIUABQAAAAI&#10;AIdO4kA7LXVptAEAAF0DAAAOAAAAAAAAAAEAIAAAACcBAABkcnMvZTJvRG9jLnhtbFBLBQYAAAAA&#10;BgAGAFkBAABNBQAAAAA=&#10;">
                <v:fill on="f" focussize="0,0"/>
                <v:stroke on="f"/>
                <v:imagedata o:title=""/>
                <o:lock v:ext="edit" aspectratio="f"/>
                <v:textbox>
                  <w:txbxContent>
                    <w:p>
                      <w:pPr>
                        <w:ind w:firstLine="0" w:firstLineChars="0"/>
                        <w:jc w:val="center"/>
                        <w:rPr>
                          <w:rFonts w:hint="eastAsia" w:ascii="微软雅黑" w:hAnsi="微软雅黑" w:eastAsia="微软雅黑"/>
                          <w:sz w:val="52"/>
                          <w:szCs w:val="52"/>
                        </w:rPr>
                      </w:pPr>
                      <w:r>
                        <w:rPr>
                          <w:rFonts w:hint="eastAsia" w:ascii="微软雅黑" w:hAnsi="微软雅黑" w:eastAsia="微软雅黑"/>
                          <w:sz w:val="52"/>
                          <w:szCs w:val="52"/>
                          <w:lang w:val="en-US" w:eastAsia="zh-CN"/>
                        </w:rPr>
                        <w:t>配电线路活动杆号牌</w:t>
                      </w:r>
                    </w:p>
                  </w:txbxContent>
                </v:textbox>
              </v:shape>
            </w:pict>
          </mc:Fallback>
        </mc:AlternateContent>
      </w:r>
    </w:p>
    <w:p>
      <w:pPr>
        <w:spacing w:before="1560" w:beforeLines="500" w:line="240" w:lineRule="auto"/>
        <w:ind w:firstLine="0" w:firstLineChars="0"/>
        <w:jc w:val="left"/>
        <w:rPr>
          <w:rFonts w:hint="eastAsia" w:ascii="Times New Roman" w:hAnsi="Times New Roman" w:eastAsia="仿宋_GB2312" w:cs="Times New Roman"/>
          <w:b/>
          <w:sz w:val="36"/>
          <w:szCs w:val="20"/>
          <w:highlight w:val="none"/>
        </w:rPr>
      </w:pPr>
    </w:p>
    <w:p>
      <w:pPr>
        <w:spacing w:before="1560" w:beforeLines="500" w:line="240" w:lineRule="auto"/>
        <w:ind w:firstLine="0" w:firstLineChars="0"/>
        <w:jc w:val="left"/>
        <w:rPr>
          <w:rFonts w:hint="eastAsia" w:ascii="Times New Roman" w:hAnsi="Times New Roman" w:eastAsia="仿宋_GB2312" w:cs="Times New Roman"/>
          <w:b/>
          <w:sz w:val="36"/>
          <w:szCs w:val="20"/>
          <w:highlight w:val="none"/>
        </w:rPr>
      </w:pPr>
    </w:p>
    <w:p>
      <w:pPr>
        <w:spacing w:before="1560" w:beforeLines="500" w:line="240" w:lineRule="auto"/>
        <w:ind w:firstLine="0" w:firstLineChars="0"/>
        <w:jc w:val="left"/>
        <w:rPr>
          <w:rFonts w:hint="eastAsia" w:ascii="Times New Roman" w:hAnsi="Times New Roman" w:eastAsia="仿宋_GB2312" w:cs="Times New Roman"/>
          <w:b/>
          <w:sz w:val="36"/>
          <w:szCs w:val="20"/>
          <w:highlight w:val="none"/>
        </w:rPr>
      </w:pPr>
      <w:r>
        <w:rPr>
          <w:highlight w:val="none"/>
        </w:rPr>
        <mc:AlternateContent>
          <mc:Choice Requires="wps">
            <w:drawing>
              <wp:anchor distT="0" distB="0" distL="114300" distR="114300" simplePos="0" relativeHeight="251661312" behindDoc="0" locked="0" layoutInCell="1" allowOverlap="1">
                <wp:simplePos x="0" y="0"/>
                <wp:positionH relativeFrom="column">
                  <wp:posOffset>703580</wp:posOffset>
                </wp:positionH>
                <wp:positionV relativeFrom="paragraph">
                  <wp:posOffset>347345</wp:posOffset>
                </wp:positionV>
                <wp:extent cx="3550285" cy="47244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550285" cy="472440"/>
                        </a:xfrm>
                        <a:prstGeom prst="rect">
                          <a:avLst/>
                        </a:prstGeom>
                        <a:noFill/>
                        <a:ln>
                          <a:noFill/>
                        </a:ln>
                        <a:effectLst/>
                      </wps:spPr>
                      <wps:txbx>
                        <w:txbxContent>
                          <w:p>
                            <w:pPr>
                              <w:ind w:firstLine="0" w:firstLineChars="0"/>
                              <w:jc w:val="center"/>
                              <w:rPr>
                                <w:rFonts w:hint="default" w:eastAsia="宋体"/>
                                <w:sz w:val="28"/>
                                <w:szCs w:val="28"/>
                                <w:lang w:val="en-US" w:eastAsia="zh-CN"/>
                              </w:rPr>
                            </w:pPr>
                            <w:r>
                              <w:rPr>
                                <w:rFonts w:hint="eastAsia"/>
                                <w:sz w:val="28"/>
                                <w:szCs w:val="28"/>
                              </w:rPr>
                              <w:t>广西电网有限责任公司</w:t>
                            </w:r>
                            <w:r>
                              <w:rPr>
                                <w:rFonts w:hint="eastAsia"/>
                                <w:sz w:val="28"/>
                                <w:szCs w:val="28"/>
                                <w:lang w:val="en-US" w:eastAsia="zh-CN"/>
                              </w:rPr>
                              <w:t>百色供电局</w:t>
                            </w:r>
                          </w:p>
                        </w:txbxContent>
                      </wps:txbx>
                      <wps:bodyPr upright="1"/>
                    </wps:wsp>
                  </a:graphicData>
                </a:graphic>
              </wp:anchor>
            </w:drawing>
          </mc:Choice>
          <mc:Fallback>
            <w:pict>
              <v:shape id="_x0000_s1026" o:spid="_x0000_s1026" o:spt="202" type="#_x0000_t202" style="position:absolute;left:0pt;margin-left:55.4pt;margin-top:27.35pt;height:37.2pt;width:279.55pt;z-index:251661312;mso-width-relative:page;mso-height-relative:page;" filled="f" stroked="f" coordsize="21600,21600" o:gfxdata="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LDB81wAAAAoBAAAPAAAAAAAAAAEAIAAAACIAAABkcnMvZG93bnJldi54bWxQSwECFAAUAAAACACH&#10;TuJAuSc0rrMBAABcAwAADgAAAAAAAAABACAAAAAmAQAAZHJzL2Uyb0RvYy54bWxQSwUGAAAAAAYA&#10;BgBZAQAASwUAAAAA&#10;">
                <v:fill on="f" focussize="0,0"/>
                <v:stroke on="f"/>
                <v:imagedata o:title=""/>
                <o:lock v:ext="edit" aspectratio="f"/>
                <v:textbox>
                  <w:txbxContent>
                    <w:p>
                      <w:pPr>
                        <w:ind w:firstLine="0" w:firstLineChars="0"/>
                        <w:jc w:val="center"/>
                        <w:rPr>
                          <w:rFonts w:hint="default" w:eastAsia="宋体"/>
                          <w:sz w:val="28"/>
                          <w:szCs w:val="28"/>
                          <w:lang w:val="en-US" w:eastAsia="zh-CN"/>
                        </w:rPr>
                      </w:pPr>
                      <w:r>
                        <w:rPr>
                          <w:rFonts w:hint="eastAsia"/>
                          <w:sz w:val="28"/>
                          <w:szCs w:val="28"/>
                        </w:rPr>
                        <w:t>广西电网有限责任公司</w:t>
                      </w:r>
                      <w:r>
                        <w:rPr>
                          <w:rFonts w:hint="eastAsia"/>
                          <w:sz w:val="28"/>
                          <w:szCs w:val="28"/>
                          <w:lang w:val="en-US" w:eastAsia="zh-CN"/>
                        </w:rPr>
                        <w:t>百色供电局</w:t>
                      </w:r>
                    </w:p>
                  </w:txbxContent>
                </v:textbox>
              </v:shape>
            </w:pict>
          </mc:Fallback>
        </mc:AlternateContent>
      </w:r>
    </w:p>
    <w:p>
      <w:pPr>
        <w:spacing w:before="1560" w:beforeLines="500" w:line="240" w:lineRule="auto"/>
        <w:ind w:firstLine="0" w:firstLineChars="0"/>
        <w:jc w:val="center"/>
        <w:rPr>
          <w:rFonts w:hint="eastAsia" w:ascii="Times New Roman" w:hAnsi="Times New Roman" w:eastAsia="仿宋_GB2312" w:cs="Times New Roman"/>
          <w:b/>
          <w:sz w:val="36"/>
          <w:szCs w:val="20"/>
          <w:highlight w:val="none"/>
        </w:rPr>
      </w:pPr>
    </w:p>
    <w:p>
      <w:pPr>
        <w:ind w:firstLine="643"/>
        <w:jc w:val="center"/>
        <w:rPr>
          <w:rFonts w:ascii="宋体" w:hAnsi="宋体"/>
          <w:b/>
          <w:bCs/>
          <w:sz w:val="32"/>
          <w:szCs w:val="36"/>
          <w:highlight w:val="none"/>
        </w:rPr>
      </w:pPr>
    </w:p>
    <w:p>
      <w:pPr>
        <w:ind w:firstLine="643"/>
        <w:jc w:val="center"/>
        <w:rPr>
          <w:b/>
          <w:bCs/>
          <w:sz w:val="32"/>
          <w:szCs w:val="36"/>
          <w:highlight w:val="none"/>
        </w:rPr>
      </w:pPr>
      <w:r>
        <w:rPr>
          <w:rFonts w:ascii="宋体" w:hAnsi="宋体"/>
          <w:b/>
          <w:bCs/>
          <w:sz w:val="44"/>
          <w:szCs w:val="44"/>
          <w:highlight w:val="none"/>
        </w:rPr>
        <w:t>目</w:t>
      </w:r>
      <w:r>
        <w:rPr>
          <w:rFonts w:hint="eastAsia" w:ascii="宋体" w:hAnsi="宋体"/>
          <w:b/>
          <w:bCs/>
          <w:sz w:val="44"/>
          <w:szCs w:val="44"/>
          <w:highlight w:val="none"/>
        </w:rPr>
        <w:t xml:space="preserve">  </w:t>
      </w:r>
      <w:r>
        <w:rPr>
          <w:rFonts w:ascii="宋体" w:hAnsi="宋体"/>
          <w:b/>
          <w:bCs/>
          <w:sz w:val="44"/>
          <w:szCs w:val="44"/>
          <w:highlight w:val="none"/>
        </w:rPr>
        <w:t>录</w:t>
      </w:r>
    </w:p>
    <w:p>
      <w:pPr>
        <w:pStyle w:val="17"/>
        <w:tabs>
          <w:tab w:val="right" w:leader="dot" w:pos="8306"/>
        </w:tabs>
        <w:ind w:firstLine="420"/>
        <w:rPr>
          <w:b w:val="0"/>
          <w:bCs w:val="0"/>
          <w:sz w:val="28"/>
          <w:szCs w:val="28"/>
          <w:highlight w:val="none"/>
        </w:rPr>
      </w:pPr>
      <w:r>
        <w:rPr>
          <w:b w:val="0"/>
          <w:bCs w:val="0"/>
          <w:sz w:val="28"/>
          <w:szCs w:val="28"/>
          <w:highlight w:val="none"/>
        </w:rPr>
        <w:fldChar w:fldCharType="begin"/>
      </w:r>
      <w:r>
        <w:rPr>
          <w:b w:val="0"/>
          <w:bCs w:val="0"/>
          <w:sz w:val="28"/>
          <w:szCs w:val="28"/>
          <w:highlight w:val="none"/>
        </w:rPr>
        <w:instrText xml:space="preserve"> HYPERLINK \l "_Toc12377_WPSOffice_Level1" </w:instrText>
      </w:r>
      <w:r>
        <w:rPr>
          <w:b w:val="0"/>
          <w:bCs w:val="0"/>
          <w:sz w:val="28"/>
          <w:szCs w:val="28"/>
          <w:highlight w:val="none"/>
        </w:rPr>
        <w:fldChar w:fldCharType="separate"/>
      </w:r>
      <w:r>
        <w:rPr>
          <w:rFonts w:ascii="宋体" w:hAnsi="Times New Roman"/>
          <w:b w:val="0"/>
          <w:bCs w:val="0"/>
          <w:sz w:val="28"/>
          <w:szCs w:val="28"/>
          <w:highlight w:val="none"/>
        </w:rPr>
        <w:t xml:space="preserve">1. </w:t>
      </w:r>
      <w:r>
        <w:rPr>
          <w:rFonts w:hint="eastAsia" w:ascii="宋体" w:hAnsi="Times New Roman"/>
          <w:b w:val="0"/>
          <w:bCs w:val="0"/>
          <w:sz w:val="28"/>
          <w:szCs w:val="28"/>
          <w:highlight w:val="none"/>
        </w:rPr>
        <w:t>总则</w:t>
      </w:r>
      <w:r>
        <w:rPr>
          <w:b w:val="0"/>
          <w:bCs w:val="0"/>
          <w:sz w:val="28"/>
          <w:szCs w:val="28"/>
          <w:highlight w:val="none"/>
        </w:rPr>
        <w:tab/>
      </w:r>
      <w:bookmarkStart w:id="0" w:name="_Toc12377_WPSOffice_Level1Page"/>
      <w:r>
        <w:rPr>
          <w:b w:val="0"/>
          <w:bCs w:val="0"/>
          <w:sz w:val="28"/>
          <w:szCs w:val="28"/>
          <w:highlight w:val="none"/>
        </w:rPr>
        <w:t>1</w:t>
      </w:r>
      <w:bookmarkEnd w:id="0"/>
      <w:r>
        <w:rPr>
          <w:b w:val="0"/>
          <w:bCs w:val="0"/>
          <w:sz w:val="28"/>
          <w:szCs w:val="28"/>
          <w:highlight w:val="none"/>
        </w:rPr>
        <w:fldChar w:fldCharType="end"/>
      </w:r>
    </w:p>
    <w:p>
      <w:pPr>
        <w:pStyle w:val="17"/>
        <w:tabs>
          <w:tab w:val="right" w:leader="dot" w:pos="8306"/>
        </w:tabs>
        <w:ind w:firstLine="420"/>
        <w:rPr>
          <w:b w:val="0"/>
          <w:bCs w:val="0"/>
          <w:sz w:val="28"/>
          <w:szCs w:val="28"/>
          <w:highlight w:val="none"/>
        </w:rPr>
      </w:pPr>
      <w:r>
        <w:rPr>
          <w:b w:val="0"/>
          <w:bCs w:val="0"/>
          <w:sz w:val="28"/>
          <w:szCs w:val="28"/>
          <w:highlight w:val="none"/>
        </w:rPr>
        <w:fldChar w:fldCharType="begin"/>
      </w:r>
      <w:r>
        <w:rPr>
          <w:b w:val="0"/>
          <w:bCs w:val="0"/>
          <w:sz w:val="28"/>
          <w:szCs w:val="28"/>
          <w:highlight w:val="none"/>
        </w:rPr>
        <w:instrText xml:space="preserve"> HYPERLINK \l "_Toc30501_WPSOffice_Level1" </w:instrText>
      </w:r>
      <w:r>
        <w:rPr>
          <w:b w:val="0"/>
          <w:bCs w:val="0"/>
          <w:sz w:val="28"/>
          <w:szCs w:val="28"/>
          <w:highlight w:val="none"/>
        </w:rPr>
        <w:fldChar w:fldCharType="separate"/>
      </w:r>
      <w:r>
        <w:rPr>
          <w:rFonts w:ascii="宋体" w:hAnsi="Times New Roman"/>
          <w:b w:val="0"/>
          <w:bCs w:val="0"/>
          <w:sz w:val="28"/>
          <w:szCs w:val="28"/>
          <w:highlight w:val="none"/>
        </w:rPr>
        <w:t xml:space="preserve">2. </w:t>
      </w:r>
      <w:r>
        <w:rPr>
          <w:rFonts w:hint="eastAsia" w:ascii="宋体" w:hAnsi="Times New Roman"/>
          <w:b w:val="0"/>
          <w:bCs w:val="0"/>
          <w:sz w:val="28"/>
          <w:szCs w:val="28"/>
          <w:highlight w:val="none"/>
        </w:rPr>
        <w:t>项目概述</w:t>
      </w:r>
      <w:r>
        <w:rPr>
          <w:b w:val="0"/>
          <w:bCs w:val="0"/>
          <w:sz w:val="28"/>
          <w:szCs w:val="28"/>
          <w:highlight w:val="none"/>
        </w:rPr>
        <w:tab/>
      </w:r>
      <w:bookmarkStart w:id="1" w:name="_Toc30501_WPSOffice_Level1Page"/>
      <w:r>
        <w:rPr>
          <w:b w:val="0"/>
          <w:bCs w:val="0"/>
          <w:sz w:val="28"/>
          <w:szCs w:val="28"/>
          <w:highlight w:val="none"/>
        </w:rPr>
        <w:t>3</w:t>
      </w:r>
      <w:bookmarkEnd w:id="1"/>
      <w:r>
        <w:rPr>
          <w:b w:val="0"/>
          <w:bCs w:val="0"/>
          <w:sz w:val="28"/>
          <w:szCs w:val="28"/>
          <w:highlight w:val="none"/>
        </w:rPr>
        <w:fldChar w:fldCharType="end"/>
      </w:r>
    </w:p>
    <w:p>
      <w:pPr>
        <w:pStyle w:val="17"/>
        <w:tabs>
          <w:tab w:val="right" w:leader="dot" w:pos="8306"/>
        </w:tabs>
        <w:ind w:firstLine="420"/>
        <w:rPr>
          <w:b w:val="0"/>
          <w:bCs w:val="0"/>
          <w:sz w:val="28"/>
          <w:szCs w:val="28"/>
          <w:highlight w:val="none"/>
        </w:rPr>
      </w:pPr>
      <w:r>
        <w:rPr>
          <w:b w:val="0"/>
          <w:bCs w:val="0"/>
          <w:sz w:val="28"/>
          <w:szCs w:val="28"/>
          <w:highlight w:val="none"/>
        </w:rPr>
        <w:fldChar w:fldCharType="begin"/>
      </w:r>
      <w:r>
        <w:rPr>
          <w:b w:val="0"/>
          <w:bCs w:val="0"/>
          <w:sz w:val="28"/>
          <w:szCs w:val="28"/>
          <w:highlight w:val="none"/>
        </w:rPr>
        <w:instrText xml:space="preserve"> HYPERLINK \l "_Toc3080_WPSOffice_Level1" </w:instrText>
      </w:r>
      <w:r>
        <w:rPr>
          <w:b w:val="0"/>
          <w:bCs w:val="0"/>
          <w:sz w:val="28"/>
          <w:szCs w:val="28"/>
          <w:highlight w:val="none"/>
        </w:rPr>
        <w:fldChar w:fldCharType="separate"/>
      </w:r>
      <w:r>
        <w:rPr>
          <w:b w:val="0"/>
          <w:bCs w:val="0"/>
          <w:sz w:val="28"/>
          <w:szCs w:val="28"/>
          <w:highlight w:val="none"/>
        </w:rPr>
        <w:t xml:space="preserve">3. </w:t>
      </w:r>
      <w:r>
        <w:rPr>
          <w:rFonts w:hint="eastAsia" w:ascii="宋体" w:hAnsi="Times New Roman"/>
          <w:b w:val="0"/>
          <w:bCs w:val="0"/>
          <w:sz w:val="28"/>
          <w:szCs w:val="28"/>
          <w:highlight w:val="none"/>
        </w:rPr>
        <w:t>总体要求</w:t>
      </w:r>
      <w:r>
        <w:rPr>
          <w:b w:val="0"/>
          <w:bCs w:val="0"/>
          <w:sz w:val="28"/>
          <w:szCs w:val="28"/>
          <w:highlight w:val="none"/>
        </w:rPr>
        <w:tab/>
      </w:r>
      <w:r>
        <w:rPr>
          <w:rFonts w:hint="eastAsia"/>
          <w:b w:val="0"/>
          <w:bCs w:val="0"/>
          <w:sz w:val="28"/>
          <w:szCs w:val="28"/>
          <w:highlight w:val="none"/>
          <w:lang w:val="en-US" w:eastAsia="zh-CN"/>
        </w:rPr>
        <w:t>4</w:t>
      </w:r>
      <w:r>
        <w:rPr>
          <w:b w:val="0"/>
          <w:bCs w:val="0"/>
          <w:sz w:val="28"/>
          <w:szCs w:val="28"/>
          <w:highlight w:val="none"/>
        </w:rPr>
        <w:fldChar w:fldCharType="end"/>
      </w:r>
    </w:p>
    <w:p>
      <w:pPr>
        <w:pStyle w:val="17"/>
        <w:tabs>
          <w:tab w:val="right" w:leader="dot" w:pos="8306"/>
        </w:tabs>
        <w:ind w:firstLine="420"/>
        <w:rPr>
          <w:b w:val="0"/>
          <w:bCs w:val="0"/>
          <w:sz w:val="28"/>
          <w:szCs w:val="28"/>
          <w:highlight w:val="none"/>
        </w:rPr>
      </w:pPr>
      <w:r>
        <w:rPr>
          <w:b w:val="0"/>
          <w:bCs w:val="0"/>
          <w:sz w:val="28"/>
          <w:szCs w:val="28"/>
          <w:highlight w:val="none"/>
        </w:rPr>
        <w:fldChar w:fldCharType="begin"/>
      </w:r>
      <w:r>
        <w:rPr>
          <w:b w:val="0"/>
          <w:bCs w:val="0"/>
          <w:sz w:val="28"/>
          <w:szCs w:val="28"/>
          <w:highlight w:val="none"/>
        </w:rPr>
        <w:instrText xml:space="preserve"> HYPERLINK \l "_Toc20967_WPSOffice_Level1" </w:instrText>
      </w:r>
      <w:r>
        <w:rPr>
          <w:b w:val="0"/>
          <w:bCs w:val="0"/>
          <w:sz w:val="28"/>
          <w:szCs w:val="28"/>
          <w:highlight w:val="none"/>
        </w:rPr>
        <w:fldChar w:fldCharType="separate"/>
      </w:r>
      <w:r>
        <w:rPr>
          <w:rFonts w:ascii="宋体" w:hAnsi="Times New Roman"/>
          <w:b w:val="0"/>
          <w:bCs w:val="0"/>
          <w:sz w:val="28"/>
          <w:szCs w:val="28"/>
          <w:highlight w:val="none"/>
        </w:rPr>
        <w:t xml:space="preserve">4. </w:t>
      </w:r>
      <w:r>
        <w:rPr>
          <w:rFonts w:hint="eastAsia" w:ascii="宋体" w:hAnsi="Times New Roman"/>
          <w:b w:val="0"/>
          <w:bCs w:val="0"/>
          <w:sz w:val="28"/>
          <w:szCs w:val="28"/>
          <w:highlight w:val="none"/>
        </w:rPr>
        <w:t>技术要求</w:t>
      </w:r>
      <w:r>
        <w:rPr>
          <w:b w:val="0"/>
          <w:bCs w:val="0"/>
          <w:sz w:val="28"/>
          <w:szCs w:val="28"/>
          <w:highlight w:val="none"/>
        </w:rPr>
        <w:tab/>
      </w:r>
      <w:r>
        <w:rPr>
          <w:rFonts w:hint="eastAsia"/>
          <w:b w:val="0"/>
          <w:bCs w:val="0"/>
          <w:sz w:val="28"/>
          <w:szCs w:val="28"/>
          <w:highlight w:val="none"/>
          <w:lang w:val="en-US" w:eastAsia="zh-CN"/>
        </w:rPr>
        <w:t>4</w:t>
      </w:r>
      <w:r>
        <w:rPr>
          <w:b w:val="0"/>
          <w:bCs w:val="0"/>
          <w:sz w:val="28"/>
          <w:szCs w:val="28"/>
          <w:highlight w:val="none"/>
        </w:rPr>
        <w:fldChar w:fldCharType="end"/>
      </w:r>
    </w:p>
    <w:p>
      <w:pPr>
        <w:pStyle w:val="17"/>
        <w:tabs>
          <w:tab w:val="right" w:leader="dot" w:pos="8306"/>
        </w:tabs>
        <w:ind w:firstLine="420"/>
        <w:rPr>
          <w:highlight w:val="none"/>
        </w:rPr>
      </w:pPr>
      <w:r>
        <w:rPr>
          <w:b w:val="0"/>
          <w:bCs w:val="0"/>
          <w:sz w:val="28"/>
          <w:szCs w:val="28"/>
          <w:highlight w:val="none"/>
        </w:rPr>
        <w:fldChar w:fldCharType="begin"/>
      </w:r>
      <w:r>
        <w:rPr>
          <w:b w:val="0"/>
          <w:bCs w:val="0"/>
          <w:sz w:val="28"/>
          <w:szCs w:val="28"/>
          <w:highlight w:val="none"/>
        </w:rPr>
        <w:instrText xml:space="preserve"> HYPERLINK \l "_Toc12132_WPSOffice_Level1" </w:instrText>
      </w:r>
      <w:r>
        <w:rPr>
          <w:b w:val="0"/>
          <w:bCs w:val="0"/>
          <w:sz w:val="28"/>
          <w:szCs w:val="28"/>
          <w:highlight w:val="none"/>
        </w:rPr>
        <w:fldChar w:fldCharType="separate"/>
      </w:r>
      <w:r>
        <w:rPr>
          <w:rFonts w:ascii="宋体" w:hAnsi="Times New Roman"/>
          <w:b w:val="0"/>
          <w:bCs w:val="0"/>
          <w:sz w:val="28"/>
          <w:szCs w:val="28"/>
          <w:highlight w:val="none"/>
        </w:rPr>
        <w:t xml:space="preserve">5. </w:t>
      </w:r>
      <w:r>
        <w:rPr>
          <w:rFonts w:hint="eastAsia" w:ascii="宋体" w:hAnsi="Times New Roman"/>
          <w:b w:val="0"/>
          <w:bCs w:val="0"/>
          <w:sz w:val="28"/>
          <w:szCs w:val="28"/>
          <w:highlight w:val="none"/>
        </w:rPr>
        <w:t>其他要求</w:t>
      </w:r>
      <w:r>
        <w:rPr>
          <w:b w:val="0"/>
          <w:bCs w:val="0"/>
          <w:sz w:val="28"/>
          <w:szCs w:val="28"/>
          <w:highlight w:val="none"/>
        </w:rPr>
        <w:tab/>
      </w:r>
      <w:r>
        <w:rPr>
          <w:rFonts w:hint="eastAsia"/>
          <w:b w:val="0"/>
          <w:bCs w:val="0"/>
          <w:sz w:val="28"/>
          <w:szCs w:val="28"/>
          <w:highlight w:val="none"/>
          <w:lang w:val="en-US" w:eastAsia="zh-CN"/>
        </w:rPr>
        <w:t>5</w:t>
      </w:r>
      <w:r>
        <w:rPr>
          <w:b w:val="0"/>
          <w:bCs w:val="0"/>
          <w:sz w:val="28"/>
          <w:szCs w:val="28"/>
          <w:highlight w:val="none"/>
        </w:rPr>
        <w:fldChar w:fldCharType="end"/>
      </w:r>
    </w:p>
    <w:p>
      <w:pPr>
        <w:ind w:firstLine="480"/>
        <w:rPr>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p>
    <w:p>
      <w:pPr>
        <w:pStyle w:val="4"/>
        <w:numPr>
          <w:ilvl w:val="0"/>
          <w:numId w:val="0"/>
        </w:numPr>
        <w:spacing w:before="0" w:after="0" w:line="360" w:lineRule="auto"/>
        <w:rPr>
          <w:rFonts w:hint="eastAsia" w:ascii="Times New Roman" w:hAnsi="Times New Roman" w:cs="Times New Roman"/>
          <w:sz w:val="32"/>
          <w:szCs w:val="24"/>
          <w:highlight w:val="none"/>
        </w:rPr>
      </w:pPr>
      <w:bookmarkStart w:id="2" w:name="_Toc299606277"/>
      <w:bookmarkStart w:id="3" w:name="_Toc444945507"/>
      <w:bookmarkStart w:id="4" w:name="_Toc27105"/>
      <w:bookmarkStart w:id="5" w:name="_Toc353939550"/>
      <w:bookmarkStart w:id="6" w:name="_Toc353940788"/>
      <w:r>
        <w:rPr>
          <w:rFonts w:hint="eastAsia" w:ascii="Times New Roman" w:hAnsi="Times New Roman" w:cs="Times New Roman"/>
          <w:sz w:val="32"/>
          <w:szCs w:val="24"/>
          <w:highlight w:val="none"/>
          <w:lang w:val="en-US" w:eastAsia="zh-CN"/>
        </w:rPr>
        <w:t>1、</w:t>
      </w:r>
      <w:r>
        <w:rPr>
          <w:rFonts w:hint="eastAsia" w:ascii="Times New Roman" w:hAnsi="Times New Roman" w:cs="Times New Roman"/>
          <w:sz w:val="32"/>
          <w:szCs w:val="24"/>
          <w:highlight w:val="none"/>
        </w:rPr>
        <w:t>总则</w:t>
      </w:r>
      <w:bookmarkEnd w:id="2"/>
      <w:bookmarkEnd w:id="3"/>
      <w:bookmarkEnd w:id="4"/>
      <w:bookmarkEnd w:id="5"/>
      <w:bookmarkEnd w:id="6"/>
    </w:p>
    <w:p>
      <w:pPr>
        <w:pStyle w:val="5"/>
        <w:rPr>
          <w:highlight w:val="none"/>
        </w:rPr>
      </w:pPr>
      <w:bookmarkStart w:id="7" w:name="_Toc25470"/>
      <w:bookmarkStart w:id="8" w:name="_Toc318799924"/>
      <w:bookmarkStart w:id="9" w:name="_Toc444945508"/>
      <w:r>
        <w:rPr>
          <w:rFonts w:hint="eastAsia"/>
          <w:highlight w:val="none"/>
        </w:rPr>
        <w:t>1.1</w:t>
      </w:r>
      <w:r>
        <w:rPr>
          <w:highlight w:val="none"/>
        </w:rPr>
        <w:t xml:space="preserve"> </w:t>
      </w:r>
      <w:r>
        <w:rPr>
          <w:rFonts w:hint="eastAsia"/>
          <w:highlight w:val="none"/>
        </w:rPr>
        <w:t>一般要求</w:t>
      </w:r>
      <w:bookmarkEnd w:id="7"/>
      <w:bookmarkEnd w:id="8"/>
      <w:bookmarkEnd w:id="9"/>
    </w:p>
    <w:p>
      <w:pPr>
        <w:ind w:firstLine="480"/>
        <w:rPr>
          <w:rFonts w:ascii="宋体" w:hAnsi="宋体"/>
          <w:highlight w:val="none"/>
        </w:rPr>
      </w:pPr>
      <w:bookmarkStart w:id="10" w:name="_Toc444945511"/>
      <w:bookmarkStart w:id="11" w:name="_Toc353940791"/>
      <w:bookmarkStart w:id="12" w:name="_Toc353939553"/>
      <w:bookmarkStart w:id="13" w:name="_Toc299606280"/>
      <w:r>
        <w:rPr>
          <w:rFonts w:hint="eastAsia" w:ascii="宋体" w:hAnsi="宋体"/>
          <w:highlight w:val="none"/>
        </w:rPr>
        <w:t>1.1.1 本技术条款主要描述</w:t>
      </w:r>
      <w:r>
        <w:rPr>
          <w:rFonts w:hint="eastAsia" w:ascii="宋体" w:hAnsi="宋体"/>
          <w:highlight w:val="none"/>
          <w:u w:val="single"/>
        </w:rPr>
        <w:t>广西电网有限责任公司</w:t>
      </w:r>
      <w:r>
        <w:rPr>
          <w:rFonts w:hint="default" w:ascii="宋体" w:hAnsi="宋体"/>
          <w:highlight w:val="none"/>
          <w:u w:val="single"/>
        </w:rPr>
        <w:t>百色供电局</w:t>
      </w:r>
      <w:r>
        <w:rPr>
          <w:rFonts w:hint="eastAsia" w:ascii="宋体" w:hAnsi="宋体"/>
          <w:highlight w:val="none"/>
          <w:u w:val="single"/>
        </w:rPr>
        <w:t>“</w:t>
      </w:r>
      <w:r>
        <w:rPr>
          <w:rFonts w:hint="eastAsia" w:ascii="宋体" w:hAnsi="宋体"/>
          <w:highlight w:val="none"/>
          <w:u w:val="single"/>
          <w:lang w:eastAsia="zh-CN"/>
        </w:rPr>
        <w:t>配电线路活动杆号牌</w:t>
      </w:r>
      <w:r>
        <w:rPr>
          <w:rFonts w:hint="eastAsia" w:ascii="宋体" w:hAnsi="宋体"/>
          <w:highlight w:val="none"/>
          <w:u w:val="single"/>
        </w:rPr>
        <w:t>”项目研究内容</w:t>
      </w:r>
      <w:r>
        <w:rPr>
          <w:rFonts w:hint="eastAsia" w:ascii="宋体" w:hAnsi="宋体"/>
          <w:highlight w:val="none"/>
        </w:rPr>
        <w:t>有关事项。投标方必须认真阅读本技术条款内容，以免造成投标失败。</w:t>
      </w:r>
    </w:p>
    <w:p>
      <w:pPr>
        <w:ind w:firstLine="480"/>
        <w:rPr>
          <w:rFonts w:ascii="宋体" w:hAnsi="宋体"/>
          <w:highlight w:val="none"/>
        </w:rPr>
      </w:pPr>
      <w:r>
        <w:rPr>
          <w:rFonts w:ascii="宋体" w:hAnsi="宋体"/>
          <w:highlight w:val="none"/>
        </w:rPr>
        <w:t xml:space="preserve">1.1.2 </w:t>
      </w:r>
      <w:r>
        <w:rPr>
          <w:rFonts w:hint="eastAsia" w:ascii="宋体" w:hAnsi="宋体"/>
          <w:highlight w:val="none"/>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ind w:firstLine="480"/>
        <w:jc w:val="center"/>
        <w:rPr>
          <w:rFonts w:ascii="宋体" w:hAnsi="宋体"/>
          <w:highlight w:val="none"/>
        </w:rPr>
      </w:pPr>
      <w:r>
        <w:rPr>
          <w:rFonts w:ascii="宋体" w:hAnsi="宋体"/>
          <w:highlight w:val="none"/>
        </w:rPr>
        <w:t xml:space="preserve">1.1.3 </w:t>
      </w:r>
      <w:r>
        <w:rPr>
          <w:rFonts w:hint="eastAsia" w:ascii="宋体" w:hAnsi="宋体"/>
          <w:highlight w:val="none"/>
        </w:rPr>
        <w:t>本规范书指标要求中，凡标有下划线或加“★”的地方均被视为重要的技术指标要求或性能要求。投标方要特别加以注意，必须完全满足这些要求。</w:t>
      </w:r>
    </w:p>
    <w:p>
      <w:pPr>
        <w:ind w:firstLine="480"/>
        <w:rPr>
          <w:rFonts w:ascii="宋体" w:hAnsi="宋体"/>
          <w:highlight w:val="none"/>
        </w:rPr>
      </w:pPr>
      <w:r>
        <w:rPr>
          <w:rFonts w:hint="eastAsia" w:ascii="宋体" w:hAnsi="宋体"/>
          <w:highlight w:val="none"/>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ind w:firstLine="480"/>
        <w:rPr>
          <w:rFonts w:ascii="宋体" w:hAnsi="宋体"/>
          <w:highlight w:val="none"/>
        </w:rPr>
      </w:pPr>
      <w:r>
        <w:rPr>
          <w:rFonts w:hint="eastAsia" w:ascii="宋体" w:hAnsi="宋体"/>
          <w:highlight w:val="none"/>
        </w:rPr>
        <w:t>1.1.5 如果投标方认为本技术条款所描述技术要求等存在不合理性或不明白的，可在响应原要求后陈述相关建议。</w:t>
      </w:r>
    </w:p>
    <w:p>
      <w:pPr>
        <w:ind w:firstLine="480"/>
        <w:rPr>
          <w:rFonts w:ascii="宋体" w:hAnsi="宋体"/>
          <w:highlight w:val="none"/>
        </w:rPr>
      </w:pPr>
      <w:r>
        <w:rPr>
          <w:rFonts w:ascii="宋体" w:hAnsi="宋体"/>
          <w:highlight w:val="none"/>
        </w:rPr>
        <w:t xml:space="preserve">1.1.6 </w:t>
      </w:r>
      <w:r>
        <w:rPr>
          <w:rFonts w:hint="eastAsia" w:ascii="宋体" w:hAnsi="宋体"/>
          <w:highlight w:val="none"/>
        </w:rPr>
        <w:t>投标方也可提出满足本技术规范书要求，且技术先进、成熟、价格合理的其他建议，供招标方选择。</w:t>
      </w:r>
    </w:p>
    <w:p>
      <w:pPr>
        <w:ind w:firstLine="480"/>
        <w:rPr>
          <w:rFonts w:ascii="宋体" w:hAnsi="宋体"/>
          <w:highlight w:val="none"/>
        </w:rPr>
      </w:pPr>
      <w:r>
        <w:rPr>
          <w:rFonts w:ascii="宋体" w:hAnsi="宋体"/>
          <w:highlight w:val="none"/>
        </w:rPr>
        <w:t xml:space="preserve">1.1.7 </w:t>
      </w:r>
      <w:r>
        <w:rPr>
          <w:rFonts w:hint="eastAsia" w:ascii="宋体" w:hAnsi="宋体"/>
          <w:highlight w:val="none"/>
        </w:rPr>
        <w:t>投标方应提供满足本技术规范书要求的完整的服务、工作产品，满足国家及用户提出的有关质量标准要求。所有工作产品必须具有在中国境内的合法使用权。</w:t>
      </w:r>
    </w:p>
    <w:p>
      <w:pPr>
        <w:ind w:firstLine="480"/>
        <w:rPr>
          <w:rFonts w:ascii="宋体" w:hAnsi="宋体"/>
          <w:highlight w:val="none"/>
        </w:rPr>
      </w:pPr>
      <w:r>
        <w:rPr>
          <w:rFonts w:hint="eastAsia" w:ascii="宋体" w:hAnsi="宋体"/>
          <w:highlight w:val="none"/>
        </w:rPr>
        <w:t>1.1.8 本技术规范书所使用的标准如与投标方所执行的标准不一致，按较高标准执行。</w:t>
      </w:r>
    </w:p>
    <w:p>
      <w:pPr>
        <w:ind w:firstLine="480"/>
        <w:rPr>
          <w:rFonts w:ascii="宋体" w:hAnsi="宋体"/>
          <w:highlight w:val="none"/>
        </w:rPr>
      </w:pPr>
      <w:r>
        <w:rPr>
          <w:rFonts w:ascii="宋体" w:hAnsi="宋体"/>
          <w:highlight w:val="none"/>
        </w:rPr>
        <w:t xml:space="preserve">1.1.9 </w:t>
      </w:r>
      <w:r>
        <w:rPr>
          <w:rFonts w:hint="eastAsia" w:ascii="宋体" w:hAnsi="宋体"/>
          <w:highlight w:val="none"/>
        </w:rPr>
        <w:t>如果因为无法提供的原因而提供其他产品、服务，投标方应明确说明并提出质量保证承诺。</w:t>
      </w:r>
    </w:p>
    <w:p>
      <w:pPr>
        <w:ind w:firstLine="480"/>
        <w:rPr>
          <w:rFonts w:ascii="宋体" w:hAnsi="宋体"/>
          <w:highlight w:val="none"/>
        </w:rPr>
      </w:pPr>
      <w:r>
        <w:rPr>
          <w:rFonts w:ascii="宋体" w:hAnsi="宋体"/>
          <w:highlight w:val="none"/>
        </w:rPr>
        <w:t xml:space="preserve">1.1.10 </w:t>
      </w:r>
      <w:r>
        <w:rPr>
          <w:rFonts w:hint="eastAsia" w:ascii="宋体" w:hAnsi="宋体"/>
          <w:highlight w:val="none"/>
        </w:rPr>
        <w:t>投标方应保证为今后招标方开发的或招标方委托第三方开发的其他工作产品提供可靠的性能和兼容性。</w:t>
      </w:r>
    </w:p>
    <w:p>
      <w:pPr>
        <w:ind w:firstLine="480"/>
        <w:rPr>
          <w:rFonts w:ascii="宋体" w:hAnsi="宋体"/>
          <w:highlight w:val="none"/>
        </w:rPr>
      </w:pPr>
      <w:r>
        <w:rPr>
          <w:rFonts w:ascii="宋体" w:hAnsi="宋体"/>
          <w:highlight w:val="none"/>
        </w:rPr>
        <w:t xml:space="preserve">1.1.11 </w:t>
      </w:r>
      <w:r>
        <w:rPr>
          <w:rFonts w:hint="eastAsia" w:ascii="宋体" w:hAnsi="宋体"/>
          <w:highlight w:val="none"/>
        </w:rPr>
        <w:t>投标方应对本次投标所有文件保密，不得向其他单位公布或泄漏招标项目的有关信息。</w:t>
      </w:r>
    </w:p>
    <w:p>
      <w:pPr>
        <w:ind w:firstLine="480"/>
        <w:rPr>
          <w:rFonts w:ascii="宋体" w:hAnsi="宋体"/>
          <w:highlight w:val="none"/>
        </w:rPr>
      </w:pPr>
      <w:r>
        <w:rPr>
          <w:rFonts w:ascii="宋体" w:hAnsi="宋体"/>
          <w:highlight w:val="none"/>
        </w:rPr>
        <w:t>1.1.1</w:t>
      </w:r>
      <w:r>
        <w:rPr>
          <w:rFonts w:hint="eastAsia" w:ascii="宋体" w:hAnsi="宋体"/>
          <w:highlight w:val="none"/>
          <w:lang w:val="en-US" w:eastAsia="zh-CN"/>
        </w:rPr>
        <w:t>2</w:t>
      </w:r>
      <w:r>
        <w:rPr>
          <w:rFonts w:ascii="宋体" w:hAnsi="宋体"/>
          <w:highlight w:val="none"/>
        </w:rPr>
        <w:t xml:space="preserve"> </w:t>
      </w:r>
      <w:r>
        <w:rPr>
          <w:rFonts w:hint="eastAsia" w:ascii="宋体" w:hAnsi="宋体"/>
          <w:highlight w:val="none"/>
        </w:rPr>
        <w:t>在不超出本技术规范书要求的情况下，投标方应对招标方提出的所有细化要求予以满足。</w:t>
      </w:r>
    </w:p>
    <w:p>
      <w:pPr>
        <w:ind w:firstLine="480"/>
        <w:rPr>
          <w:rFonts w:hint="eastAsia" w:ascii="宋体" w:hAnsi="宋体"/>
          <w:highlight w:val="none"/>
        </w:rPr>
      </w:pPr>
      <w:r>
        <w:rPr>
          <w:rFonts w:hint="eastAsia" w:ascii="宋体" w:hAnsi="宋体"/>
          <w:highlight w:val="none"/>
        </w:rPr>
        <w:t>1.1.1</w:t>
      </w:r>
      <w:r>
        <w:rPr>
          <w:rFonts w:hint="eastAsia" w:ascii="宋体" w:hAnsi="宋体"/>
          <w:highlight w:val="none"/>
          <w:lang w:val="en-US" w:eastAsia="zh-CN"/>
        </w:rPr>
        <w:t>3</w:t>
      </w:r>
      <w:bookmarkStart w:id="41" w:name="_GoBack"/>
      <w:bookmarkEnd w:id="41"/>
      <w:r>
        <w:rPr>
          <w:rFonts w:hint="eastAsia" w:ascii="宋体" w:hAnsi="宋体"/>
          <w:highlight w:val="none"/>
        </w:rPr>
        <w:t xml:space="preserve"> 有文件、图纸、通信的均使用中文。所有计算、说明、图纸文件、手册等使用国际单位制。</w:t>
      </w:r>
    </w:p>
    <w:p>
      <w:pPr>
        <w:pStyle w:val="5"/>
        <w:rPr>
          <w:highlight w:val="none"/>
        </w:rPr>
      </w:pPr>
      <w:bookmarkStart w:id="14" w:name="_Toc252486971"/>
      <w:bookmarkStart w:id="15" w:name="_Toc252485428"/>
      <w:bookmarkStart w:id="16" w:name="_Toc255894290"/>
      <w:bookmarkStart w:id="17" w:name="_Toc222711875"/>
      <w:bookmarkStart w:id="18" w:name="_Toc293665071"/>
      <w:bookmarkStart w:id="19" w:name="_Toc261810243"/>
      <w:bookmarkStart w:id="20" w:name="_Toc582"/>
      <w:bookmarkStart w:id="21" w:name="_Toc445194080"/>
      <w:bookmarkStart w:id="22" w:name="_Toc21036"/>
      <w:r>
        <w:rPr>
          <w:rFonts w:hint="eastAsia"/>
          <w:highlight w:val="none"/>
        </w:rPr>
        <w:t>1.2</w:t>
      </w:r>
      <w:r>
        <w:rPr>
          <w:highlight w:val="none"/>
        </w:rPr>
        <w:t>标准和规范</w:t>
      </w:r>
      <w:bookmarkEnd w:id="14"/>
      <w:bookmarkEnd w:id="15"/>
      <w:bookmarkEnd w:id="16"/>
      <w:bookmarkEnd w:id="17"/>
      <w:bookmarkEnd w:id="18"/>
      <w:bookmarkEnd w:id="19"/>
      <w:bookmarkEnd w:id="20"/>
      <w:bookmarkEnd w:id="21"/>
      <w:bookmarkEnd w:id="22"/>
    </w:p>
    <w:p>
      <w:pPr>
        <w:autoSpaceDE w:val="0"/>
        <w:autoSpaceDN w:val="0"/>
        <w:adjustRightInd w:val="0"/>
        <w:ind w:firstLine="480"/>
        <w:rPr>
          <w:rFonts w:ascii="Times New Roman" w:hAnsi="Times New Roman" w:cs="Times New Roman"/>
          <w:szCs w:val="21"/>
          <w:highlight w:val="none"/>
          <w:lang w:val="zh-CN"/>
        </w:rPr>
      </w:pPr>
      <w:r>
        <w:rPr>
          <w:rFonts w:ascii="Times New Roman" w:hAnsi="Times New Roman" w:cs="Times New Roman"/>
          <w:highlight w:val="none"/>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ind w:firstLine="480"/>
        <w:rPr>
          <w:rFonts w:ascii="Times New Roman" w:hAnsi="Times New Roman" w:cs="Times New Roman"/>
          <w:szCs w:val="21"/>
          <w:highlight w:val="none"/>
          <w:lang w:val="zh-CN"/>
        </w:rPr>
      </w:pPr>
      <w:r>
        <w:rPr>
          <w:rFonts w:ascii="Times New Roman" w:hAnsi="Times New Roman" w:cs="Times New Roman"/>
          <w:szCs w:val="21"/>
          <w:highlight w:val="none"/>
          <w:lang w:val="zh-CN"/>
        </w:rPr>
        <w:t>投标方如果采用自己的标准或规范，必须向招标方提供中文复印件并经招标方同意后方可采用，但不能低于GB、JB有关规定。</w:t>
      </w:r>
    </w:p>
    <w:p>
      <w:pPr>
        <w:autoSpaceDE w:val="0"/>
        <w:autoSpaceDN w:val="0"/>
        <w:adjustRightInd w:val="0"/>
        <w:ind w:firstLine="480"/>
        <w:rPr>
          <w:rFonts w:ascii="Times New Roman" w:hAnsi="Times New Roman" w:cs="Times New Roman"/>
          <w:szCs w:val="21"/>
          <w:highlight w:val="none"/>
          <w:lang w:val="zh-CN"/>
        </w:rPr>
      </w:pPr>
      <w:r>
        <w:rPr>
          <w:rFonts w:ascii="Times New Roman" w:hAnsi="Times New Roman" w:cs="Times New Roman"/>
          <w:szCs w:val="21"/>
          <w:highlight w:val="none"/>
          <w:lang w:val="zh-CN"/>
        </w:rPr>
        <w:t>下列标准所包括的条文，通过在本规定中引用而构成本规定的条文。本标准出版时，所示版本均为有效。所有标准都会被修订，使用本标准的各方应探讨使用下列标准最新版本的可能性。</w:t>
      </w:r>
    </w:p>
    <w:p>
      <w:pPr>
        <w:ind w:firstLine="480"/>
        <w:rPr>
          <w:rFonts w:hint="default" w:ascii="宋体" w:hAnsi="宋体"/>
          <w:color w:val="000000"/>
          <w:szCs w:val="24"/>
          <w:highlight w:val="none"/>
        </w:rPr>
      </w:pPr>
      <w:r>
        <w:rPr>
          <w:rFonts w:hint="eastAsia" w:ascii="宋体" w:hAnsi="宋体"/>
          <w:color w:val="000000"/>
          <w:szCs w:val="24"/>
          <w:highlight w:val="none"/>
          <w:lang w:val="en-US" w:eastAsia="zh-CN"/>
        </w:rPr>
        <w:t>Q/CSG 1 0002-2004</w:t>
      </w:r>
      <w:r>
        <w:rPr>
          <w:rFonts w:hint="default" w:ascii="宋体" w:hAnsi="宋体"/>
          <w:color w:val="000000"/>
          <w:szCs w:val="24"/>
          <w:highlight w:val="none"/>
        </w:rPr>
        <w:t>《</w:t>
      </w:r>
      <w:r>
        <w:rPr>
          <w:rFonts w:hint="eastAsia" w:ascii="宋体" w:hAnsi="宋体"/>
          <w:color w:val="000000"/>
          <w:szCs w:val="24"/>
          <w:highlight w:val="none"/>
          <w:lang w:val="en-US" w:eastAsia="zh-CN"/>
        </w:rPr>
        <w:t>架空线路及电缆安健环设施标准</w:t>
      </w:r>
      <w:r>
        <w:rPr>
          <w:rFonts w:hint="default" w:ascii="宋体" w:hAnsi="宋体"/>
          <w:color w:val="000000"/>
          <w:szCs w:val="24"/>
          <w:highlight w:val="none"/>
        </w:rPr>
        <w:t>》</w:t>
      </w:r>
    </w:p>
    <w:p>
      <w:pPr>
        <w:pStyle w:val="18"/>
        <w:numPr>
          <w:ilvl w:val="0"/>
          <w:numId w:val="0"/>
        </w:numPr>
        <w:ind w:leftChars="200"/>
        <w:outlineLvl w:val="1"/>
        <w:rPr>
          <w:rFonts w:hint="eastAsia"/>
          <w:b/>
          <w:sz w:val="28"/>
          <w:highlight w:val="none"/>
          <w:lang w:val="en-US" w:eastAsia="zh-CN"/>
        </w:rPr>
      </w:pPr>
      <w:r>
        <w:rPr>
          <w:rFonts w:hint="eastAsia" w:ascii="宋体" w:hAnsi="宋体" w:eastAsia="宋体" w:cs="黑体"/>
          <w:color w:val="000000"/>
          <w:kern w:val="2"/>
          <w:sz w:val="24"/>
          <w:szCs w:val="24"/>
          <w:highlight w:val="none"/>
          <w:lang w:val="en-US" w:eastAsia="zh-CN" w:bidi="ar-SA"/>
        </w:rPr>
        <w:t>DL/T2871-2024《架空输电线路标识配置及制安装规范》</w:t>
      </w:r>
    </w:p>
    <w:p>
      <w:pPr>
        <w:pStyle w:val="18"/>
        <w:numPr>
          <w:ilvl w:val="0"/>
          <w:numId w:val="0"/>
        </w:numPr>
        <w:ind w:leftChars="200"/>
        <w:outlineLvl w:val="1"/>
        <w:rPr>
          <w:rFonts w:hint="eastAsia"/>
          <w:b/>
          <w:sz w:val="28"/>
          <w:highlight w:val="none"/>
          <w:lang w:val="en-US" w:eastAsia="zh-CN"/>
        </w:rPr>
      </w:pPr>
    </w:p>
    <w:p>
      <w:pPr>
        <w:pStyle w:val="18"/>
        <w:numPr>
          <w:ilvl w:val="0"/>
          <w:numId w:val="0"/>
        </w:numPr>
        <w:ind w:leftChars="200"/>
        <w:outlineLvl w:val="1"/>
        <w:rPr>
          <w:b/>
          <w:sz w:val="28"/>
          <w:highlight w:val="none"/>
        </w:rPr>
      </w:pPr>
      <w:r>
        <w:rPr>
          <w:rFonts w:hint="eastAsia"/>
          <w:b/>
          <w:sz w:val="28"/>
          <w:highlight w:val="none"/>
          <w:lang w:val="en-US" w:eastAsia="zh-CN"/>
        </w:rPr>
        <w:t xml:space="preserve">1.3   </w:t>
      </w:r>
      <w:r>
        <w:rPr>
          <w:rFonts w:hint="eastAsia"/>
          <w:b/>
          <w:sz w:val="28"/>
          <w:highlight w:val="none"/>
        </w:rPr>
        <w:t>招标方职责</w:t>
      </w:r>
    </w:p>
    <w:p>
      <w:pPr>
        <w:numPr>
          <w:ilvl w:val="0"/>
          <w:numId w:val="1"/>
        </w:numPr>
        <w:spacing w:line="360" w:lineRule="auto"/>
        <w:ind w:firstLine="480"/>
        <w:rPr>
          <w:rFonts w:ascii="宋体" w:hAnsi="宋体"/>
          <w:sz w:val="24"/>
          <w:szCs w:val="24"/>
          <w:highlight w:val="none"/>
        </w:rPr>
      </w:pPr>
      <w:r>
        <w:rPr>
          <w:rFonts w:hint="eastAsia" w:ascii="宋体" w:hAnsi="宋体"/>
          <w:sz w:val="24"/>
          <w:szCs w:val="24"/>
          <w:highlight w:val="none"/>
        </w:rPr>
        <w:t>提出“配电线路活动杆号牌”的详细材料需求；</w:t>
      </w:r>
    </w:p>
    <w:p>
      <w:pPr>
        <w:numPr>
          <w:ilvl w:val="0"/>
          <w:numId w:val="1"/>
        </w:numPr>
        <w:spacing w:line="360" w:lineRule="auto"/>
        <w:ind w:firstLine="480"/>
        <w:rPr>
          <w:rFonts w:ascii="宋体" w:hAnsi="宋体"/>
          <w:sz w:val="24"/>
          <w:szCs w:val="24"/>
          <w:highlight w:val="none"/>
        </w:rPr>
      </w:pPr>
      <w:r>
        <w:rPr>
          <w:rFonts w:ascii="宋体" w:hAnsi="宋体"/>
          <w:sz w:val="24"/>
          <w:szCs w:val="24"/>
          <w:highlight w:val="none"/>
        </w:rPr>
        <w:t>制定项目开发总体技术路线</w:t>
      </w:r>
      <w:r>
        <w:rPr>
          <w:rFonts w:hint="eastAsia" w:ascii="宋体" w:hAnsi="宋体"/>
          <w:sz w:val="24"/>
          <w:szCs w:val="24"/>
          <w:highlight w:val="none"/>
        </w:rPr>
        <w:t>；</w:t>
      </w:r>
    </w:p>
    <w:p>
      <w:pPr>
        <w:numPr>
          <w:ilvl w:val="0"/>
          <w:numId w:val="1"/>
        </w:numPr>
        <w:spacing w:line="360" w:lineRule="auto"/>
        <w:ind w:firstLine="480"/>
        <w:rPr>
          <w:rFonts w:ascii="宋体" w:hAnsi="宋体"/>
          <w:sz w:val="24"/>
          <w:szCs w:val="24"/>
          <w:highlight w:val="none"/>
        </w:rPr>
      </w:pPr>
      <w:r>
        <w:rPr>
          <w:rFonts w:ascii="宋体" w:hAnsi="宋体"/>
          <w:sz w:val="24"/>
          <w:szCs w:val="24"/>
          <w:highlight w:val="none"/>
        </w:rPr>
        <w:t>为响应方收集项目开发所需</w:t>
      </w:r>
      <w:r>
        <w:rPr>
          <w:rFonts w:hint="eastAsia" w:ascii="宋体" w:hAnsi="宋体"/>
          <w:sz w:val="24"/>
          <w:szCs w:val="24"/>
          <w:highlight w:val="none"/>
        </w:rPr>
        <w:t>材料</w:t>
      </w:r>
      <w:r>
        <w:rPr>
          <w:rFonts w:ascii="宋体" w:hAnsi="宋体"/>
          <w:sz w:val="24"/>
          <w:szCs w:val="24"/>
          <w:highlight w:val="none"/>
        </w:rPr>
        <w:t>原始资料等提供协助；</w:t>
      </w:r>
    </w:p>
    <w:p>
      <w:pPr>
        <w:numPr>
          <w:ilvl w:val="0"/>
          <w:numId w:val="1"/>
        </w:numPr>
        <w:spacing w:line="360" w:lineRule="auto"/>
        <w:ind w:firstLine="480"/>
        <w:rPr>
          <w:rFonts w:ascii="宋体" w:hAnsi="宋体"/>
          <w:sz w:val="24"/>
          <w:szCs w:val="24"/>
          <w:highlight w:val="none"/>
        </w:rPr>
      </w:pPr>
      <w:r>
        <w:rPr>
          <w:rFonts w:ascii="宋体" w:hAnsi="宋体"/>
          <w:sz w:val="24"/>
          <w:szCs w:val="24"/>
          <w:highlight w:val="none"/>
        </w:rPr>
        <w:t>按照响应方提出的项目开发条件要求提供</w:t>
      </w:r>
      <w:r>
        <w:rPr>
          <w:rFonts w:hint="eastAsia" w:ascii="宋体" w:hAnsi="宋体"/>
          <w:sz w:val="24"/>
          <w:szCs w:val="24"/>
          <w:highlight w:val="none"/>
        </w:rPr>
        <w:t>配合</w:t>
      </w:r>
      <w:r>
        <w:rPr>
          <w:rFonts w:ascii="宋体" w:hAnsi="宋体"/>
          <w:sz w:val="24"/>
          <w:szCs w:val="24"/>
          <w:highlight w:val="none"/>
        </w:rPr>
        <w:t>人员和开发场地；</w:t>
      </w:r>
    </w:p>
    <w:p>
      <w:pPr>
        <w:numPr>
          <w:ilvl w:val="0"/>
          <w:numId w:val="1"/>
        </w:numPr>
        <w:spacing w:line="360" w:lineRule="auto"/>
        <w:ind w:firstLine="480"/>
        <w:rPr>
          <w:rFonts w:ascii="宋体" w:hAnsi="宋体"/>
          <w:sz w:val="24"/>
          <w:szCs w:val="24"/>
          <w:highlight w:val="none"/>
        </w:rPr>
      </w:pPr>
      <w:r>
        <w:rPr>
          <w:rFonts w:ascii="宋体" w:hAnsi="宋体"/>
          <w:sz w:val="24"/>
          <w:szCs w:val="24"/>
          <w:highlight w:val="none"/>
        </w:rPr>
        <w:t>负责</w:t>
      </w:r>
      <w:r>
        <w:rPr>
          <w:rFonts w:hint="eastAsia" w:ascii="宋体" w:hAnsi="宋体"/>
          <w:sz w:val="24"/>
          <w:szCs w:val="24"/>
          <w:highlight w:val="none"/>
        </w:rPr>
        <w:t>项目装置功能</w:t>
      </w:r>
      <w:r>
        <w:rPr>
          <w:rFonts w:ascii="宋体" w:hAnsi="宋体"/>
          <w:sz w:val="24"/>
          <w:szCs w:val="24"/>
          <w:highlight w:val="none"/>
        </w:rPr>
        <w:t>验收；</w:t>
      </w:r>
    </w:p>
    <w:p>
      <w:pPr>
        <w:numPr>
          <w:ilvl w:val="0"/>
          <w:numId w:val="1"/>
        </w:numPr>
        <w:spacing w:line="360" w:lineRule="auto"/>
        <w:ind w:firstLine="480"/>
        <w:rPr>
          <w:rFonts w:ascii="宋体" w:hAnsi="宋体"/>
          <w:sz w:val="24"/>
          <w:szCs w:val="24"/>
          <w:highlight w:val="none"/>
        </w:rPr>
      </w:pPr>
      <w:r>
        <w:rPr>
          <w:rFonts w:ascii="宋体" w:hAnsi="宋体"/>
          <w:sz w:val="24"/>
          <w:szCs w:val="24"/>
          <w:highlight w:val="none"/>
        </w:rPr>
        <w:t>为响应方人员在采购方所在地工作期间提供支持与方便；</w:t>
      </w:r>
    </w:p>
    <w:p>
      <w:pPr>
        <w:numPr>
          <w:ilvl w:val="0"/>
          <w:numId w:val="1"/>
        </w:numPr>
        <w:spacing w:line="360" w:lineRule="auto"/>
        <w:ind w:firstLine="480"/>
        <w:rPr>
          <w:rFonts w:ascii="宋体" w:hAnsi="宋体"/>
          <w:sz w:val="24"/>
          <w:szCs w:val="24"/>
          <w:highlight w:val="none"/>
        </w:rPr>
      </w:pPr>
      <w:r>
        <w:rPr>
          <w:rFonts w:ascii="宋体" w:hAnsi="宋体"/>
          <w:sz w:val="24"/>
          <w:szCs w:val="24"/>
          <w:highlight w:val="none"/>
        </w:rPr>
        <w:t>指派技术人员协助项目</w:t>
      </w:r>
      <w:r>
        <w:rPr>
          <w:rFonts w:hint="eastAsia" w:ascii="宋体" w:hAnsi="宋体"/>
          <w:sz w:val="24"/>
          <w:szCs w:val="24"/>
          <w:highlight w:val="none"/>
        </w:rPr>
        <w:t>实施</w:t>
      </w:r>
      <w:r>
        <w:rPr>
          <w:rFonts w:ascii="宋体" w:hAnsi="宋体"/>
          <w:sz w:val="24"/>
          <w:szCs w:val="24"/>
          <w:highlight w:val="none"/>
        </w:rPr>
        <w:t>，但指派的技术人员不对合同履行情况承担责任。</w:t>
      </w:r>
    </w:p>
    <w:p>
      <w:pPr>
        <w:pStyle w:val="18"/>
        <w:numPr>
          <w:ilvl w:val="0"/>
          <w:numId w:val="0"/>
        </w:numPr>
        <w:ind w:leftChars="200"/>
        <w:outlineLvl w:val="1"/>
        <w:rPr>
          <w:b/>
          <w:sz w:val="28"/>
          <w:highlight w:val="none"/>
        </w:rPr>
      </w:pPr>
      <w:r>
        <w:rPr>
          <w:rFonts w:hint="eastAsia"/>
          <w:b/>
          <w:sz w:val="28"/>
          <w:highlight w:val="none"/>
          <w:lang w:val="en-US" w:eastAsia="zh-CN"/>
        </w:rPr>
        <w:t xml:space="preserve">1.4  </w:t>
      </w:r>
      <w:r>
        <w:rPr>
          <w:rFonts w:hint="eastAsia"/>
          <w:b/>
          <w:sz w:val="28"/>
          <w:highlight w:val="none"/>
        </w:rPr>
        <w:t>投标方职责</w:t>
      </w:r>
    </w:p>
    <w:p>
      <w:pPr>
        <w:numPr>
          <w:ilvl w:val="0"/>
          <w:numId w:val="2"/>
        </w:numPr>
        <w:spacing w:line="360" w:lineRule="auto"/>
        <w:ind w:firstLine="480"/>
        <w:rPr>
          <w:rFonts w:ascii="宋体" w:hAnsi="宋体"/>
          <w:sz w:val="24"/>
          <w:szCs w:val="24"/>
          <w:highlight w:val="none"/>
        </w:rPr>
      </w:pPr>
      <w:r>
        <w:rPr>
          <w:rFonts w:hint="eastAsia" w:ascii="宋体" w:hAnsi="宋体"/>
          <w:sz w:val="24"/>
          <w:szCs w:val="24"/>
          <w:highlight w:val="none"/>
        </w:rPr>
        <w:t>提供完整的材料详细清单和报价；</w:t>
      </w:r>
    </w:p>
    <w:p>
      <w:pPr>
        <w:numPr>
          <w:ilvl w:val="0"/>
          <w:numId w:val="2"/>
        </w:numPr>
        <w:spacing w:line="360" w:lineRule="auto"/>
        <w:ind w:firstLine="480"/>
        <w:rPr>
          <w:rFonts w:ascii="宋体" w:hAnsi="宋体"/>
          <w:sz w:val="24"/>
          <w:szCs w:val="24"/>
          <w:highlight w:val="none"/>
        </w:rPr>
      </w:pPr>
      <w:r>
        <w:rPr>
          <w:rFonts w:hint="eastAsia" w:ascii="宋体" w:hAnsi="宋体"/>
          <w:sz w:val="24"/>
          <w:szCs w:val="24"/>
          <w:highlight w:val="none"/>
        </w:rPr>
        <w:t>按合同范围提供完整的项目实施方案所需材料；</w:t>
      </w:r>
    </w:p>
    <w:p>
      <w:pPr>
        <w:numPr>
          <w:ilvl w:val="0"/>
          <w:numId w:val="2"/>
        </w:numPr>
        <w:spacing w:line="360" w:lineRule="auto"/>
        <w:ind w:firstLine="480"/>
        <w:rPr>
          <w:rFonts w:ascii="宋体" w:hAnsi="宋体"/>
          <w:sz w:val="24"/>
          <w:szCs w:val="24"/>
          <w:highlight w:val="none"/>
        </w:rPr>
      </w:pPr>
      <w:r>
        <w:rPr>
          <w:rFonts w:hint="eastAsia" w:ascii="宋体" w:hAnsi="宋体"/>
          <w:sz w:val="24"/>
          <w:szCs w:val="24"/>
          <w:highlight w:val="none"/>
        </w:rPr>
        <w:t>按合同要求协助进行“配电线路活动杆号牌”项目的建设工</w:t>
      </w:r>
      <w:r>
        <w:rPr>
          <w:rFonts w:ascii="宋体" w:hAnsi="宋体"/>
          <w:sz w:val="24"/>
          <w:szCs w:val="24"/>
          <w:highlight w:val="none"/>
        </w:rPr>
        <w:t>作</w:t>
      </w:r>
      <w:r>
        <w:rPr>
          <w:rFonts w:hint="eastAsia" w:ascii="宋体" w:hAnsi="宋体"/>
          <w:sz w:val="24"/>
          <w:szCs w:val="24"/>
          <w:highlight w:val="none"/>
        </w:rPr>
        <w:t>；</w:t>
      </w:r>
    </w:p>
    <w:p>
      <w:pPr>
        <w:numPr>
          <w:ilvl w:val="0"/>
          <w:numId w:val="2"/>
        </w:numPr>
        <w:spacing w:line="360" w:lineRule="auto"/>
        <w:ind w:firstLine="480"/>
        <w:rPr>
          <w:rFonts w:ascii="宋体" w:hAnsi="宋体"/>
          <w:sz w:val="24"/>
          <w:szCs w:val="24"/>
          <w:highlight w:val="none"/>
        </w:rPr>
      </w:pPr>
      <w:r>
        <w:rPr>
          <w:rFonts w:hint="eastAsia" w:ascii="宋体" w:hAnsi="宋体"/>
          <w:sz w:val="24"/>
          <w:szCs w:val="24"/>
          <w:highlight w:val="none"/>
        </w:rPr>
        <w:t>负责协助功能评审和现场验收工作；</w:t>
      </w:r>
    </w:p>
    <w:p>
      <w:pPr>
        <w:numPr>
          <w:ilvl w:val="0"/>
          <w:numId w:val="2"/>
        </w:numPr>
        <w:spacing w:line="360" w:lineRule="auto"/>
        <w:ind w:firstLine="480"/>
        <w:rPr>
          <w:rFonts w:ascii="宋体" w:hAnsi="宋体"/>
          <w:sz w:val="24"/>
          <w:szCs w:val="24"/>
          <w:highlight w:val="none"/>
        </w:rPr>
      </w:pPr>
      <w:r>
        <w:rPr>
          <w:rFonts w:hint="eastAsia" w:ascii="宋体" w:hAnsi="宋体"/>
          <w:sz w:val="24"/>
          <w:szCs w:val="24"/>
          <w:highlight w:val="none"/>
        </w:rPr>
        <w:t>负责质保期间技术服务的维护；</w:t>
      </w:r>
    </w:p>
    <w:bookmarkEnd w:id="10"/>
    <w:bookmarkEnd w:id="11"/>
    <w:bookmarkEnd w:id="12"/>
    <w:bookmarkEnd w:id="13"/>
    <w:p>
      <w:pPr>
        <w:pStyle w:val="4"/>
        <w:numPr>
          <w:ilvl w:val="0"/>
          <w:numId w:val="0"/>
        </w:numPr>
        <w:spacing w:before="0" w:after="0" w:line="360" w:lineRule="auto"/>
        <w:rPr>
          <w:rFonts w:hint="default" w:eastAsia="宋体"/>
          <w:szCs w:val="24"/>
          <w:highlight w:val="none"/>
          <w:lang w:val="en-US" w:eastAsia="zh-CN"/>
        </w:rPr>
      </w:pPr>
      <w:bookmarkStart w:id="23" w:name="_Toc444945516"/>
      <w:bookmarkStart w:id="24" w:name="_Toc22982"/>
      <w:r>
        <w:rPr>
          <w:rFonts w:hint="eastAsia"/>
          <w:sz w:val="32"/>
          <w:szCs w:val="24"/>
          <w:highlight w:val="none"/>
          <w:lang w:val="en-US" w:eastAsia="zh-CN"/>
        </w:rPr>
        <w:t>2、</w:t>
      </w:r>
      <w:bookmarkEnd w:id="23"/>
      <w:bookmarkEnd w:id="24"/>
      <w:r>
        <w:rPr>
          <w:rFonts w:hint="eastAsia"/>
          <w:sz w:val="32"/>
          <w:szCs w:val="24"/>
          <w:highlight w:val="none"/>
          <w:lang w:val="en-US" w:eastAsia="zh-CN"/>
        </w:rPr>
        <w:t>项目概述</w:t>
      </w:r>
    </w:p>
    <w:p>
      <w:pPr>
        <w:pStyle w:val="5"/>
        <w:tabs>
          <w:tab w:val="left" w:pos="0"/>
          <w:tab w:val="clear" w:pos="620"/>
        </w:tabs>
        <w:spacing w:before="0" w:after="0" w:line="360" w:lineRule="auto"/>
        <w:rPr>
          <w:rFonts w:hint="eastAsia" w:ascii="宋体" w:hAnsi="宋体" w:cs="宋体"/>
          <w:sz w:val="28"/>
          <w:szCs w:val="24"/>
          <w:highlight w:val="none"/>
        </w:rPr>
      </w:pPr>
      <w:bookmarkStart w:id="25" w:name="_Toc444945517"/>
      <w:bookmarkStart w:id="26" w:name="_Toc437603900"/>
      <w:bookmarkStart w:id="27" w:name="_Toc21881"/>
      <w:r>
        <w:rPr>
          <w:rFonts w:hint="eastAsia" w:ascii="宋体" w:hAnsi="宋体" w:cs="宋体"/>
          <w:sz w:val="28"/>
          <w:szCs w:val="24"/>
          <w:highlight w:val="none"/>
        </w:rPr>
        <w:t>2.1 项目</w:t>
      </w:r>
      <w:bookmarkEnd w:id="25"/>
      <w:bookmarkEnd w:id="26"/>
      <w:r>
        <w:rPr>
          <w:rFonts w:hint="eastAsia" w:ascii="宋体" w:hAnsi="宋体" w:cs="宋体"/>
          <w:sz w:val="28"/>
          <w:szCs w:val="24"/>
          <w:highlight w:val="none"/>
        </w:rPr>
        <w:t>研究对象</w:t>
      </w:r>
      <w:bookmarkEnd w:id="27"/>
    </w:p>
    <w:p>
      <w:pPr>
        <w:spacing w:line="360" w:lineRule="auto"/>
        <w:ind w:firstLine="480" w:firstLineChars="200"/>
        <w:rPr>
          <w:rFonts w:hint="eastAsia"/>
          <w:highlight w:val="none"/>
          <w:lang w:val="en-US" w:eastAsia="zh-CN"/>
        </w:rPr>
      </w:pPr>
      <w:bookmarkStart w:id="28" w:name="_Toc17034"/>
      <w:bookmarkStart w:id="29" w:name="_Toc444945518"/>
      <w:bookmarkStart w:id="30" w:name="_Toc437603901"/>
      <w:r>
        <w:rPr>
          <w:rFonts w:hint="eastAsia"/>
          <w:highlight w:val="none"/>
          <w:lang w:val="en-US" w:eastAsia="zh-CN"/>
        </w:rPr>
        <w:t>配电线路杆号牌是标识线路的编号和其他重要信息。通常杆号牌标注线路名称和杆号，以方便运维人员在维护、检修、故障排除等提供唯一的位置坐标，避免运维人员误登电杆，从而引起不安全行为。</w:t>
      </w:r>
    </w:p>
    <w:p>
      <w:pPr>
        <w:numPr>
          <w:ilvl w:val="0"/>
          <w:numId w:val="0"/>
        </w:numPr>
        <w:spacing w:line="360" w:lineRule="auto"/>
        <w:ind w:firstLine="480" w:firstLineChars="200"/>
        <w:rPr>
          <w:rFonts w:hint="eastAsia" w:ascii="宋体" w:hAnsi="宋体"/>
          <w:highlight w:val="none"/>
          <w:lang w:val="en-US" w:eastAsia="zh-CN"/>
        </w:rPr>
      </w:pPr>
      <w:r>
        <w:rPr>
          <w:rFonts w:hint="eastAsia"/>
          <w:highlight w:val="none"/>
          <w:lang w:val="en-US" w:eastAsia="zh-CN"/>
        </w:rPr>
        <w:t>传统的杆号牌是用铝线直接绑扎在电杆上，很容易滑落，造成安隐患，并且在运维过程中有杆号增减时，原来的杆号牌就作废了。活动杆号牌则不同，将线路名称和杆号分开，根据需要将线路称称牌和序号牌组装起来，运用灵活而且省钱、省时，安装好后稳固可靠、美观。</w:t>
      </w:r>
    </w:p>
    <w:p>
      <w:pPr>
        <w:numPr>
          <w:ilvl w:val="0"/>
          <w:numId w:val="0"/>
        </w:numPr>
        <w:spacing w:line="360" w:lineRule="auto"/>
        <w:ind w:firstLine="562" w:firstLineChars="200"/>
        <w:rPr>
          <w:rFonts w:hint="default" w:ascii="宋体" w:hAnsi="宋体" w:eastAsia="宋体" w:cs="宋体"/>
          <w:sz w:val="28"/>
          <w:szCs w:val="24"/>
          <w:highlight w:val="none"/>
          <w:lang w:val="en-US" w:eastAsia="zh-CN"/>
        </w:rPr>
      </w:pPr>
      <w:r>
        <w:rPr>
          <w:rFonts w:hint="eastAsia" w:ascii="宋体" w:hAnsi="宋体" w:eastAsia="黑体" w:cs="宋体"/>
          <w:b/>
          <w:kern w:val="2"/>
          <w:sz w:val="28"/>
          <w:szCs w:val="24"/>
          <w:highlight w:val="none"/>
          <w:lang w:val="en-US" w:eastAsia="zh-CN" w:bidi="ar-SA"/>
        </w:rPr>
        <w:t>2.2项目内容</w:t>
      </w:r>
      <w:bookmarkEnd w:id="28"/>
      <w:bookmarkEnd w:id="29"/>
      <w:bookmarkEnd w:id="30"/>
      <w:r>
        <w:rPr>
          <w:rFonts w:hint="eastAsia" w:ascii="宋体" w:hAnsi="宋体" w:eastAsia="黑体" w:cs="宋体"/>
          <w:b/>
          <w:kern w:val="2"/>
          <w:sz w:val="28"/>
          <w:szCs w:val="24"/>
          <w:highlight w:val="none"/>
          <w:lang w:val="en-US" w:eastAsia="zh-CN" w:bidi="ar-SA"/>
        </w:rPr>
        <w:t xml:space="preserve">   </w:t>
      </w:r>
      <w:r>
        <w:rPr>
          <w:rFonts w:hint="eastAsia" w:ascii="宋体" w:hAnsi="宋体" w:cs="宋体"/>
          <w:sz w:val="28"/>
          <w:szCs w:val="24"/>
          <w:highlight w:val="none"/>
          <w:lang w:val="en-US" w:eastAsia="zh-CN"/>
        </w:rPr>
        <w:t xml:space="preserve"> </w:t>
      </w:r>
    </w:p>
    <w:p>
      <w:pPr>
        <w:numPr>
          <w:ilvl w:val="0"/>
          <w:numId w:val="0"/>
        </w:numPr>
        <w:spacing w:line="360" w:lineRule="auto"/>
        <w:ind w:firstLine="480" w:firstLineChars="200"/>
        <w:rPr>
          <w:rFonts w:hint="default" w:ascii="宋体" w:hAnsi="宋体"/>
          <w:highlight w:val="none"/>
          <w:lang w:val="en-US" w:eastAsia="zh-CN"/>
        </w:rPr>
      </w:pPr>
      <w:r>
        <w:rPr>
          <w:rFonts w:hint="eastAsia" w:ascii="宋体" w:hAnsi="宋体"/>
          <w:highlight w:val="none"/>
          <w:lang w:val="en-US" w:eastAsia="zh-CN"/>
        </w:rPr>
        <w:t>2.2.1</w:t>
      </w:r>
      <w:r>
        <w:rPr>
          <w:rFonts w:hint="default" w:ascii="宋体" w:hAnsi="宋体"/>
          <w:highlight w:val="none"/>
          <w:lang w:val="en-US" w:eastAsia="zh-CN"/>
        </w:rPr>
        <w:t>结构设计</w:t>
      </w:r>
    </w:p>
    <w:p>
      <w:pPr>
        <w:numPr>
          <w:ilvl w:val="0"/>
          <w:numId w:val="0"/>
        </w:numPr>
        <w:spacing w:line="360" w:lineRule="auto"/>
        <w:ind w:firstLine="480" w:firstLineChars="200"/>
        <w:rPr>
          <w:rFonts w:hint="default" w:ascii="宋体" w:hAnsi="宋体"/>
          <w:highlight w:val="none"/>
          <w:lang w:val="en-US" w:eastAsia="zh-CN"/>
        </w:rPr>
      </w:pPr>
      <w:r>
        <w:rPr>
          <w:rFonts w:hint="default" w:ascii="宋体" w:hAnsi="宋体"/>
          <w:highlight w:val="none"/>
          <w:lang w:val="en-US" w:eastAsia="zh-CN"/>
        </w:rPr>
        <w:t>基于</w:t>
      </w:r>
      <w:r>
        <w:rPr>
          <w:rFonts w:hint="eastAsia" w:ascii="宋体" w:hAnsi="宋体"/>
          <w:highlight w:val="none"/>
          <w:lang w:val="en-US" w:eastAsia="zh-CN"/>
        </w:rPr>
        <w:t>日常登杆作业</w:t>
      </w:r>
      <w:r>
        <w:rPr>
          <w:rFonts w:hint="default" w:ascii="宋体" w:hAnsi="宋体"/>
          <w:highlight w:val="none"/>
          <w:lang w:val="en-US" w:eastAsia="zh-CN"/>
        </w:rPr>
        <w:t>需求，将</w:t>
      </w:r>
      <w:r>
        <w:rPr>
          <w:rFonts w:hint="eastAsia" w:ascii="宋体" w:hAnsi="宋体"/>
          <w:highlight w:val="none"/>
          <w:lang w:val="en-US" w:eastAsia="zh-CN"/>
        </w:rPr>
        <w:t>杆号牌框架也电杆之间留有一定距离，</w:t>
      </w:r>
      <w:r>
        <w:rPr>
          <w:rFonts w:hint="default" w:ascii="宋体" w:hAnsi="宋体"/>
          <w:highlight w:val="none"/>
          <w:lang w:val="en-US" w:eastAsia="zh-CN"/>
        </w:rPr>
        <w:t>确保</w:t>
      </w:r>
      <w:r>
        <w:rPr>
          <w:rFonts w:hint="eastAsia" w:ascii="宋体" w:hAnsi="宋体"/>
          <w:highlight w:val="none"/>
          <w:lang w:val="en-US" w:eastAsia="zh-CN"/>
        </w:rPr>
        <w:t>日常登杆作业顺利进行</w:t>
      </w:r>
      <w:r>
        <w:rPr>
          <w:rFonts w:hint="default" w:ascii="宋体" w:hAnsi="宋体"/>
          <w:highlight w:val="none"/>
          <w:lang w:val="en-US" w:eastAsia="zh-CN"/>
        </w:rPr>
        <w:t>。</w:t>
      </w:r>
    </w:p>
    <w:p>
      <w:pPr>
        <w:pStyle w:val="19"/>
        <w:numPr>
          <w:ilvl w:val="0"/>
          <w:numId w:val="0"/>
        </w:numPr>
        <w:rPr>
          <w:rFonts w:hint="eastAsia" w:ascii="宋体" w:hAnsi="宋体" w:eastAsia="宋体" w:cs="宋体"/>
          <w:b w:val="0"/>
          <w:bCs/>
          <w:sz w:val="30"/>
          <w:szCs w:val="30"/>
          <w:highlight w:val="none"/>
          <w:lang w:val="en-US" w:eastAsia="zh-CN"/>
        </w:rPr>
      </w:pPr>
      <w:r>
        <w:rPr>
          <w:rFonts w:hint="eastAsia" w:ascii="宋体" w:hAnsi="宋体" w:eastAsia="宋体" w:cs="宋体"/>
          <w:b w:val="0"/>
          <w:bCs/>
          <w:sz w:val="30"/>
          <w:szCs w:val="30"/>
          <w:highlight w:val="none"/>
          <w:lang w:val="en-US" w:eastAsia="zh-CN"/>
        </w:rPr>
        <w:t xml:space="preserve"> </w:t>
      </w:r>
      <w:r>
        <w:rPr>
          <w:rFonts w:hint="eastAsia" w:ascii="宋体" w:hAnsi="宋体" w:eastAsia="宋体" w:cs="宋体"/>
          <w:b w:val="0"/>
          <w:bCs w:val="0"/>
          <w:kern w:val="2"/>
          <w:sz w:val="24"/>
          <w:szCs w:val="24"/>
          <w:highlight w:val="none"/>
          <w:lang w:val="en-US" w:eastAsia="zh-CN" w:bidi="ar-SA"/>
        </w:rPr>
        <w:t xml:space="preserve">   2.2.2服务内容</w:t>
      </w:r>
    </w:p>
    <w:p>
      <w:pPr>
        <w:pStyle w:val="19"/>
        <w:numPr>
          <w:ilvl w:val="0"/>
          <w:numId w:val="0"/>
        </w:numPr>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采购内容一览表：</w:t>
      </w:r>
    </w:p>
    <w:tbl>
      <w:tblPr>
        <w:tblStyle w:val="13"/>
        <w:tblW w:w="81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62"/>
        <w:gridCol w:w="2612"/>
        <w:gridCol w:w="1350"/>
        <w:gridCol w:w="1175"/>
        <w:gridCol w:w="10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采购内容</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数量</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单位</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配电线路活动杆号牌</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杆号牌固定基座</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个</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不锈钢杆号牌框架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个</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铝板反光标识牌</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2</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个</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810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交付成果及要求：完成</w:t>
            </w:r>
            <w:r>
              <w:rPr>
                <w:rFonts w:hint="eastAsia" w:ascii="宋体" w:hAnsi="宋体" w:cs="宋体"/>
                <w:i w:val="0"/>
                <w:iCs w:val="0"/>
                <w:color w:val="000000"/>
                <w:kern w:val="0"/>
                <w:sz w:val="21"/>
                <w:szCs w:val="21"/>
                <w:highlight w:val="none"/>
                <w:u w:val="none"/>
                <w:lang w:val="en-US" w:eastAsia="zh-CN" w:bidi="ar"/>
              </w:rPr>
              <w:t>配电线路活动杆号牌一套装置</w:t>
            </w:r>
            <w:r>
              <w:rPr>
                <w:rFonts w:hint="eastAsia" w:ascii="宋体" w:hAnsi="宋体" w:eastAsia="宋体" w:cs="宋体"/>
                <w:i w:val="0"/>
                <w:iCs w:val="0"/>
                <w:color w:val="000000"/>
                <w:kern w:val="0"/>
                <w:sz w:val="21"/>
                <w:szCs w:val="21"/>
                <w:highlight w:val="none"/>
                <w:u w:val="none"/>
                <w:lang w:val="en-US" w:eastAsia="zh-CN" w:bidi="ar"/>
              </w:rPr>
              <w:t>加工</w:t>
            </w:r>
            <w:r>
              <w:rPr>
                <w:rFonts w:hint="eastAsia" w:ascii="宋体" w:hAnsi="宋体" w:cs="宋体"/>
                <w:i w:val="0"/>
                <w:iCs w:val="0"/>
                <w:color w:val="000000"/>
                <w:kern w:val="0"/>
                <w:sz w:val="22"/>
                <w:szCs w:val="22"/>
                <w:highlight w:val="none"/>
                <w:u w:val="none"/>
                <w:lang w:val="en-US" w:eastAsia="zh-CN" w:bidi="ar"/>
              </w:rPr>
              <w:t>。</w:t>
            </w:r>
          </w:p>
        </w:tc>
      </w:tr>
    </w:tbl>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p>
      <w:pPr>
        <w:keepNext/>
        <w:keepLines/>
        <w:numPr>
          <w:ilvl w:val="0"/>
          <w:numId w:val="0"/>
        </w:numPr>
        <w:spacing w:beforeLines="50" w:afterLines="50" w:line="360" w:lineRule="auto"/>
        <w:outlineLvl w:val="0"/>
        <w:rPr>
          <w:rFonts w:hint="default" w:ascii="宋体"/>
          <w:b/>
          <w:bCs/>
          <w:kern w:val="44"/>
          <w:sz w:val="32"/>
          <w:szCs w:val="44"/>
          <w:highlight w:val="none"/>
          <w:lang w:val="en-US" w:eastAsia="zh-CN"/>
        </w:rPr>
      </w:pPr>
      <w:r>
        <w:rPr>
          <w:rFonts w:hint="eastAsia" w:ascii="宋体"/>
          <w:b/>
          <w:bCs/>
          <w:kern w:val="44"/>
          <w:sz w:val="32"/>
          <w:szCs w:val="44"/>
          <w:highlight w:val="none"/>
          <w:lang w:val="en-US" w:eastAsia="zh-CN"/>
        </w:rPr>
        <w:t>3、总体要求</w:t>
      </w:r>
    </w:p>
    <w:p>
      <w:pPr>
        <w:pStyle w:val="18"/>
        <w:numPr>
          <w:ilvl w:val="0"/>
          <w:numId w:val="0"/>
        </w:numPr>
        <w:outlineLvl w:val="1"/>
        <w:rPr>
          <w:rFonts w:hint="eastAsia"/>
          <w:b/>
          <w:sz w:val="28"/>
          <w:highlight w:val="none"/>
        </w:rPr>
      </w:pPr>
      <w:bookmarkStart w:id="31" w:name="_Toc437603902"/>
      <w:bookmarkStart w:id="32" w:name="_Toc444945519"/>
      <w:bookmarkStart w:id="33" w:name="_Toc21449"/>
      <w:r>
        <w:rPr>
          <w:rFonts w:hint="eastAsia"/>
          <w:b/>
          <w:sz w:val="28"/>
          <w:highlight w:val="none"/>
          <w:lang w:val="en-US" w:eastAsia="zh-CN"/>
        </w:rPr>
        <w:t>3</w:t>
      </w:r>
      <w:r>
        <w:rPr>
          <w:rFonts w:hint="eastAsia"/>
          <w:b/>
          <w:sz w:val="28"/>
          <w:highlight w:val="none"/>
        </w:rPr>
        <w:t>.</w:t>
      </w:r>
      <w:r>
        <w:rPr>
          <w:rFonts w:hint="eastAsia"/>
          <w:b/>
          <w:sz w:val="28"/>
          <w:highlight w:val="none"/>
          <w:lang w:val="en-US" w:eastAsia="zh-CN"/>
        </w:rPr>
        <w:t>1</w:t>
      </w:r>
      <w:r>
        <w:rPr>
          <w:rFonts w:hint="eastAsia"/>
          <w:b/>
          <w:sz w:val="28"/>
          <w:highlight w:val="none"/>
        </w:rPr>
        <w:t xml:space="preserve"> 功能要求</w:t>
      </w:r>
    </w:p>
    <w:p>
      <w:pPr>
        <w:ind w:firstLine="480"/>
        <w:rPr>
          <w:rFonts w:hint="default" w:ascii="宋体" w:hAnsi="宋体" w:cs="宋体"/>
          <w:highlight w:val="none"/>
          <w:lang w:val="en-US" w:eastAsia="zh-CN"/>
        </w:rPr>
      </w:pPr>
      <w:r>
        <w:rPr>
          <w:rFonts w:hint="eastAsia" w:ascii="宋体" w:hAnsi="宋体" w:cs="宋体"/>
          <w:highlight w:val="none"/>
          <w:lang w:val="en-US" w:eastAsia="zh-CN"/>
        </w:rPr>
        <w:t>（1）杆号牌框架与电杆固定牢固；</w:t>
      </w:r>
    </w:p>
    <w:p>
      <w:pPr>
        <w:ind w:firstLine="480"/>
        <w:rPr>
          <w:rFonts w:hint="eastAsia" w:ascii="宋体" w:hAnsi="宋体" w:cs="宋体"/>
          <w:highlight w:val="none"/>
          <w:lang w:val="en-US" w:eastAsia="zh-CN"/>
        </w:rPr>
      </w:pPr>
      <w:r>
        <w:rPr>
          <w:rFonts w:hint="eastAsia" w:ascii="宋体" w:hAnsi="宋体" w:cs="宋体"/>
          <w:highlight w:val="none"/>
          <w:lang w:val="en-US" w:eastAsia="zh-CN"/>
        </w:rPr>
        <w:t>（2）杆号牌与框架配合合理，抽取顺畅，并有防掉落功能。</w:t>
      </w:r>
    </w:p>
    <w:p>
      <w:pPr>
        <w:keepNext/>
        <w:keepLines/>
        <w:numPr>
          <w:ilvl w:val="0"/>
          <w:numId w:val="0"/>
        </w:numPr>
        <w:spacing w:beforeLines="50" w:afterLines="50" w:line="360" w:lineRule="auto"/>
        <w:outlineLvl w:val="0"/>
        <w:rPr>
          <w:rFonts w:hint="default" w:ascii="宋体"/>
          <w:b/>
          <w:bCs/>
          <w:kern w:val="44"/>
          <w:sz w:val="32"/>
          <w:szCs w:val="44"/>
          <w:highlight w:val="none"/>
          <w:lang w:val="en-US" w:eastAsia="zh-CN"/>
        </w:rPr>
      </w:pPr>
      <w:r>
        <w:rPr>
          <w:rFonts w:hint="eastAsia" w:ascii="宋体"/>
          <w:b/>
          <w:bCs/>
          <w:kern w:val="44"/>
          <w:sz w:val="32"/>
          <w:szCs w:val="44"/>
          <w:highlight w:val="none"/>
          <w:lang w:val="en-US" w:eastAsia="zh-CN"/>
        </w:rPr>
        <w:t>4、技术要求</w:t>
      </w:r>
    </w:p>
    <w:p>
      <w:pPr>
        <w:pStyle w:val="5"/>
        <w:tabs>
          <w:tab w:val="left" w:pos="0"/>
          <w:tab w:val="clear" w:pos="620"/>
        </w:tabs>
        <w:spacing w:before="0" w:after="0" w:line="360" w:lineRule="auto"/>
        <w:rPr>
          <w:rFonts w:hint="eastAsia" w:ascii="宋体" w:hAnsi="宋体" w:cs="宋体"/>
          <w:sz w:val="28"/>
          <w:szCs w:val="28"/>
          <w:highlight w:val="none"/>
        </w:rPr>
      </w:pPr>
      <w:r>
        <w:rPr>
          <w:rFonts w:hint="eastAsia" w:ascii="宋体" w:hAnsi="宋体" w:cs="宋体"/>
          <w:sz w:val="28"/>
          <w:szCs w:val="28"/>
          <w:highlight w:val="none"/>
          <w:lang w:val="en-US" w:eastAsia="zh-CN"/>
        </w:rPr>
        <w:t>4</w:t>
      </w:r>
      <w:r>
        <w:rPr>
          <w:rFonts w:hint="eastAsia" w:ascii="宋体" w:hAnsi="宋体" w:cs="宋体"/>
          <w:sz w:val="28"/>
          <w:szCs w:val="28"/>
          <w:highlight w:val="none"/>
        </w:rPr>
        <w:t>.</w:t>
      </w:r>
      <w:bookmarkEnd w:id="31"/>
      <w:bookmarkEnd w:id="32"/>
      <w:r>
        <w:rPr>
          <w:rFonts w:hint="eastAsia" w:ascii="宋体" w:hAnsi="宋体" w:cs="宋体"/>
          <w:sz w:val="28"/>
          <w:szCs w:val="28"/>
          <w:highlight w:val="none"/>
          <w:lang w:val="en-US" w:eastAsia="zh-CN"/>
        </w:rPr>
        <w:t xml:space="preserve">1 </w:t>
      </w:r>
      <w:r>
        <w:rPr>
          <w:rFonts w:hint="eastAsia" w:ascii="宋体" w:hAnsi="宋体" w:cs="宋体"/>
          <w:sz w:val="28"/>
          <w:szCs w:val="28"/>
          <w:highlight w:val="none"/>
        </w:rPr>
        <w:t>技术指标要求</w:t>
      </w:r>
      <w:bookmarkEnd w:id="33"/>
    </w:p>
    <w:p>
      <w:pPr>
        <w:ind w:firstLine="480"/>
        <w:rPr>
          <w:rFonts w:hint="eastAsia" w:ascii="宋体" w:hAnsi="宋体" w:cs="宋体"/>
          <w:highlight w:val="none"/>
          <w:lang w:val="en-US" w:eastAsia="zh-CN"/>
        </w:rPr>
      </w:pPr>
      <w:bookmarkStart w:id="34" w:name="_Toc444945520"/>
      <w:bookmarkStart w:id="35" w:name="_Toc437603903"/>
      <w:r>
        <w:rPr>
          <w:rFonts w:hint="eastAsia" w:ascii="宋体" w:hAnsi="宋体" w:cs="宋体"/>
          <w:highlight w:val="none"/>
          <w:lang w:val="en-US" w:eastAsia="zh-CN"/>
        </w:rPr>
        <w:t>（1）杆号牌采用铝板反光标识，框架采用不锈钢材料；</w:t>
      </w:r>
    </w:p>
    <w:p>
      <w:pPr>
        <w:ind w:firstLine="480"/>
        <w:rPr>
          <w:rFonts w:hint="eastAsia" w:ascii="宋体" w:hAnsi="宋体" w:cs="宋体"/>
          <w:highlight w:val="none"/>
          <w:lang w:val="en-US" w:eastAsia="zh-CN"/>
        </w:rPr>
      </w:pPr>
      <w:r>
        <w:rPr>
          <w:rFonts w:hint="eastAsia" w:ascii="宋体" w:hAnsi="宋体" w:cs="宋体"/>
          <w:highlight w:val="none"/>
          <w:lang w:val="en-US" w:eastAsia="zh-CN"/>
        </w:rPr>
        <w:t>（2）螺栓固定可靠；</w:t>
      </w:r>
    </w:p>
    <w:p>
      <w:pPr>
        <w:ind w:firstLine="480"/>
        <w:rPr>
          <w:rFonts w:hint="default" w:ascii="宋体" w:hAnsi="宋体" w:eastAsia="宋体" w:cs="宋体"/>
          <w:kern w:val="2"/>
          <w:sz w:val="24"/>
          <w:szCs w:val="22"/>
          <w:highlight w:val="none"/>
          <w:lang w:val="en-US" w:eastAsia="zh-CN" w:bidi="ar-SA"/>
        </w:rPr>
      </w:pPr>
      <w:r>
        <w:rPr>
          <w:rFonts w:hint="default" w:ascii="宋体" w:hAnsi="宋体" w:eastAsia="宋体" w:cs="宋体"/>
          <w:kern w:val="2"/>
          <w:sz w:val="24"/>
          <w:szCs w:val="22"/>
          <w:highlight w:val="none"/>
          <w:lang w:val="en-US" w:eastAsia="zh-CN" w:bidi="ar-SA"/>
        </w:rPr>
        <w:t>（</w:t>
      </w:r>
      <w:r>
        <w:rPr>
          <w:rFonts w:hint="eastAsia" w:ascii="宋体" w:hAnsi="宋体" w:cs="宋体"/>
          <w:kern w:val="2"/>
          <w:sz w:val="24"/>
          <w:szCs w:val="22"/>
          <w:highlight w:val="none"/>
          <w:lang w:val="en-US" w:eastAsia="zh-CN" w:bidi="ar-SA"/>
        </w:rPr>
        <w:t>3</w:t>
      </w:r>
      <w:r>
        <w:rPr>
          <w:rFonts w:hint="default" w:ascii="宋体" w:hAnsi="宋体" w:eastAsia="宋体" w:cs="宋体"/>
          <w:kern w:val="2"/>
          <w:sz w:val="24"/>
          <w:szCs w:val="22"/>
          <w:highlight w:val="none"/>
          <w:lang w:val="en-US" w:eastAsia="zh-CN" w:bidi="ar-SA"/>
        </w:rPr>
        <w:t>）杆号牌框架光滑无毛刺、</w:t>
      </w:r>
      <w:r>
        <w:rPr>
          <w:rFonts w:hint="eastAsia" w:ascii="宋体" w:hAnsi="宋体" w:cs="宋体"/>
          <w:kern w:val="2"/>
          <w:sz w:val="24"/>
          <w:szCs w:val="22"/>
          <w:highlight w:val="none"/>
          <w:lang w:val="en-US" w:eastAsia="zh-CN" w:bidi="ar-SA"/>
        </w:rPr>
        <w:t>无尖角。</w:t>
      </w:r>
    </w:p>
    <w:p>
      <w:pPr>
        <w:keepNext/>
        <w:keepLines/>
        <w:numPr>
          <w:ilvl w:val="0"/>
          <w:numId w:val="0"/>
        </w:numPr>
        <w:spacing w:beforeLines="50" w:afterLines="50" w:line="360" w:lineRule="auto"/>
        <w:outlineLvl w:val="0"/>
        <w:rPr>
          <w:rFonts w:ascii="宋体"/>
          <w:b/>
          <w:bCs/>
          <w:kern w:val="44"/>
          <w:sz w:val="32"/>
          <w:szCs w:val="44"/>
          <w:highlight w:val="none"/>
        </w:rPr>
      </w:pPr>
      <w:bookmarkStart w:id="36" w:name="_Toc509005146"/>
      <w:bookmarkStart w:id="37" w:name="_Toc12132_WPSOffice_Level1"/>
      <w:r>
        <w:rPr>
          <w:rFonts w:hint="eastAsia" w:ascii="宋体"/>
          <w:b/>
          <w:bCs/>
          <w:kern w:val="44"/>
          <w:sz w:val="32"/>
          <w:szCs w:val="44"/>
          <w:highlight w:val="none"/>
          <w:lang w:val="en-US" w:eastAsia="zh-CN"/>
        </w:rPr>
        <w:t>5、</w:t>
      </w:r>
      <w:r>
        <w:rPr>
          <w:rFonts w:hint="eastAsia" w:ascii="宋体"/>
          <w:b/>
          <w:bCs/>
          <w:kern w:val="44"/>
          <w:sz w:val="32"/>
          <w:szCs w:val="44"/>
          <w:highlight w:val="none"/>
        </w:rPr>
        <w:t>其他要求</w:t>
      </w:r>
      <w:bookmarkEnd w:id="36"/>
      <w:bookmarkEnd w:id="37"/>
    </w:p>
    <w:p>
      <w:pPr>
        <w:pStyle w:val="18"/>
        <w:numPr>
          <w:ilvl w:val="1"/>
          <w:numId w:val="3"/>
        </w:numPr>
        <w:ind w:firstLine="562"/>
        <w:outlineLvl w:val="1"/>
        <w:rPr>
          <w:b/>
          <w:sz w:val="28"/>
          <w:highlight w:val="none"/>
        </w:rPr>
      </w:pPr>
      <w:r>
        <w:rPr>
          <w:rFonts w:hint="eastAsia"/>
          <w:b/>
          <w:sz w:val="28"/>
          <w:highlight w:val="none"/>
        </w:rPr>
        <w:t>项目进度</w:t>
      </w:r>
    </w:p>
    <w:p>
      <w:pPr>
        <w:numPr>
          <w:ilvl w:val="2"/>
          <w:numId w:val="4"/>
        </w:numPr>
        <w:spacing w:line="360" w:lineRule="auto"/>
        <w:ind w:firstLine="480"/>
        <w:rPr>
          <w:rFonts w:ascii="宋体"/>
          <w:sz w:val="24"/>
          <w:szCs w:val="24"/>
          <w:highlight w:val="none"/>
        </w:rPr>
      </w:pPr>
      <w:r>
        <w:rPr>
          <w:rFonts w:hint="eastAsia" w:ascii="宋体"/>
          <w:sz w:val="24"/>
          <w:szCs w:val="24"/>
          <w:highlight w:val="none"/>
        </w:rPr>
        <w:t>投标方必须响应并承诺下列要求：投标方应在建议书中根据招标方要求的服务、产品交付日期，提出详细的项目进度表及工作组织安排，合同签订时将在此基础上确定最终进度。投标方应明确对最短可行项目进度的承诺。</w:t>
      </w:r>
    </w:p>
    <w:p>
      <w:pPr>
        <w:pStyle w:val="18"/>
        <w:numPr>
          <w:ilvl w:val="1"/>
          <w:numId w:val="3"/>
        </w:numPr>
        <w:ind w:firstLine="562"/>
        <w:outlineLvl w:val="1"/>
        <w:rPr>
          <w:b/>
          <w:sz w:val="28"/>
          <w:highlight w:val="none"/>
        </w:rPr>
      </w:pPr>
      <w:r>
        <w:rPr>
          <w:rFonts w:hint="eastAsia"/>
          <w:b/>
          <w:sz w:val="28"/>
          <w:highlight w:val="none"/>
        </w:rPr>
        <w:t>项目联络</w:t>
      </w:r>
    </w:p>
    <w:p>
      <w:pPr>
        <w:numPr>
          <w:ilvl w:val="2"/>
          <w:numId w:val="5"/>
        </w:numPr>
        <w:spacing w:line="360" w:lineRule="auto"/>
        <w:ind w:firstLine="480"/>
        <w:rPr>
          <w:rFonts w:ascii="宋体"/>
          <w:sz w:val="24"/>
          <w:szCs w:val="24"/>
          <w:highlight w:val="none"/>
        </w:rPr>
      </w:pPr>
      <w:r>
        <w:rPr>
          <w:rFonts w:hint="eastAsia" w:ascii="宋体"/>
          <w:sz w:val="24"/>
          <w:szCs w:val="24"/>
          <w:highlight w:val="none"/>
        </w:rPr>
        <w:t>为审查和确认本项目的工作方案，便于合同按期执行，在项目实施中按需召开联络会，可进行多次，也可不召开。</w:t>
      </w:r>
    </w:p>
    <w:p>
      <w:pPr>
        <w:spacing w:line="360" w:lineRule="auto"/>
        <w:ind w:firstLine="480"/>
        <w:rPr>
          <w:rFonts w:ascii="宋体"/>
          <w:sz w:val="24"/>
          <w:szCs w:val="24"/>
          <w:highlight w:val="none"/>
        </w:rPr>
      </w:pPr>
      <w:r>
        <w:rPr>
          <w:rFonts w:hint="eastAsia" w:ascii="宋体"/>
          <w:sz w:val="24"/>
          <w:szCs w:val="24"/>
          <w:highlight w:val="none"/>
        </w:rPr>
        <w:t>联络会的内容如下：</w:t>
      </w:r>
    </w:p>
    <w:p>
      <w:pPr>
        <w:numPr>
          <w:ilvl w:val="0"/>
          <w:numId w:val="6"/>
        </w:numPr>
        <w:tabs>
          <w:tab w:val="left" w:pos="900"/>
        </w:tabs>
        <w:spacing w:line="360" w:lineRule="auto"/>
        <w:ind w:leftChars="200" w:firstLine="480"/>
        <w:rPr>
          <w:rFonts w:ascii="宋体"/>
          <w:sz w:val="24"/>
          <w:szCs w:val="24"/>
          <w:highlight w:val="none"/>
        </w:rPr>
      </w:pPr>
      <w:r>
        <w:rPr>
          <w:rFonts w:hint="eastAsia" w:ascii="宋体"/>
          <w:sz w:val="24"/>
          <w:szCs w:val="24"/>
          <w:highlight w:val="none"/>
        </w:rPr>
        <w:t>确认项目实施</w:t>
      </w:r>
      <w:r>
        <w:rPr>
          <w:rFonts w:ascii="宋体"/>
          <w:sz w:val="24"/>
          <w:szCs w:val="24"/>
          <w:highlight w:val="none"/>
        </w:rPr>
        <w:t>方案</w:t>
      </w:r>
      <w:r>
        <w:rPr>
          <w:rFonts w:hint="eastAsia" w:ascii="宋体"/>
          <w:sz w:val="24"/>
          <w:szCs w:val="24"/>
          <w:highlight w:val="none"/>
        </w:rPr>
        <w:t>；</w:t>
      </w:r>
    </w:p>
    <w:p>
      <w:pPr>
        <w:numPr>
          <w:ilvl w:val="0"/>
          <w:numId w:val="6"/>
        </w:numPr>
        <w:tabs>
          <w:tab w:val="left" w:pos="900"/>
        </w:tabs>
        <w:spacing w:line="360" w:lineRule="auto"/>
        <w:ind w:leftChars="200" w:firstLine="480"/>
        <w:rPr>
          <w:rFonts w:ascii="宋体"/>
          <w:sz w:val="24"/>
          <w:szCs w:val="24"/>
          <w:highlight w:val="none"/>
        </w:rPr>
      </w:pPr>
      <w:r>
        <w:rPr>
          <w:rFonts w:hint="eastAsia" w:ascii="宋体"/>
          <w:sz w:val="24"/>
          <w:szCs w:val="24"/>
          <w:highlight w:val="none"/>
        </w:rPr>
        <w:t>确认项目进度</w:t>
      </w:r>
      <w:r>
        <w:rPr>
          <w:rFonts w:ascii="宋体"/>
          <w:sz w:val="24"/>
          <w:szCs w:val="24"/>
          <w:highlight w:val="none"/>
        </w:rPr>
        <w:t>计划和关键里程碑；</w:t>
      </w:r>
    </w:p>
    <w:p>
      <w:pPr>
        <w:numPr>
          <w:ilvl w:val="0"/>
          <w:numId w:val="6"/>
        </w:numPr>
        <w:tabs>
          <w:tab w:val="left" w:pos="900"/>
        </w:tabs>
        <w:spacing w:line="360" w:lineRule="auto"/>
        <w:ind w:leftChars="200" w:firstLine="480"/>
        <w:rPr>
          <w:rFonts w:ascii="宋体"/>
          <w:sz w:val="24"/>
          <w:szCs w:val="24"/>
          <w:highlight w:val="none"/>
        </w:rPr>
      </w:pPr>
      <w:r>
        <w:rPr>
          <w:rFonts w:hint="eastAsia" w:ascii="宋体"/>
          <w:sz w:val="24"/>
          <w:szCs w:val="24"/>
          <w:highlight w:val="none"/>
        </w:rPr>
        <w:t>确认项目</w:t>
      </w:r>
      <w:r>
        <w:rPr>
          <w:rFonts w:ascii="宋体"/>
          <w:sz w:val="24"/>
          <w:szCs w:val="24"/>
          <w:highlight w:val="none"/>
        </w:rPr>
        <w:t>成果</w:t>
      </w:r>
      <w:r>
        <w:rPr>
          <w:rFonts w:hint="eastAsia" w:ascii="宋体"/>
          <w:sz w:val="24"/>
          <w:szCs w:val="24"/>
          <w:highlight w:val="none"/>
        </w:rPr>
        <w:t>开发</w:t>
      </w:r>
      <w:r>
        <w:rPr>
          <w:rFonts w:ascii="宋体"/>
          <w:sz w:val="24"/>
          <w:szCs w:val="24"/>
          <w:highlight w:val="none"/>
        </w:rPr>
        <w:t>思路和成果质量</w:t>
      </w:r>
      <w:r>
        <w:rPr>
          <w:rFonts w:hint="eastAsia" w:ascii="宋体"/>
          <w:sz w:val="24"/>
          <w:szCs w:val="24"/>
          <w:highlight w:val="none"/>
        </w:rPr>
        <w:t>要求；</w:t>
      </w:r>
    </w:p>
    <w:p>
      <w:pPr>
        <w:pStyle w:val="18"/>
        <w:numPr>
          <w:ilvl w:val="1"/>
          <w:numId w:val="3"/>
        </w:numPr>
        <w:ind w:firstLine="562"/>
        <w:outlineLvl w:val="1"/>
        <w:rPr>
          <w:b/>
          <w:sz w:val="28"/>
          <w:highlight w:val="none"/>
        </w:rPr>
      </w:pPr>
      <w:r>
        <w:rPr>
          <w:rFonts w:hint="eastAsia"/>
          <w:b/>
          <w:sz w:val="28"/>
          <w:highlight w:val="none"/>
        </w:rPr>
        <w:t>评审与验收</w:t>
      </w:r>
    </w:p>
    <w:p>
      <w:pPr>
        <w:numPr>
          <w:ilvl w:val="2"/>
          <w:numId w:val="7"/>
        </w:numPr>
        <w:spacing w:line="360" w:lineRule="auto"/>
        <w:ind w:firstLine="480"/>
        <w:rPr>
          <w:rFonts w:ascii="宋体"/>
          <w:sz w:val="24"/>
          <w:szCs w:val="24"/>
          <w:highlight w:val="none"/>
        </w:rPr>
      </w:pPr>
      <w:r>
        <w:rPr>
          <w:rFonts w:hint="eastAsia" w:ascii="宋体"/>
          <w:sz w:val="24"/>
          <w:szCs w:val="24"/>
          <w:highlight w:val="none"/>
        </w:rPr>
        <w:t>投标方应负责在项目验收时将项目的全部有关技术文件、目标代码</w:t>
      </w:r>
      <w:r>
        <w:rPr>
          <w:rFonts w:ascii="宋体"/>
          <w:sz w:val="24"/>
          <w:szCs w:val="24"/>
          <w:highlight w:val="none"/>
        </w:rPr>
        <w:t>文件、项目资料</w:t>
      </w:r>
      <w:r>
        <w:rPr>
          <w:rFonts w:hint="eastAsia" w:ascii="宋体"/>
          <w:sz w:val="24"/>
          <w:szCs w:val="24"/>
          <w:highlight w:val="none"/>
        </w:rPr>
        <w:t>等文档汇集成册或者另存到U盘中交付给招标方。</w:t>
      </w:r>
    </w:p>
    <w:p>
      <w:pPr>
        <w:numPr>
          <w:ilvl w:val="2"/>
          <w:numId w:val="7"/>
        </w:numPr>
        <w:spacing w:line="360" w:lineRule="auto"/>
        <w:ind w:firstLine="480"/>
        <w:rPr>
          <w:rFonts w:ascii="宋体"/>
          <w:sz w:val="24"/>
          <w:szCs w:val="24"/>
          <w:highlight w:val="none"/>
        </w:rPr>
      </w:pPr>
      <w:r>
        <w:rPr>
          <w:rFonts w:ascii="宋体"/>
          <w:sz w:val="24"/>
          <w:szCs w:val="24"/>
          <w:highlight w:val="none"/>
        </w:rPr>
        <w:t>招标方可根据合同及招标书和招标方的有关规定进行修改和补充,经双方确认后形成验收文件作为验收依据。验收</w:t>
      </w:r>
      <w:r>
        <w:rPr>
          <w:rFonts w:hint="eastAsia" w:ascii="宋体"/>
          <w:sz w:val="24"/>
          <w:szCs w:val="24"/>
          <w:highlight w:val="none"/>
        </w:rPr>
        <w:t>评审</w:t>
      </w:r>
      <w:r>
        <w:rPr>
          <w:rFonts w:ascii="宋体"/>
          <w:sz w:val="24"/>
          <w:szCs w:val="24"/>
          <w:highlight w:val="none"/>
        </w:rPr>
        <w:t>合格后5</w:t>
      </w:r>
      <w:r>
        <w:rPr>
          <w:rFonts w:hint="eastAsia" w:ascii="宋体"/>
          <w:sz w:val="24"/>
          <w:szCs w:val="24"/>
          <w:highlight w:val="none"/>
        </w:rPr>
        <w:t>日内，若无问题，经</w:t>
      </w:r>
      <w:r>
        <w:rPr>
          <w:rFonts w:ascii="宋体"/>
          <w:sz w:val="24"/>
          <w:szCs w:val="24"/>
          <w:highlight w:val="none"/>
        </w:rPr>
        <w:t>双方</w:t>
      </w:r>
      <w:r>
        <w:rPr>
          <w:rFonts w:hint="eastAsia" w:ascii="宋体"/>
          <w:sz w:val="24"/>
          <w:szCs w:val="24"/>
          <w:highlight w:val="none"/>
        </w:rPr>
        <w:t>确认后</w:t>
      </w:r>
      <w:r>
        <w:rPr>
          <w:rFonts w:ascii="宋体"/>
          <w:sz w:val="24"/>
          <w:szCs w:val="24"/>
          <w:highlight w:val="none"/>
        </w:rPr>
        <w:t>，签署最终验收文件。</w:t>
      </w:r>
    </w:p>
    <w:p>
      <w:pPr>
        <w:pStyle w:val="18"/>
        <w:numPr>
          <w:ilvl w:val="1"/>
          <w:numId w:val="3"/>
        </w:numPr>
        <w:ind w:firstLine="562"/>
        <w:outlineLvl w:val="1"/>
        <w:rPr>
          <w:b/>
          <w:sz w:val="28"/>
          <w:highlight w:val="none"/>
        </w:rPr>
      </w:pPr>
      <w:r>
        <w:rPr>
          <w:rFonts w:hint="eastAsia"/>
          <w:b/>
          <w:sz w:val="28"/>
          <w:highlight w:val="none"/>
        </w:rPr>
        <w:t>技术资料和文件</w:t>
      </w:r>
    </w:p>
    <w:p>
      <w:pPr>
        <w:numPr>
          <w:ilvl w:val="2"/>
          <w:numId w:val="8"/>
        </w:numPr>
        <w:spacing w:line="360" w:lineRule="auto"/>
        <w:ind w:firstLine="480"/>
        <w:rPr>
          <w:rFonts w:ascii="宋体"/>
          <w:sz w:val="24"/>
          <w:szCs w:val="24"/>
          <w:highlight w:val="none"/>
        </w:rPr>
      </w:pPr>
      <w:r>
        <w:rPr>
          <w:rFonts w:hint="eastAsia" w:ascii="宋体"/>
          <w:sz w:val="24"/>
          <w:szCs w:val="24"/>
          <w:highlight w:val="none"/>
        </w:rPr>
        <w:t>投标方提供的文件和资料应能满足招标方进行维护和进一步完善的需要。</w:t>
      </w:r>
    </w:p>
    <w:p>
      <w:pPr>
        <w:numPr>
          <w:ilvl w:val="2"/>
          <w:numId w:val="8"/>
        </w:numPr>
        <w:spacing w:line="360" w:lineRule="auto"/>
        <w:ind w:firstLine="480"/>
        <w:rPr>
          <w:rFonts w:ascii="宋体"/>
          <w:sz w:val="24"/>
          <w:szCs w:val="24"/>
          <w:highlight w:val="none"/>
        </w:rPr>
      </w:pPr>
      <w:r>
        <w:rPr>
          <w:rFonts w:hint="eastAsia" w:ascii="宋体"/>
          <w:sz w:val="24"/>
          <w:szCs w:val="24"/>
          <w:highlight w:val="none"/>
        </w:rPr>
        <w:t>提供的图纸应符合标准规格。</w:t>
      </w:r>
    </w:p>
    <w:p>
      <w:pPr>
        <w:numPr>
          <w:ilvl w:val="2"/>
          <w:numId w:val="8"/>
        </w:numPr>
        <w:spacing w:line="360" w:lineRule="auto"/>
        <w:ind w:firstLine="480"/>
        <w:rPr>
          <w:rFonts w:ascii="宋体"/>
          <w:sz w:val="24"/>
          <w:szCs w:val="24"/>
          <w:highlight w:val="none"/>
        </w:rPr>
      </w:pPr>
      <w:r>
        <w:rPr>
          <w:rFonts w:hint="eastAsia" w:ascii="宋体"/>
          <w:sz w:val="24"/>
          <w:szCs w:val="24"/>
          <w:highlight w:val="none"/>
        </w:rPr>
        <w:t>投标方应向招标方提供项目的所有交付物（电子版）。</w:t>
      </w:r>
    </w:p>
    <w:p>
      <w:pPr>
        <w:pStyle w:val="18"/>
        <w:numPr>
          <w:ilvl w:val="1"/>
          <w:numId w:val="3"/>
        </w:numPr>
        <w:ind w:firstLine="562"/>
        <w:outlineLvl w:val="1"/>
        <w:rPr>
          <w:b/>
          <w:sz w:val="28"/>
          <w:highlight w:val="none"/>
        </w:rPr>
      </w:pPr>
      <w:r>
        <w:rPr>
          <w:rFonts w:hint="eastAsia"/>
          <w:b/>
          <w:sz w:val="28"/>
          <w:highlight w:val="none"/>
        </w:rPr>
        <w:t>售后服务</w:t>
      </w:r>
    </w:p>
    <w:p>
      <w:pPr>
        <w:numPr>
          <w:ilvl w:val="2"/>
          <w:numId w:val="9"/>
        </w:numPr>
        <w:spacing w:line="360" w:lineRule="auto"/>
        <w:ind w:firstLine="480"/>
        <w:rPr>
          <w:rFonts w:ascii="宋体"/>
          <w:sz w:val="24"/>
          <w:szCs w:val="24"/>
          <w:highlight w:val="none"/>
        </w:rPr>
      </w:pPr>
      <w:r>
        <w:rPr>
          <w:rFonts w:ascii="宋体"/>
          <w:sz w:val="24"/>
          <w:szCs w:val="24"/>
          <w:highlight w:val="none"/>
        </w:rPr>
        <w:t>合同签订后，响应</w:t>
      </w:r>
      <w:bookmarkStart w:id="38" w:name="_Toc103761492"/>
      <w:bookmarkStart w:id="39" w:name="_Toc110765302"/>
      <w:bookmarkStart w:id="40" w:name="_Toc72320160"/>
      <w:r>
        <w:rPr>
          <w:rFonts w:ascii="宋体"/>
          <w:sz w:val="24"/>
          <w:szCs w:val="24"/>
          <w:highlight w:val="none"/>
        </w:rPr>
        <w:t>方应指定负责本项目的项目经理，负责协调项目实施全过程的各项工作，如项目进度、测试验收等。</w:t>
      </w:r>
    </w:p>
    <w:bookmarkEnd w:id="38"/>
    <w:bookmarkEnd w:id="39"/>
    <w:bookmarkEnd w:id="40"/>
    <w:p>
      <w:pPr>
        <w:numPr>
          <w:ilvl w:val="0"/>
          <w:numId w:val="0"/>
        </w:numPr>
        <w:spacing w:line="360" w:lineRule="auto"/>
        <w:jc w:val="both"/>
        <w:rPr>
          <w:rFonts w:hint="eastAsia" w:ascii="宋体"/>
          <w:sz w:val="24"/>
          <w:szCs w:val="24"/>
          <w:highlight w:val="none"/>
        </w:rPr>
      </w:pPr>
    </w:p>
    <w:bookmarkEnd w:id="34"/>
    <w:bookmarkEnd w:id="35"/>
    <w:p>
      <w:pPr>
        <w:rPr>
          <w:highlight w:val="none"/>
        </w:rPr>
      </w:pPr>
    </w:p>
    <w:p>
      <w:pPr>
        <w:rPr>
          <w:highlight w:val="none"/>
        </w:rPr>
      </w:pPr>
    </w:p>
    <w:p>
      <w:pPr>
        <w:rPr>
          <w:highlight w:val="none"/>
        </w:rPr>
      </w:pPr>
    </w:p>
    <w:p>
      <w:pPr>
        <w:tabs>
          <w:tab w:val="left" w:pos="620"/>
        </w:tabs>
        <w:rPr>
          <w:highlight w:val="none"/>
        </w:rPr>
      </w:pPr>
    </w:p>
    <w:p>
      <w:pPr>
        <w:tabs>
          <w:tab w:val="left" w:pos="620"/>
        </w:tabs>
        <w:rPr>
          <w:highlight w:val="none"/>
        </w:rPr>
      </w:pPr>
    </w:p>
    <w:sectPr>
      <w:headerReference r:id="rId11" w:type="default"/>
      <w:footerReference r:id="rId12"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2000000000000000000"/>
    <w:charset w:val="86"/>
    <w:family w:val="script"/>
    <w:pitch w:val="default"/>
    <w:sig w:usb0="00000000" w:usb1="00000000"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8"/>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8"/>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4E29DD"/>
    <w:multiLevelType w:val="multilevel"/>
    <w:tmpl w:val="2A4E29DD"/>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5.%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3FB714FA"/>
    <w:multiLevelType w:val="multilevel"/>
    <w:tmpl w:val="3FB714F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47ED111B"/>
    <w:multiLevelType w:val="multilevel"/>
    <w:tmpl w:val="47ED111B"/>
    <w:lvl w:ilvl="0" w:tentative="0">
      <w:start w:val="1"/>
      <w:numFmt w:val="decimal"/>
      <w:lvlText w:val="%1"/>
      <w:lvlJc w:val="left"/>
      <w:pPr>
        <w:ind w:left="425" w:hanging="425"/>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50C907CD"/>
    <w:multiLevelType w:val="multilevel"/>
    <w:tmpl w:val="50C907CD"/>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4.%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4">
    <w:nsid w:val="643C2BD9"/>
    <w:multiLevelType w:val="multilevel"/>
    <w:tmpl w:val="643C2BD9"/>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3.%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5">
    <w:nsid w:val="687638B3"/>
    <w:multiLevelType w:val="multilevel"/>
    <w:tmpl w:val="687638B3"/>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1.%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6">
    <w:nsid w:val="77E84E74"/>
    <w:multiLevelType w:val="multilevel"/>
    <w:tmpl w:val="77E84E74"/>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2.%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7">
    <w:nsid w:val="78925966"/>
    <w:multiLevelType w:val="multilevel"/>
    <w:tmpl w:val="78925966"/>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7FF83345"/>
    <w:multiLevelType w:val="multilevel"/>
    <w:tmpl w:val="7FF83345"/>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7"/>
  </w:num>
  <w:num w:numId="2">
    <w:abstractNumId w:val="8"/>
  </w:num>
  <w:num w:numId="3">
    <w:abstractNumId w:val="2"/>
  </w:num>
  <w:num w:numId="4">
    <w:abstractNumId w:val="5"/>
  </w:num>
  <w:num w:numId="5">
    <w:abstractNumId w:val="6"/>
  </w:num>
  <w:num w:numId="6">
    <w:abstractNumId w:val="1"/>
  </w:num>
  <w:num w:numId="7">
    <w:abstractNumId w:val="4"/>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2B4ED7"/>
    <w:rsid w:val="011E4FB6"/>
    <w:rsid w:val="034A3CBA"/>
    <w:rsid w:val="03546B88"/>
    <w:rsid w:val="06EB2968"/>
    <w:rsid w:val="092B20EA"/>
    <w:rsid w:val="0A374116"/>
    <w:rsid w:val="0CC30D92"/>
    <w:rsid w:val="0D7D0D2D"/>
    <w:rsid w:val="0DA91EF6"/>
    <w:rsid w:val="0DC82606"/>
    <w:rsid w:val="0F7C625A"/>
    <w:rsid w:val="0FE33A04"/>
    <w:rsid w:val="11CE39C4"/>
    <w:rsid w:val="121D321C"/>
    <w:rsid w:val="12A82D8D"/>
    <w:rsid w:val="1314007C"/>
    <w:rsid w:val="13364FE1"/>
    <w:rsid w:val="15FB245A"/>
    <w:rsid w:val="173333D3"/>
    <w:rsid w:val="177702C9"/>
    <w:rsid w:val="19180A3C"/>
    <w:rsid w:val="1B34633E"/>
    <w:rsid w:val="1B507395"/>
    <w:rsid w:val="1D7309F5"/>
    <w:rsid w:val="201B31FC"/>
    <w:rsid w:val="255859F2"/>
    <w:rsid w:val="25E86C42"/>
    <w:rsid w:val="26BB530E"/>
    <w:rsid w:val="2A2B4ED7"/>
    <w:rsid w:val="2B0032AF"/>
    <w:rsid w:val="2C79468E"/>
    <w:rsid w:val="2CD05FAA"/>
    <w:rsid w:val="2FD129C6"/>
    <w:rsid w:val="36B349A1"/>
    <w:rsid w:val="375827FB"/>
    <w:rsid w:val="37B620F4"/>
    <w:rsid w:val="37E21929"/>
    <w:rsid w:val="37FE2FC7"/>
    <w:rsid w:val="38552E76"/>
    <w:rsid w:val="39191668"/>
    <w:rsid w:val="397E65C4"/>
    <w:rsid w:val="3C2A4B41"/>
    <w:rsid w:val="40484947"/>
    <w:rsid w:val="41864C1E"/>
    <w:rsid w:val="47E00BAC"/>
    <w:rsid w:val="480510B4"/>
    <w:rsid w:val="49493CCA"/>
    <w:rsid w:val="49763C8D"/>
    <w:rsid w:val="4A26606C"/>
    <w:rsid w:val="4A4C6B82"/>
    <w:rsid w:val="4B033950"/>
    <w:rsid w:val="4BC40397"/>
    <w:rsid w:val="4C2B622B"/>
    <w:rsid w:val="4FBC268B"/>
    <w:rsid w:val="53A035B3"/>
    <w:rsid w:val="53B462B4"/>
    <w:rsid w:val="55133AAF"/>
    <w:rsid w:val="558F386D"/>
    <w:rsid w:val="5C4A2E02"/>
    <w:rsid w:val="5DAE2DC0"/>
    <w:rsid w:val="63A55DE1"/>
    <w:rsid w:val="67073BEF"/>
    <w:rsid w:val="68803319"/>
    <w:rsid w:val="69344026"/>
    <w:rsid w:val="6AB703CC"/>
    <w:rsid w:val="6C7248CD"/>
    <w:rsid w:val="6D311697"/>
    <w:rsid w:val="6D5670BE"/>
    <w:rsid w:val="6FE5719A"/>
    <w:rsid w:val="710E0ED0"/>
    <w:rsid w:val="71E55B3A"/>
    <w:rsid w:val="72F571E2"/>
    <w:rsid w:val="73F9363E"/>
    <w:rsid w:val="74A470FC"/>
    <w:rsid w:val="75C36566"/>
    <w:rsid w:val="76E56E2D"/>
    <w:rsid w:val="78090CD5"/>
    <w:rsid w:val="784865D1"/>
    <w:rsid w:val="78663DD9"/>
    <w:rsid w:val="7919798C"/>
    <w:rsid w:val="7B504D1D"/>
    <w:rsid w:val="7B6316B6"/>
    <w:rsid w:val="7CB9029A"/>
    <w:rsid w:val="7E794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Calibri" w:hAnsi="Calibri" w:eastAsia="宋体" w:cs="黑体"/>
      <w:kern w:val="2"/>
      <w:sz w:val="24"/>
      <w:szCs w:val="22"/>
      <w:lang w:val="en-US" w:eastAsia="zh-CN" w:bidi="ar-SA"/>
    </w:rPr>
  </w:style>
  <w:style w:type="paragraph" w:styleId="4">
    <w:name w:val="heading 1"/>
    <w:basedOn w:val="1"/>
    <w:next w:val="1"/>
    <w:link w:val="16"/>
    <w:qFormat/>
    <w:uiPriority w:val="0"/>
    <w:pPr>
      <w:keepNext/>
      <w:keepLines/>
      <w:tabs>
        <w:tab w:val="left" w:pos="620"/>
      </w:tabs>
      <w:spacing w:before="340" w:beforeLines="0" w:beforeAutospacing="0" w:after="330" w:afterLines="0" w:afterAutospacing="0" w:line="576" w:lineRule="auto"/>
      <w:outlineLvl w:val="0"/>
    </w:pPr>
    <w:rPr>
      <w:rFonts w:ascii="Times New Roman" w:hAnsi="Times New Roman" w:eastAsia="黑体" w:cs="Times New Roman"/>
      <w:b/>
      <w:kern w:val="44"/>
      <w:sz w:val="30"/>
    </w:rPr>
  </w:style>
  <w:style w:type="paragraph" w:styleId="5">
    <w:name w:val="heading 2"/>
    <w:basedOn w:val="1"/>
    <w:next w:val="1"/>
    <w:semiHidden/>
    <w:unhideWhenUsed/>
    <w:qFormat/>
    <w:uiPriority w:val="0"/>
    <w:pPr>
      <w:keepNext/>
      <w:keepLines/>
      <w:tabs>
        <w:tab w:val="left" w:pos="620"/>
      </w:tabs>
      <w:spacing w:before="260" w:beforeLines="0" w:beforeAutospacing="0" w:after="260" w:afterLines="0" w:afterAutospacing="0" w:line="413" w:lineRule="auto"/>
      <w:outlineLvl w:val="1"/>
    </w:pPr>
    <w:rPr>
      <w:rFonts w:ascii="Arial" w:hAnsi="Arial" w:eastAsia="黑体" w:cs="Times New Roman"/>
      <w:b/>
      <w:sz w:val="28"/>
    </w:rPr>
  </w:style>
  <w:style w:type="paragraph" w:styleId="6">
    <w:name w:val="heading 3"/>
    <w:basedOn w:val="1"/>
    <w:next w:val="1"/>
    <w:semiHidden/>
    <w:unhideWhenUsed/>
    <w:qFormat/>
    <w:uiPriority w:val="0"/>
    <w:pPr>
      <w:keepNext/>
      <w:keepLines/>
      <w:tabs>
        <w:tab w:val="left" w:pos="620"/>
      </w:tabs>
      <w:adjustRightInd w:val="0"/>
      <w:spacing w:before="260" w:after="260" w:line="416" w:lineRule="atLeast"/>
      <w:textAlignment w:val="baseline"/>
      <w:outlineLvl w:val="2"/>
    </w:pPr>
    <w:rPr>
      <w:rFonts w:eastAsia="黑体" w:cs="Times New Roman"/>
      <w:b/>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tabs>
        <w:tab w:val="left" w:pos="620"/>
      </w:tabs>
      <w:spacing w:line="560" w:lineRule="exact"/>
      <w:ind w:firstLine="200" w:firstLineChars="200"/>
    </w:pPr>
    <w:rPr>
      <w:rFonts w:ascii="方正小标宋_GBK" w:hAnsi="方正小标宋_GBK" w:eastAsia="宋体" w:cs="方正小标宋_GBK"/>
      <w:szCs w:val="44"/>
    </w:rPr>
  </w:style>
  <w:style w:type="paragraph" w:styleId="3">
    <w:name w:val="Title"/>
    <w:basedOn w:val="1"/>
    <w:next w:val="1"/>
    <w:qFormat/>
    <w:uiPriority w:val="0"/>
    <w:pPr>
      <w:tabs>
        <w:tab w:val="left" w:pos="620"/>
      </w:tabs>
      <w:spacing w:before="240" w:beforeLines="0" w:beforeAutospacing="0" w:after="60" w:afterLines="0" w:afterAutospacing="0"/>
      <w:jc w:val="center"/>
      <w:outlineLvl w:val="0"/>
    </w:pPr>
    <w:rPr>
      <w:rFonts w:ascii="Arial" w:hAnsi="Arial"/>
      <w:sz w:val="32"/>
    </w:rPr>
  </w:style>
  <w:style w:type="paragraph" w:styleId="7">
    <w:name w:val="Body Text Indent"/>
    <w:basedOn w:val="1"/>
    <w:qFormat/>
    <w:uiPriority w:val="0"/>
    <w:pPr>
      <w:tabs>
        <w:tab w:val="left" w:pos="620"/>
      </w:tabs>
      <w:spacing w:after="120" w:afterLines="0" w:afterAutospacing="0"/>
      <w:ind w:left="420" w:leftChars="200"/>
    </w:pPr>
  </w:style>
  <w:style w:type="paragraph" w:styleId="8">
    <w:name w:val="footer"/>
    <w:basedOn w:val="1"/>
    <w:unhideWhenUsed/>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10">
    <w:name w:val="toc 2"/>
    <w:basedOn w:val="1"/>
    <w:next w:val="1"/>
    <w:qFormat/>
    <w:uiPriority w:val="0"/>
    <w:pPr>
      <w:widowControl/>
      <w:spacing w:after="100" w:line="276" w:lineRule="auto"/>
      <w:ind w:left="220"/>
      <w:jc w:val="left"/>
    </w:pPr>
    <w:rPr>
      <w:rFonts w:ascii="Calibri" w:hAnsi="Calibri"/>
      <w:kern w:val="0"/>
      <w:sz w:val="22"/>
      <w:szCs w:val="22"/>
    </w:rPr>
  </w:style>
  <w:style w:type="paragraph" w:styleId="11">
    <w:name w:val="Body Text First Indent"/>
    <w:basedOn w:val="2"/>
    <w:qFormat/>
    <w:uiPriority w:val="0"/>
    <w:pPr>
      <w:ind w:firstLine="420" w:firstLineChars="100"/>
    </w:pPr>
  </w:style>
  <w:style w:type="paragraph" w:styleId="12">
    <w:name w:val="Body Text First Indent 2"/>
    <w:basedOn w:val="7"/>
    <w:qFormat/>
    <w:uiPriority w:val="0"/>
    <w:pPr>
      <w:ind w:firstLine="420" w:firstLineChars="200"/>
    </w:pPr>
  </w:style>
  <w:style w:type="character" w:styleId="15">
    <w:name w:val="Strong"/>
    <w:basedOn w:val="14"/>
    <w:qFormat/>
    <w:uiPriority w:val="0"/>
    <w:rPr>
      <w:b/>
    </w:rPr>
  </w:style>
  <w:style w:type="character" w:customStyle="1" w:styleId="16">
    <w:name w:val="标题 1 字符"/>
    <w:link w:val="4"/>
    <w:qFormat/>
    <w:uiPriority w:val="0"/>
    <w:rPr>
      <w:rFonts w:ascii="Times New Roman" w:hAnsi="Times New Roman" w:eastAsia="黑体" w:cs="Times New Roman"/>
      <w:b/>
      <w:bCs/>
      <w:kern w:val="44"/>
      <w:sz w:val="30"/>
      <w:szCs w:val="44"/>
    </w:rPr>
  </w:style>
  <w:style w:type="paragraph" w:customStyle="1" w:styleId="17">
    <w:name w:val="WPSOffice手动目录 1"/>
    <w:qFormat/>
    <w:uiPriority w:val="0"/>
    <w:rPr>
      <w:rFonts w:ascii="Calibri" w:hAnsi="Calibri" w:eastAsia="宋体" w:cs="Times New Roman"/>
      <w:lang w:val="en-US" w:eastAsia="zh-CN" w:bidi="ar-SA"/>
    </w:rPr>
  </w:style>
  <w:style w:type="paragraph" w:customStyle="1" w:styleId="18">
    <w:name w:val="样式2"/>
    <w:basedOn w:val="1"/>
    <w:qFormat/>
    <w:uiPriority w:val="0"/>
    <w:pPr>
      <w:spacing w:line="360" w:lineRule="auto"/>
    </w:pPr>
    <w:rPr>
      <w:rFonts w:ascii="宋体"/>
      <w:sz w:val="24"/>
      <w:szCs w:val="24"/>
    </w:rPr>
  </w:style>
  <w:style w:type="paragraph" w:customStyle="1" w:styleId="19">
    <w:name w:val="自编正文"/>
    <w:basedOn w:val="1"/>
    <w:qFormat/>
    <w:uiPriority w:val="0"/>
    <w:pPr>
      <w:spacing w:line="560" w:lineRule="exact"/>
      <w:ind w:firstLine="200" w:firstLineChars="200"/>
    </w:pPr>
    <w:rPr>
      <w:rFonts w:eastAsia="方正仿宋_GBK"/>
      <w:sz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3200</Words>
  <Characters>3384</Characters>
  <Lines>0</Lines>
  <Paragraphs>0</Paragraphs>
  <TotalTime>50</TotalTime>
  <ScaleCrop>false</ScaleCrop>
  <LinksUpToDate>false</LinksUpToDate>
  <CharactersWithSpaces>3440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2025-10-14T08:25:00Z</dcterms:created>
  <dc:creator>左边口袋</dc:creator>
  <cp:lastModifiedBy>lizihang.bs</cp:lastModifiedBy>
  <dcterms:modified xsi:type="dcterms:W3CDTF">2026-01-09T02:35:00Z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B177E350D20D4FC79791B07283ED1CBB_11</vt:lpwstr>
  </property>
  <property fmtid="{D5CDD505-2E9C-101B-9397-08002B2CF9AE}" pid="4" name="KSOTemplateDocerSaveRecord">
    <vt:lpwstr>eyJoZGlkIjoiMzA5MjY5OTJlNzhlN2U5NjJmOTgyZjJkODE4NjIwN2MiLCJ1c2VySWQiOiI0NTE4NzM2NjcifQ==</vt:lpwstr>
  </property>
</Properties>
</file>