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color w:val="auto"/>
          <w:sz w:val="36"/>
          <w:szCs w:val="20"/>
        </w:rPr>
      </w:pPr>
      <w:r>
        <w:rPr>
          <w:color w:val="auto"/>
        </w:rP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w:rPr>
          <w:color w:val="auto"/>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r>
        <w:rPr>
          <w:rFonts w:hint="eastAsia" w:ascii="Times New Roman" w:hAnsi="Times New Roman" w:eastAsia="仿宋_GB2312" w:cs="Times New Roman"/>
          <w:b/>
          <w:color w:val="auto"/>
          <w:sz w:val="36"/>
          <w:szCs w:val="20"/>
        </w:rPr>
        <w:t xml:space="preserve">  </w:t>
      </w:r>
    </w:p>
    <w:p>
      <w:pPr>
        <w:spacing w:before="1560" w:beforeLines="500" w:line="240" w:lineRule="auto"/>
        <w:ind w:firstLine="0" w:firstLineChars="0"/>
        <w:jc w:val="left"/>
        <w:rPr>
          <w:rFonts w:hint="eastAsia" w:ascii="Times New Roman" w:hAnsi="Times New Roman" w:eastAsia="仿宋_GB2312" w:cs="Times New Roman"/>
          <w:b/>
          <w:color w:val="auto"/>
          <w:sz w:val="36"/>
          <w:szCs w:val="20"/>
        </w:rPr>
      </w:pPr>
      <w:r>
        <w:rPr>
          <w:color w:val="auto"/>
        </w:rP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254635</wp:posOffset>
                </wp:positionV>
                <wp:extent cx="5894070"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894070" cy="1395730"/>
                        </a:xfrm>
                        <a:prstGeom prst="rect">
                          <a:avLst/>
                        </a:prstGeom>
                        <a:noFill/>
                        <a:ln>
                          <a:noFill/>
                        </a:ln>
                        <a:effectLst/>
                      </wps:spPr>
                      <wps:txbx>
                        <w:txbxContent>
                          <w:p>
                            <w:pPr>
                              <w:ind w:left="0" w:leftChars="0" w:firstLine="0" w:firstLineChars="0"/>
                              <w:rPr>
                                <w:rFonts w:hint="eastAsia" w:ascii="微软雅黑" w:hAnsi="微软雅黑" w:eastAsia="微软雅黑" w:cs="微软雅黑"/>
                                <w:sz w:val="52"/>
                                <w:szCs w:val="52"/>
                                <w:lang w:val="en-US" w:eastAsia="zh-CN"/>
                              </w:rPr>
                            </w:pPr>
                            <w:r>
                              <w:rPr>
                                <w:rFonts w:hint="eastAsia" w:ascii="微软雅黑" w:hAnsi="微软雅黑" w:eastAsia="微软雅黑" w:cs="微软雅黑"/>
                                <w:b w:val="0"/>
                                <w:bCs w:val="0"/>
                                <w:sz w:val="52"/>
                                <w:szCs w:val="52"/>
                                <w:highlight w:val="none"/>
                                <w:u w:val="none"/>
                                <w:lang w:val="en-US" w:eastAsia="zh-CN"/>
                              </w:rPr>
                              <w:t>低压配电箱低压刀闸及接地刀闸一体化</w:t>
                            </w:r>
                          </w:p>
                        </w:txbxContent>
                      </wps:txbx>
                      <wps:bodyPr upright="1"/>
                    </wps:wsp>
                  </a:graphicData>
                </a:graphic>
              </wp:anchor>
            </w:drawing>
          </mc:Choice>
          <mc:Fallback>
            <w:pict>
              <v:shape id="_x0000_s1026" o:spid="_x0000_s1026" o:spt="202" type="#_x0000_t202" style="position:absolute;left:0pt;margin-left:-11.5pt;margin-top:20.05pt;height:109.9pt;width:464.1pt;z-index:251660288;mso-width-relative:page;mso-height-relative:page;" filled="f" stroked="f" coordsize="21600,21600" o:gfxdata="UEsDBAoAAAAAAIdO4kAAAAAAAAAAAAAAAAAEAAAAZHJzL1BLAwQUAAAACACHTuJAwb4OLtgAAAAK&#10;AQAADwAAAGRycy9kb3ducmV2LnhtbE2PwU7DMBBE70j8g7VI3Fo7oalIyKYHEFcQbUHi5sbbJCJe&#10;R7HbhL/HPZXjaEYzb8rNbHtxptF3jhGSpQJBXDvTcYOw370uHkH4oNno3jEh/JKHTXV7U+rCuIk/&#10;6LwNjYgl7AuN0IYwFFL6uiWr/dINxNE7utHqEOXYSDPqKZbbXqZKraXVHceFVg/03FL9sz1ZhM+3&#10;4/fXSr03LzYbJjcryTaXiPd3iXoCEWgO1zBc8CM6VJHp4E5svOgRFulD/BIQVioBEQO5ylIQB4Q0&#10;y3OQVSn/X6j+AFBLAwQUAAAACACHTuJAOy11abQBAABdAwAADgAAAGRycy9lMm9Eb2MueG1srVNL&#10;btswEN0X6B0I7mvKidMkguUAgZFuirZA0gPQ1NAiwB9I2pIv0N6gq26677l8jg4pxU3TTRbZUMOZ&#10;4Zt5b0bLm8FosocQlbMNnc8qSsAK1yq7bejXh7t3V5TExG3LtbPQ0ANEerN6+2bZ+xrOXOd0C4Eg&#10;iI117xvapeRrxqLowPA4cx4sBqULhie8hi1rA+8R3Wh2VlXvWe9C64MTECN612OQTojhJYBOSiVg&#10;7cTOgE0jagDNE1KKnfKRrkq3UoJIn6WMkIhuKDJN5cQiaG/yyVZLXm8D950SUwv8JS0842S4slj0&#10;BLXmiZNdUP9BGSWCi06mmXCGjUSKIshiXj3T5r7jHgoXlDr6k+jx9WDFp/2XQFTb0AUllhsc+PHH&#10;9+PP38df38giy9P7WGPWvce8NNy6AZfm0R/RmVkPMpj8RT4E4yju4SQuDIkIdF5cXS+qSwwJjM3P&#10;ry8uz4v87O9zH2L6AM6QbDQ04PSKqHz/MSZsBVMfU3I16+6U1mWC2v7jwMTRA2UFpteZydhxttKw&#10;GSZ6G9cekN3OB7XtsHDhx3ISql7KThuSx/r0jvbTv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G+Di7YAAAACgEAAA8AAAAAAAAAAQAgAAAAIgAAAGRycy9kb3ducmV2LnhtbFBLAQIUABQAAAAI&#10;AIdO4kA7LXVptAEAAF0DAAAOAAAAAAAAAAEAIAAAACcBAABkcnMvZTJvRG9jLnhtbFBLBQYAAAAA&#10;BgAGAFkBAABNBQAAAAA=&#10;">
                <v:fill on="f" focussize="0,0"/>
                <v:stroke on="f"/>
                <v:imagedata o:title=""/>
                <o:lock v:ext="edit" aspectratio="f"/>
                <v:textbox>
                  <w:txbxContent>
                    <w:p>
                      <w:pPr>
                        <w:ind w:left="0" w:leftChars="0" w:firstLine="0" w:firstLineChars="0"/>
                        <w:rPr>
                          <w:rFonts w:hint="eastAsia" w:ascii="微软雅黑" w:hAnsi="微软雅黑" w:eastAsia="微软雅黑" w:cs="微软雅黑"/>
                          <w:sz w:val="52"/>
                          <w:szCs w:val="52"/>
                          <w:lang w:val="en-US" w:eastAsia="zh-CN"/>
                        </w:rPr>
                      </w:pPr>
                      <w:r>
                        <w:rPr>
                          <w:rFonts w:hint="eastAsia" w:ascii="微软雅黑" w:hAnsi="微软雅黑" w:eastAsia="微软雅黑" w:cs="微软雅黑"/>
                          <w:b w:val="0"/>
                          <w:bCs w:val="0"/>
                          <w:sz w:val="52"/>
                          <w:szCs w:val="52"/>
                          <w:highlight w:val="none"/>
                          <w:u w:val="none"/>
                          <w:lang w:val="en-US" w:eastAsia="zh-CN"/>
                        </w:rPr>
                        <w:t>低压配电箱低压刀闸及接地刀闸一体化</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color w:val="auto"/>
          <w:sz w:val="36"/>
          <w:szCs w:val="20"/>
        </w:rPr>
      </w:pPr>
    </w:p>
    <w:p>
      <w:pPr>
        <w:spacing w:before="1560" w:beforeLines="500" w:line="240" w:lineRule="auto"/>
        <w:ind w:firstLine="0" w:firstLineChars="0"/>
        <w:jc w:val="left"/>
        <w:rPr>
          <w:rFonts w:hint="eastAsia" w:ascii="Times New Roman" w:hAnsi="Times New Roman" w:eastAsia="仿宋_GB2312" w:cs="Times New Roman"/>
          <w:b/>
          <w:color w:val="auto"/>
          <w:sz w:val="36"/>
          <w:szCs w:val="20"/>
        </w:rPr>
      </w:pPr>
    </w:p>
    <w:p>
      <w:pPr>
        <w:spacing w:before="1560" w:beforeLines="500" w:line="240" w:lineRule="auto"/>
        <w:ind w:firstLine="0" w:firstLineChars="0"/>
        <w:jc w:val="left"/>
        <w:rPr>
          <w:rFonts w:hint="eastAsia" w:ascii="Times New Roman" w:hAnsi="Times New Roman" w:eastAsia="仿宋_GB2312" w:cs="Times New Roman"/>
          <w:b/>
          <w:color w:val="auto"/>
          <w:sz w:val="36"/>
          <w:szCs w:val="20"/>
        </w:rPr>
      </w:pPr>
      <w:r>
        <w:rPr>
          <w:color w:val="auto"/>
        </w:rP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color w:val="auto"/>
          <w:sz w:val="36"/>
          <w:szCs w:val="20"/>
        </w:rPr>
      </w:pPr>
    </w:p>
    <w:p>
      <w:pPr>
        <w:ind w:firstLine="643"/>
        <w:jc w:val="center"/>
        <w:rPr>
          <w:rFonts w:ascii="宋体" w:hAnsi="宋体"/>
          <w:b/>
          <w:bCs/>
          <w:color w:val="auto"/>
          <w:sz w:val="32"/>
          <w:szCs w:val="36"/>
        </w:rPr>
      </w:pPr>
    </w:p>
    <w:p>
      <w:pPr>
        <w:ind w:firstLine="643"/>
        <w:jc w:val="center"/>
        <w:rPr>
          <w:b/>
          <w:bCs/>
          <w:color w:val="auto"/>
          <w:sz w:val="32"/>
          <w:szCs w:val="36"/>
        </w:rPr>
      </w:pPr>
      <w:r>
        <w:rPr>
          <w:rFonts w:ascii="宋体" w:hAnsi="宋体"/>
          <w:b/>
          <w:bCs/>
          <w:color w:val="auto"/>
          <w:sz w:val="44"/>
          <w:szCs w:val="44"/>
        </w:rPr>
        <w:t>目</w:t>
      </w:r>
      <w:r>
        <w:rPr>
          <w:rFonts w:hint="eastAsia" w:ascii="宋体" w:hAnsi="宋体"/>
          <w:b/>
          <w:bCs/>
          <w:color w:val="auto"/>
          <w:sz w:val="44"/>
          <w:szCs w:val="44"/>
        </w:rPr>
        <w:t xml:space="preserve">  </w:t>
      </w:r>
      <w:r>
        <w:rPr>
          <w:rFonts w:ascii="宋体" w:hAnsi="宋体"/>
          <w:b/>
          <w:bCs/>
          <w:color w:val="auto"/>
          <w:sz w:val="44"/>
          <w:szCs w:val="44"/>
        </w:rPr>
        <w:t>录</w:t>
      </w:r>
    </w:p>
    <w:p>
      <w:pPr>
        <w:pStyle w:val="11"/>
        <w:tabs>
          <w:tab w:val="right" w:leader="dot" w:pos="8306"/>
        </w:tabs>
        <w:ind w:firstLine="420"/>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"_Toc12377_WPSOffice_Level1" </w:instrText>
      </w:r>
      <w:r>
        <w:rPr>
          <w:b w:val="0"/>
          <w:bCs w:val="0"/>
          <w:color w:val="auto"/>
          <w:sz w:val="28"/>
          <w:szCs w:val="28"/>
        </w:rPr>
        <w:fldChar w:fldCharType="separate"/>
      </w:r>
      <w:r>
        <w:rPr>
          <w:rFonts w:ascii="宋体" w:hAnsi="Times New Roman"/>
          <w:b w:val="0"/>
          <w:bCs w:val="0"/>
          <w:color w:val="auto"/>
          <w:sz w:val="28"/>
          <w:szCs w:val="28"/>
        </w:rPr>
        <w:t xml:space="preserve">1. </w:t>
      </w:r>
      <w:r>
        <w:rPr>
          <w:rFonts w:hint="eastAsia" w:ascii="宋体" w:hAnsi="Times New Roman"/>
          <w:b w:val="0"/>
          <w:bCs w:val="0"/>
          <w:color w:val="auto"/>
          <w:sz w:val="28"/>
          <w:szCs w:val="28"/>
        </w:rPr>
        <w:t>总则</w:t>
      </w:r>
      <w:r>
        <w:rPr>
          <w:b w:val="0"/>
          <w:bCs w:val="0"/>
          <w:color w:val="auto"/>
          <w:sz w:val="28"/>
          <w:szCs w:val="28"/>
        </w:rPr>
        <w:tab/>
      </w:r>
      <w:bookmarkStart w:id="0" w:name="_Toc12377_WPSOffice_Level1Page"/>
      <w:r>
        <w:rPr>
          <w:b w:val="0"/>
          <w:bCs w:val="0"/>
          <w:color w:val="auto"/>
          <w:sz w:val="28"/>
          <w:szCs w:val="28"/>
        </w:rPr>
        <w:t>1</w:t>
      </w:r>
      <w:bookmarkEnd w:id="0"/>
      <w:r>
        <w:rPr>
          <w:b w:val="0"/>
          <w:bCs w:val="0"/>
          <w:color w:val="auto"/>
          <w:sz w:val="28"/>
          <w:szCs w:val="28"/>
        </w:rPr>
        <w:fldChar w:fldCharType="end"/>
      </w:r>
    </w:p>
    <w:p>
      <w:pPr>
        <w:pStyle w:val="11"/>
        <w:tabs>
          <w:tab w:val="right" w:leader="dot" w:pos="8306"/>
        </w:tabs>
        <w:ind w:firstLine="420"/>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"_Toc30501_WPSOffice_Level1" </w:instrText>
      </w:r>
      <w:r>
        <w:rPr>
          <w:b w:val="0"/>
          <w:bCs w:val="0"/>
          <w:color w:val="auto"/>
          <w:sz w:val="28"/>
          <w:szCs w:val="28"/>
        </w:rPr>
        <w:fldChar w:fldCharType="separate"/>
      </w:r>
      <w:r>
        <w:rPr>
          <w:rFonts w:ascii="宋体" w:hAnsi="Times New Roman"/>
          <w:b w:val="0"/>
          <w:bCs w:val="0"/>
          <w:color w:val="auto"/>
          <w:sz w:val="28"/>
          <w:szCs w:val="28"/>
        </w:rPr>
        <w:t xml:space="preserve">2. </w:t>
      </w:r>
      <w:r>
        <w:rPr>
          <w:rFonts w:hint="eastAsia" w:ascii="宋体" w:hAnsi="Times New Roman"/>
          <w:b w:val="0"/>
          <w:bCs w:val="0"/>
          <w:color w:val="auto"/>
          <w:sz w:val="28"/>
          <w:szCs w:val="28"/>
        </w:rPr>
        <w:t>项目概述</w:t>
      </w:r>
      <w:r>
        <w:rPr>
          <w:b w:val="0"/>
          <w:bCs w:val="0"/>
          <w:color w:val="auto"/>
          <w:sz w:val="28"/>
          <w:szCs w:val="28"/>
        </w:rPr>
        <w:tab/>
      </w:r>
      <w:bookmarkStart w:id="1" w:name="_Toc30501_WPSOffice_Level1Page"/>
      <w:r>
        <w:rPr>
          <w:b w:val="0"/>
          <w:bCs w:val="0"/>
          <w:color w:val="auto"/>
          <w:sz w:val="28"/>
          <w:szCs w:val="28"/>
        </w:rPr>
        <w:t>3</w:t>
      </w:r>
      <w:bookmarkEnd w:id="1"/>
      <w:r>
        <w:rPr>
          <w:b w:val="0"/>
          <w:bCs w:val="0"/>
          <w:color w:val="auto"/>
          <w:sz w:val="28"/>
          <w:szCs w:val="28"/>
        </w:rPr>
        <w:fldChar w:fldCharType="end"/>
      </w:r>
    </w:p>
    <w:p>
      <w:pPr>
        <w:pStyle w:val="11"/>
        <w:tabs>
          <w:tab w:val="right" w:leader="dot" w:pos="8306"/>
        </w:tabs>
        <w:ind w:firstLine="420"/>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"_Toc3080_WPSOffice_Level1" </w:instrText>
      </w:r>
      <w:r>
        <w:rPr>
          <w:b w:val="0"/>
          <w:bCs w:val="0"/>
          <w:color w:val="auto"/>
          <w:sz w:val="28"/>
          <w:szCs w:val="28"/>
        </w:rPr>
        <w:fldChar w:fldCharType="separate"/>
      </w:r>
      <w:r>
        <w:rPr>
          <w:b w:val="0"/>
          <w:bCs w:val="0"/>
          <w:color w:val="auto"/>
          <w:sz w:val="28"/>
          <w:szCs w:val="28"/>
        </w:rPr>
        <w:t xml:space="preserve">3. </w:t>
      </w:r>
      <w:r>
        <w:rPr>
          <w:rFonts w:hint="eastAsia" w:ascii="宋体" w:hAnsi="Times New Roman"/>
          <w:b w:val="0"/>
          <w:bCs w:val="0"/>
          <w:color w:val="auto"/>
          <w:sz w:val="28"/>
          <w:szCs w:val="28"/>
        </w:rPr>
        <w:t>总体要求</w:t>
      </w:r>
      <w:r>
        <w:rPr>
          <w:b w:val="0"/>
          <w:bCs w:val="0"/>
          <w:color w:val="auto"/>
          <w:sz w:val="28"/>
          <w:szCs w:val="28"/>
        </w:rPr>
        <w:tab/>
      </w:r>
      <w:r>
        <w:rPr>
          <w:rFonts w:hint="eastAsia"/>
          <w:b w:val="0"/>
          <w:bCs w:val="0"/>
          <w:color w:val="auto"/>
          <w:sz w:val="28"/>
          <w:szCs w:val="28"/>
          <w:lang w:val="en-US" w:eastAsia="zh-CN"/>
        </w:rPr>
        <w:t>4</w:t>
      </w:r>
      <w:r>
        <w:rPr>
          <w:b w:val="0"/>
          <w:bCs w:val="0"/>
          <w:color w:val="auto"/>
          <w:sz w:val="28"/>
          <w:szCs w:val="28"/>
        </w:rPr>
        <w:fldChar w:fldCharType="end"/>
      </w:r>
    </w:p>
    <w:p>
      <w:pPr>
        <w:pStyle w:val="11"/>
        <w:tabs>
          <w:tab w:val="right" w:leader="dot" w:pos="8306"/>
        </w:tabs>
        <w:ind w:firstLine="420"/>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"_Toc20967_WPSOffice_Level1" </w:instrText>
      </w:r>
      <w:r>
        <w:rPr>
          <w:b w:val="0"/>
          <w:bCs w:val="0"/>
          <w:color w:val="auto"/>
          <w:sz w:val="28"/>
          <w:szCs w:val="28"/>
        </w:rPr>
        <w:fldChar w:fldCharType="separate"/>
      </w:r>
      <w:r>
        <w:rPr>
          <w:rFonts w:ascii="宋体" w:hAnsi="Times New Roman"/>
          <w:b w:val="0"/>
          <w:bCs w:val="0"/>
          <w:color w:val="auto"/>
          <w:sz w:val="28"/>
          <w:szCs w:val="28"/>
        </w:rPr>
        <w:t xml:space="preserve">4. </w:t>
      </w:r>
      <w:r>
        <w:rPr>
          <w:rFonts w:hint="eastAsia" w:ascii="宋体" w:hAnsi="Times New Roman"/>
          <w:b w:val="0"/>
          <w:bCs w:val="0"/>
          <w:color w:val="auto"/>
          <w:sz w:val="28"/>
          <w:szCs w:val="28"/>
        </w:rPr>
        <w:t>技术要求</w:t>
      </w:r>
      <w:r>
        <w:rPr>
          <w:b w:val="0"/>
          <w:bCs w:val="0"/>
          <w:color w:val="auto"/>
          <w:sz w:val="28"/>
          <w:szCs w:val="28"/>
        </w:rPr>
        <w:tab/>
      </w:r>
      <w:r>
        <w:rPr>
          <w:rFonts w:hint="eastAsia"/>
          <w:b w:val="0"/>
          <w:bCs w:val="0"/>
          <w:color w:val="auto"/>
          <w:sz w:val="28"/>
          <w:szCs w:val="28"/>
          <w:lang w:val="en-US" w:eastAsia="zh-CN"/>
        </w:rPr>
        <w:t>4</w:t>
      </w:r>
      <w:r>
        <w:rPr>
          <w:b w:val="0"/>
          <w:bCs w:val="0"/>
          <w:color w:val="auto"/>
          <w:sz w:val="28"/>
          <w:szCs w:val="28"/>
        </w:rPr>
        <w:fldChar w:fldCharType="end"/>
      </w:r>
    </w:p>
    <w:p>
      <w:pPr>
        <w:pStyle w:val="11"/>
        <w:tabs>
          <w:tab w:val="right" w:leader="dot" w:pos="8306"/>
        </w:tabs>
        <w:ind w:firstLine="420"/>
        <w:rPr>
          <w:color w:val="auto"/>
        </w:rPr>
      </w:pPr>
      <w:r>
        <w:rPr>
          <w:b w:val="0"/>
          <w:bCs w:val="0"/>
          <w:color w:val="auto"/>
          <w:sz w:val="28"/>
          <w:szCs w:val="28"/>
        </w:rPr>
        <w:fldChar w:fldCharType="begin"/>
      </w:r>
      <w:r>
        <w:rPr>
          <w:b w:val="0"/>
          <w:bCs w:val="0"/>
          <w:color w:val="auto"/>
          <w:sz w:val="28"/>
          <w:szCs w:val="28"/>
        </w:rPr>
        <w:instrText xml:space="preserve"> HYPERLINK \l "_Toc12132_WPSOffice_Level1" </w:instrText>
      </w:r>
      <w:r>
        <w:rPr>
          <w:b w:val="0"/>
          <w:bCs w:val="0"/>
          <w:color w:val="auto"/>
          <w:sz w:val="28"/>
          <w:szCs w:val="28"/>
        </w:rPr>
        <w:fldChar w:fldCharType="separate"/>
      </w:r>
      <w:r>
        <w:rPr>
          <w:rFonts w:ascii="宋体" w:hAnsi="Times New Roman"/>
          <w:b w:val="0"/>
          <w:bCs w:val="0"/>
          <w:color w:val="auto"/>
          <w:sz w:val="28"/>
          <w:szCs w:val="28"/>
        </w:rPr>
        <w:t xml:space="preserve">5. </w:t>
      </w:r>
      <w:r>
        <w:rPr>
          <w:rFonts w:hint="eastAsia" w:ascii="宋体" w:hAnsi="Times New Roman"/>
          <w:b w:val="0"/>
          <w:bCs w:val="0"/>
          <w:color w:val="auto"/>
          <w:sz w:val="28"/>
          <w:szCs w:val="28"/>
        </w:rPr>
        <w:t>其他要求</w:t>
      </w:r>
      <w:r>
        <w:rPr>
          <w:b w:val="0"/>
          <w:bCs w:val="0"/>
          <w:color w:val="auto"/>
          <w:sz w:val="28"/>
          <w:szCs w:val="28"/>
        </w:rPr>
        <w:tab/>
      </w:r>
      <w:r>
        <w:rPr>
          <w:rFonts w:hint="eastAsia"/>
          <w:b w:val="0"/>
          <w:bCs w:val="0"/>
          <w:color w:val="auto"/>
          <w:sz w:val="28"/>
          <w:szCs w:val="28"/>
          <w:lang w:val="en-US" w:eastAsia="zh-CN"/>
        </w:rPr>
        <w:t>5</w:t>
      </w:r>
      <w:r>
        <w:rPr>
          <w:b w:val="0"/>
          <w:bCs w:val="0"/>
          <w:color w:val="auto"/>
          <w:sz w:val="28"/>
          <w:szCs w:val="28"/>
        </w:rPr>
        <w:fldChar w:fldCharType="end"/>
      </w:r>
    </w:p>
    <w:p>
      <w:pPr>
        <w:ind w:firstLine="480"/>
        <w:rPr>
          <w:color w:val="auto"/>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3"/>
        <w:numPr>
          <w:ilvl w:val="0"/>
          <w:numId w:val="0"/>
        </w:numPr>
        <w:spacing w:before="0" w:after="0" w:line="360" w:lineRule="auto"/>
        <w:rPr>
          <w:rFonts w:hint="eastAsia" w:ascii="Times New Roman" w:hAnsi="Times New Roman" w:cs="Times New Roman"/>
          <w:color w:val="auto"/>
          <w:sz w:val="32"/>
          <w:szCs w:val="24"/>
        </w:rPr>
      </w:pPr>
      <w:bookmarkStart w:id="2" w:name="_Toc299606277"/>
      <w:bookmarkStart w:id="3" w:name="_Toc353940788"/>
      <w:bookmarkStart w:id="4" w:name="_Toc353939550"/>
      <w:bookmarkStart w:id="5" w:name="_Toc444945507"/>
      <w:bookmarkStart w:id="6" w:name="_Toc27105"/>
      <w:r>
        <w:rPr>
          <w:rFonts w:hint="eastAsia" w:ascii="Times New Roman" w:hAnsi="Times New Roman" w:cs="Times New Roman"/>
          <w:color w:val="auto"/>
          <w:sz w:val="32"/>
          <w:szCs w:val="24"/>
          <w:lang w:val="en-US" w:eastAsia="zh-CN"/>
        </w:rPr>
        <w:t>1、</w:t>
      </w:r>
      <w:r>
        <w:rPr>
          <w:rFonts w:hint="eastAsia" w:ascii="Times New Roman" w:hAnsi="Times New Roman" w:cs="Times New Roman"/>
          <w:color w:val="auto"/>
          <w:sz w:val="32"/>
          <w:szCs w:val="24"/>
        </w:rPr>
        <w:t>总则</w:t>
      </w:r>
      <w:bookmarkEnd w:id="2"/>
      <w:bookmarkEnd w:id="3"/>
      <w:bookmarkEnd w:id="4"/>
      <w:bookmarkEnd w:id="5"/>
      <w:bookmarkEnd w:id="6"/>
    </w:p>
    <w:p>
      <w:pPr>
        <w:pStyle w:val="4"/>
        <w:rPr>
          <w:color w:val="auto"/>
        </w:rPr>
      </w:pPr>
      <w:bookmarkStart w:id="7" w:name="_Toc444945508"/>
      <w:bookmarkStart w:id="8" w:name="_Toc25470"/>
      <w:bookmarkStart w:id="9" w:name="_Toc318799924"/>
      <w:r>
        <w:rPr>
          <w:rFonts w:hint="eastAsia"/>
          <w:color w:val="auto"/>
        </w:rPr>
        <w:t>1.1</w:t>
      </w:r>
      <w:r>
        <w:rPr>
          <w:color w:val="auto"/>
        </w:rPr>
        <w:t xml:space="preserve"> </w:t>
      </w:r>
      <w:r>
        <w:rPr>
          <w:rFonts w:hint="eastAsia"/>
          <w:color w:val="auto"/>
        </w:rPr>
        <w:t>一般要求</w:t>
      </w:r>
      <w:bookmarkEnd w:id="7"/>
      <w:bookmarkEnd w:id="8"/>
      <w:bookmarkEnd w:id="9"/>
    </w:p>
    <w:p>
      <w:pPr>
        <w:ind w:firstLine="480"/>
        <w:rPr>
          <w:rFonts w:ascii="宋体" w:hAnsi="宋体"/>
          <w:color w:val="auto"/>
        </w:rPr>
      </w:pPr>
      <w:bookmarkStart w:id="10" w:name="_Toc353940791"/>
      <w:bookmarkStart w:id="11" w:name="_Toc299606280"/>
      <w:bookmarkStart w:id="12" w:name="_Toc353939553"/>
      <w:bookmarkStart w:id="13" w:name="_Toc444945511"/>
      <w:r>
        <w:rPr>
          <w:rFonts w:hint="eastAsia" w:ascii="宋体" w:hAnsi="宋体"/>
          <w:color w:val="auto"/>
        </w:rPr>
        <w:t>1.1.1 本技术条款主要描述</w:t>
      </w:r>
      <w:r>
        <w:rPr>
          <w:rFonts w:hint="eastAsia" w:ascii="宋体" w:hAnsi="宋体"/>
          <w:color w:val="auto"/>
          <w:u w:val="single"/>
        </w:rPr>
        <w:t>广西电网有限责任公司</w:t>
      </w:r>
      <w:r>
        <w:rPr>
          <w:rFonts w:hint="default" w:ascii="宋体" w:hAnsi="宋体"/>
          <w:color w:val="auto"/>
          <w:u w:val="single"/>
        </w:rPr>
        <w:t>百色供电局</w:t>
      </w:r>
      <w:r>
        <w:rPr>
          <w:rFonts w:hint="eastAsia" w:ascii="宋体" w:hAnsi="宋体"/>
          <w:color w:val="auto"/>
          <w:highlight w:val="none"/>
          <w:u w:val="single"/>
        </w:rPr>
        <w:t>“</w:t>
      </w:r>
      <w:r>
        <w:rPr>
          <w:rFonts w:hint="eastAsia" w:ascii="宋体" w:hAnsi="宋体"/>
          <w:color w:val="auto"/>
          <w:highlight w:val="none"/>
          <w:u w:val="single"/>
          <w:lang w:eastAsia="zh-CN"/>
        </w:rPr>
        <w:t>低压配电箱低压刀闸及接地刀闸一体化</w:t>
      </w:r>
      <w:r>
        <w:rPr>
          <w:rFonts w:hint="eastAsia" w:ascii="宋体" w:hAnsi="宋体"/>
          <w:color w:val="auto"/>
          <w:highlight w:val="none"/>
          <w:u w:val="single"/>
        </w:rPr>
        <w:t>”</w:t>
      </w:r>
      <w:r>
        <w:rPr>
          <w:rFonts w:hint="eastAsia" w:ascii="宋体" w:hAnsi="宋体"/>
          <w:color w:val="auto"/>
          <w:u w:val="single"/>
        </w:rPr>
        <w:t>项目研究内容</w:t>
      </w:r>
      <w:r>
        <w:rPr>
          <w:rFonts w:hint="eastAsia" w:ascii="宋体" w:hAnsi="宋体"/>
          <w:color w:val="auto"/>
        </w:rPr>
        <w:t>有关事项。投标方必须认真阅读本技术条款内容，以免造成投标失败。</w:t>
      </w:r>
    </w:p>
    <w:p>
      <w:pPr>
        <w:ind w:firstLine="480"/>
        <w:rPr>
          <w:rFonts w:ascii="宋体" w:hAnsi="宋体"/>
          <w:color w:val="auto"/>
        </w:rPr>
      </w:pPr>
      <w:r>
        <w:rPr>
          <w:rFonts w:ascii="宋体" w:hAnsi="宋体"/>
          <w:color w:val="auto"/>
        </w:rPr>
        <w:t xml:space="preserve">1.1.2 </w:t>
      </w:r>
      <w:r>
        <w:rPr>
          <w:rFonts w:hint="eastAsia" w:ascii="宋体" w:hAnsi="宋体"/>
          <w:color w:val="auto"/>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color w:val="auto"/>
        </w:rPr>
      </w:pPr>
      <w:r>
        <w:rPr>
          <w:rFonts w:ascii="宋体" w:hAnsi="宋体"/>
          <w:color w:val="auto"/>
        </w:rPr>
        <w:t xml:space="preserve">1.1.3 </w:t>
      </w:r>
      <w:r>
        <w:rPr>
          <w:rFonts w:hint="eastAsia" w:ascii="宋体" w:hAnsi="宋体"/>
          <w:color w:val="auto"/>
        </w:rPr>
        <w:t>本规范书指标要求中，凡标有下划线或加“★”的地方均被视为重要的技术指标要求或性能要求。投标方要特别加以注意，必须完全满足这些要求。</w:t>
      </w:r>
    </w:p>
    <w:p>
      <w:pPr>
        <w:ind w:firstLine="480"/>
        <w:rPr>
          <w:rFonts w:ascii="宋体" w:hAnsi="宋体"/>
          <w:color w:val="auto"/>
        </w:rPr>
      </w:pPr>
      <w:r>
        <w:rPr>
          <w:rFonts w:hint="eastAsia" w:ascii="宋体" w:hAnsi="宋体"/>
          <w:color w:val="auto"/>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color w:val="auto"/>
        </w:rPr>
      </w:pPr>
      <w:r>
        <w:rPr>
          <w:rFonts w:hint="eastAsia" w:ascii="宋体" w:hAnsi="宋体"/>
          <w:color w:val="auto"/>
        </w:rPr>
        <w:t>1.1.5 如果投标方认为本技术条款所描述技术要求等存在不合理性或不明白的，可在响应原要求后陈述相关建议。</w:t>
      </w:r>
    </w:p>
    <w:p>
      <w:pPr>
        <w:ind w:firstLine="480"/>
        <w:rPr>
          <w:rFonts w:ascii="宋体" w:hAnsi="宋体"/>
          <w:color w:val="auto"/>
        </w:rPr>
      </w:pPr>
      <w:r>
        <w:rPr>
          <w:rFonts w:ascii="宋体" w:hAnsi="宋体"/>
          <w:color w:val="auto"/>
        </w:rPr>
        <w:t xml:space="preserve">1.1.6 </w:t>
      </w:r>
      <w:r>
        <w:rPr>
          <w:rFonts w:hint="eastAsia" w:ascii="宋体" w:hAnsi="宋体"/>
          <w:color w:val="auto"/>
        </w:rPr>
        <w:t>投标方也可提出满足本技术规范书要求，且技术先进、成熟、价格合理的其他建议，供招标方选择。</w:t>
      </w:r>
    </w:p>
    <w:p>
      <w:pPr>
        <w:ind w:firstLine="480"/>
        <w:rPr>
          <w:rFonts w:ascii="宋体" w:hAnsi="宋体"/>
          <w:color w:val="auto"/>
        </w:rPr>
      </w:pPr>
      <w:r>
        <w:rPr>
          <w:rFonts w:ascii="宋体" w:hAnsi="宋体"/>
          <w:color w:val="auto"/>
        </w:rPr>
        <w:t xml:space="preserve">1.1.7 </w:t>
      </w:r>
      <w:r>
        <w:rPr>
          <w:rFonts w:hint="eastAsia" w:ascii="宋体" w:hAnsi="宋体"/>
          <w:color w:val="auto"/>
        </w:rPr>
        <w:t>投标方应提供满足本技术规范书要求的完整的服务、工作产品，满足国家及用户提出的有关质量标准要求。所有工作产品必须具有在中国境内的合法使用权。</w:t>
      </w:r>
    </w:p>
    <w:p>
      <w:pPr>
        <w:ind w:firstLine="480"/>
        <w:rPr>
          <w:rFonts w:ascii="宋体" w:hAnsi="宋体"/>
          <w:color w:val="auto"/>
        </w:rPr>
      </w:pPr>
      <w:r>
        <w:rPr>
          <w:rFonts w:hint="eastAsia" w:ascii="宋体" w:hAnsi="宋体"/>
          <w:color w:val="auto"/>
        </w:rPr>
        <w:t>1.1.8 本技术规范书所使用的标准如与投标方所执行的标准不一致，按较高标准执行。</w:t>
      </w:r>
    </w:p>
    <w:p>
      <w:pPr>
        <w:ind w:firstLine="480"/>
        <w:rPr>
          <w:rFonts w:ascii="宋体" w:hAnsi="宋体"/>
          <w:color w:val="auto"/>
        </w:rPr>
      </w:pPr>
      <w:r>
        <w:rPr>
          <w:rFonts w:ascii="宋体" w:hAnsi="宋体"/>
          <w:color w:val="auto"/>
        </w:rPr>
        <w:t xml:space="preserve">1.1.9 </w:t>
      </w:r>
      <w:r>
        <w:rPr>
          <w:rFonts w:hint="eastAsia" w:ascii="宋体" w:hAnsi="宋体"/>
          <w:color w:val="auto"/>
        </w:rPr>
        <w:t>如果因为无法提供的原因而提供其他产品、服务，投标方应明确说明并提出质量保证承诺。</w:t>
      </w:r>
    </w:p>
    <w:p>
      <w:pPr>
        <w:ind w:firstLine="480"/>
        <w:rPr>
          <w:rFonts w:ascii="宋体" w:hAnsi="宋体"/>
          <w:color w:val="auto"/>
        </w:rPr>
      </w:pPr>
      <w:r>
        <w:rPr>
          <w:rFonts w:ascii="宋体" w:hAnsi="宋体"/>
          <w:color w:val="auto"/>
        </w:rPr>
        <w:t xml:space="preserve">1.1.10 </w:t>
      </w:r>
      <w:r>
        <w:rPr>
          <w:rFonts w:hint="eastAsia" w:ascii="宋体" w:hAnsi="宋体"/>
          <w:color w:val="auto"/>
        </w:rPr>
        <w:t>投标方应保证为今后招标方开发的或招标方委托第三方开发的其他工作产品提供可靠的性能和兼容性。</w:t>
      </w:r>
    </w:p>
    <w:p>
      <w:pPr>
        <w:ind w:firstLine="480"/>
        <w:rPr>
          <w:rFonts w:ascii="宋体" w:hAnsi="宋体"/>
          <w:color w:val="auto"/>
        </w:rPr>
      </w:pPr>
      <w:r>
        <w:rPr>
          <w:rFonts w:ascii="宋体" w:hAnsi="宋体"/>
          <w:color w:val="auto"/>
        </w:rPr>
        <w:t xml:space="preserve">1.1.11 </w:t>
      </w:r>
      <w:r>
        <w:rPr>
          <w:rFonts w:hint="eastAsia" w:ascii="宋体" w:hAnsi="宋体"/>
          <w:color w:val="auto"/>
        </w:rPr>
        <w:t>投标方应对本次投标所有文件保密，不得向其他单位公布或泄漏招标项目的有关信息。</w:t>
      </w:r>
    </w:p>
    <w:p>
      <w:pPr>
        <w:ind w:firstLine="480"/>
        <w:rPr>
          <w:rFonts w:ascii="宋体" w:hAnsi="宋体"/>
          <w:color w:val="auto"/>
        </w:rPr>
      </w:pPr>
      <w:r>
        <w:rPr>
          <w:rFonts w:ascii="宋体" w:hAnsi="宋体"/>
          <w:color w:val="auto"/>
        </w:rPr>
        <w:t>1.1.1</w:t>
      </w:r>
      <w:r>
        <w:rPr>
          <w:rFonts w:hint="eastAsia" w:ascii="宋体" w:hAnsi="宋体"/>
          <w:color w:val="auto"/>
          <w:lang w:val="en-US" w:eastAsia="zh-CN"/>
        </w:rPr>
        <w:t>2</w:t>
      </w:r>
      <w:r>
        <w:rPr>
          <w:rFonts w:ascii="宋体" w:hAnsi="宋体"/>
          <w:color w:val="auto"/>
        </w:rPr>
        <w:t xml:space="preserve"> </w:t>
      </w:r>
      <w:r>
        <w:rPr>
          <w:rFonts w:hint="eastAsia" w:ascii="宋体" w:hAnsi="宋体"/>
          <w:color w:val="auto"/>
        </w:rPr>
        <w:t>在不超出本技术规范书要求的情况下，投标方应对招标方提出的所有细化要求予以满足。</w:t>
      </w:r>
    </w:p>
    <w:p>
      <w:pPr>
        <w:ind w:firstLine="480"/>
        <w:rPr>
          <w:rFonts w:hint="eastAsia" w:ascii="宋体" w:hAnsi="宋体"/>
          <w:color w:val="auto"/>
        </w:rPr>
      </w:pPr>
      <w:r>
        <w:rPr>
          <w:rFonts w:hint="eastAsia" w:ascii="宋体" w:hAnsi="宋体"/>
          <w:color w:val="auto"/>
        </w:rPr>
        <w:t>1.1.1</w:t>
      </w:r>
      <w:r>
        <w:rPr>
          <w:rFonts w:hint="eastAsia" w:ascii="宋体" w:hAnsi="宋体"/>
          <w:color w:val="auto"/>
          <w:lang w:val="en-US" w:eastAsia="zh-CN"/>
        </w:rPr>
        <w:t>3</w:t>
      </w:r>
      <w:r>
        <w:rPr>
          <w:rFonts w:hint="eastAsia" w:ascii="宋体" w:hAnsi="宋体"/>
          <w:color w:val="auto"/>
        </w:rPr>
        <w:t xml:space="preserve"> 有文件、图纸、通信的均使用中文。所有计算、说明、图纸文件、手册等使用国际单位制。</w:t>
      </w:r>
    </w:p>
    <w:p>
      <w:pPr>
        <w:pStyle w:val="4"/>
        <w:rPr>
          <w:color w:val="auto"/>
        </w:rPr>
      </w:pPr>
      <w:bookmarkStart w:id="14" w:name="_Toc255894290"/>
      <w:bookmarkStart w:id="15" w:name="_Toc261810243"/>
      <w:bookmarkStart w:id="16" w:name="_Toc252485428"/>
      <w:bookmarkStart w:id="17" w:name="_Toc222711875"/>
      <w:bookmarkStart w:id="18" w:name="_Toc293665071"/>
      <w:bookmarkStart w:id="19" w:name="_Toc582"/>
      <w:bookmarkStart w:id="20" w:name="_Toc21036"/>
      <w:bookmarkStart w:id="21" w:name="_Toc252486971"/>
      <w:bookmarkStart w:id="22" w:name="_Toc445194080"/>
      <w:r>
        <w:rPr>
          <w:rFonts w:hint="eastAsia"/>
          <w:color w:val="auto"/>
        </w:rPr>
        <w:t>1.2</w:t>
      </w:r>
      <w:r>
        <w:rPr>
          <w:color w:val="auto"/>
        </w:rPr>
        <w:t>标准和规范</w:t>
      </w:r>
      <w:bookmarkEnd w:id="14"/>
      <w:bookmarkEnd w:id="15"/>
      <w:bookmarkEnd w:id="16"/>
      <w:bookmarkEnd w:id="17"/>
      <w:bookmarkEnd w:id="18"/>
      <w:bookmarkEnd w:id="19"/>
      <w:bookmarkEnd w:id="20"/>
      <w:bookmarkEnd w:id="21"/>
      <w:bookmarkEnd w:id="22"/>
    </w:p>
    <w:p>
      <w:pPr>
        <w:autoSpaceDE w:val="0"/>
        <w:autoSpaceDN w:val="0"/>
        <w:adjustRightInd w:val="0"/>
        <w:ind w:firstLine="480"/>
        <w:rPr>
          <w:rFonts w:ascii="Times New Roman" w:hAnsi="Times New Roman" w:cs="Times New Roman"/>
          <w:color w:val="auto"/>
          <w:szCs w:val="21"/>
          <w:lang w:val="zh-CN"/>
        </w:rPr>
      </w:pPr>
      <w:r>
        <w:rPr>
          <w:rFonts w:ascii="Times New Roman" w:hAnsi="Times New Roman" w:cs="Times New Roman"/>
          <w:color w:val="auto"/>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auto"/>
          <w:szCs w:val="21"/>
          <w:lang w:val="zh-CN"/>
        </w:rPr>
      </w:pPr>
      <w:r>
        <w:rPr>
          <w:rFonts w:ascii="Times New Roman" w:hAnsi="Times New Roman" w:cs="Times New Roman"/>
          <w:color w:val="auto"/>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auto"/>
          <w:szCs w:val="21"/>
          <w:lang w:val="zh-CN"/>
        </w:rPr>
      </w:pPr>
      <w:r>
        <w:rPr>
          <w:rFonts w:ascii="Times New Roman" w:hAnsi="Times New Roman" w:cs="Times New Roman"/>
          <w:color w:val="auto"/>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ind w:firstLine="480"/>
        <w:rPr>
          <w:rFonts w:hint="default" w:ascii="宋体" w:hAnsi="宋体" w:eastAsia="宋体"/>
          <w:color w:val="auto"/>
          <w:szCs w:val="24"/>
          <w:lang w:val="en-US" w:eastAsia="zh-CN"/>
        </w:rPr>
      </w:pPr>
      <w:r>
        <w:rPr>
          <w:rFonts w:hint="eastAsia" w:ascii="宋体" w:hAnsi="宋体" w:eastAsia="宋体"/>
          <w:color w:val="auto"/>
          <w:szCs w:val="24"/>
          <w:lang w:val="en-US" w:eastAsia="zh-CN"/>
        </w:rPr>
        <w:t>GB 4208</w:t>
      </w:r>
      <w:r>
        <w:rPr>
          <w:rFonts w:hint="default" w:ascii="宋体" w:hAnsi="宋体" w:eastAsia="宋体"/>
          <w:color w:val="auto"/>
          <w:szCs w:val="24"/>
          <w:lang w:val="en-US" w:eastAsia="zh-CN"/>
        </w:rPr>
        <w:t> </w:t>
      </w:r>
      <w:r>
        <w:rPr>
          <w:rFonts w:hint="eastAsia" w:ascii="宋体" w:hAnsi="宋体" w:eastAsia="宋体"/>
          <w:color w:val="auto"/>
          <w:szCs w:val="24"/>
          <w:lang w:val="en-US" w:eastAsia="zh-CN"/>
        </w:rPr>
        <w:t>外壳防护等级</w:t>
      </w:r>
      <w:r>
        <w:rPr>
          <w:rFonts w:hint="default" w:ascii="宋体" w:hAnsi="宋体" w:eastAsia="宋体"/>
          <w:color w:val="auto"/>
          <w:szCs w:val="24"/>
          <w:lang w:val="en-US" w:eastAsia="zh-CN"/>
        </w:rPr>
        <w:t> </w:t>
      </w:r>
    </w:p>
    <w:p>
      <w:pPr>
        <w:ind w:firstLine="480"/>
        <w:rPr>
          <w:rFonts w:hint="default" w:ascii="宋体" w:hAnsi="宋体" w:eastAsia="宋体"/>
          <w:color w:val="auto"/>
          <w:szCs w:val="24"/>
          <w:lang w:val="en-US" w:eastAsia="zh-CN"/>
        </w:rPr>
      </w:pPr>
      <w:r>
        <w:rPr>
          <w:rFonts w:hint="default" w:ascii="宋体" w:hAnsi="宋体" w:eastAsia="宋体"/>
          <w:color w:val="auto"/>
          <w:szCs w:val="24"/>
          <w:lang w:val="en-US" w:eastAsia="zh-CN"/>
        </w:rPr>
        <w:fldChar w:fldCharType="begin"/>
      </w:r>
      <w:r>
        <w:rPr>
          <w:rFonts w:hint="default" w:ascii="宋体" w:hAnsi="宋体" w:eastAsia="宋体"/>
          <w:color w:val="auto"/>
          <w:szCs w:val="24"/>
          <w:lang w:val="en-US" w:eastAsia="zh-CN"/>
        </w:rPr>
        <w:instrText xml:space="preserve"> HYPERLINK "https://www.so.com/link?m=zdjYo9R8bebLkIqEcQHIVIHc+QqB5J3VetgVaNMagmBQSdacljXPiWVExKv2MpBmf+SFO1gk72unYC/32pFrFJRGG4qay3jNnq/EWkdHVir/kQ6Pqsqbu9dp4V7MrP5Lpkit6bmy30F3Kvms1vtCiKAES3ZMRdARs6GlD0VZDYwaoFPvqlwILR9jNfi8j+z63t6Ygq2zwk5VZIJOZKq0/+1VXs3cKIcq5DWMEKvHA3OAk0O3yqXK1H+Xx0NB+JoCTqwPgOFaCgcg=" \t "https://www.so.com/_blank" </w:instrText>
      </w:r>
      <w:r>
        <w:rPr>
          <w:rFonts w:hint="default" w:ascii="宋体" w:hAnsi="宋体" w:eastAsia="宋体"/>
          <w:color w:val="auto"/>
          <w:szCs w:val="24"/>
          <w:lang w:val="en-US" w:eastAsia="zh-CN"/>
        </w:rPr>
        <w:fldChar w:fldCharType="separate"/>
      </w:r>
      <w:r>
        <w:rPr>
          <w:rFonts w:hint="eastAsia" w:ascii="宋体" w:hAnsi="宋体" w:eastAsia="宋体"/>
          <w:color w:val="auto"/>
          <w:szCs w:val="24"/>
          <w:lang w:val="en-US" w:eastAsia="zh-CN"/>
        </w:rPr>
        <w:t>GB/T 2423.1-2008 电工电子产品环境试验 第2部分：试验方法 试验A：低温</w:t>
      </w:r>
      <w:r>
        <w:rPr>
          <w:rFonts w:hint="default" w:ascii="宋体" w:hAnsi="宋体" w:eastAsia="宋体"/>
          <w:color w:val="auto"/>
          <w:szCs w:val="24"/>
          <w:lang w:val="en-US" w:eastAsia="zh-CN"/>
        </w:rPr>
        <w:fldChar w:fldCharType="end"/>
      </w:r>
    </w:p>
    <w:p>
      <w:pPr>
        <w:ind w:firstLine="480"/>
        <w:rPr>
          <w:rFonts w:hint="default" w:ascii="宋体" w:hAnsi="宋体" w:eastAsia="宋体"/>
          <w:color w:val="auto"/>
          <w:szCs w:val="24"/>
          <w:lang w:val="en-US" w:eastAsia="zh-CN"/>
        </w:rPr>
      </w:pPr>
      <w:r>
        <w:rPr>
          <w:rFonts w:hint="default" w:ascii="宋体" w:hAnsi="宋体" w:eastAsia="宋体"/>
          <w:color w:val="auto"/>
          <w:szCs w:val="24"/>
          <w:lang w:val="en-US" w:eastAsia="zh-CN"/>
        </w:rPr>
        <w:fldChar w:fldCharType="begin"/>
      </w:r>
      <w:r>
        <w:rPr>
          <w:rFonts w:hint="default" w:ascii="宋体" w:hAnsi="宋体" w:eastAsia="宋体"/>
          <w:color w:val="auto"/>
          <w:szCs w:val="24"/>
          <w:lang w:val="en-US" w:eastAsia="zh-CN"/>
        </w:rPr>
        <w:instrText xml:space="preserve"> HYPERLINK "https://www.so.com/link?m=zdjYo9R8bebLkIqEcQHIVIHc+QqB5J3VetgVaNMagmBQSdacljXPiWVExKv2MpBmf+SFO1gk72unYC/32pFrFJRGG4qay3jNnq/EWkdHVir/kQ6Pqsqbu9dp4V7MrP5Lpkit6bmy30F3Kvms1vtCiKAES3ZMRdARs6GlD0VZDYwaoFPvqlwILR9jNfi8j+z63t6Ygq2zwk5VZIJOZKq0/+1VXs3cKIcq5DWMEKvHA3OAk0O3yqXK1H+Xx0NB+JoCTqwPgOFaCgcg=" \t "https://www.so.com/_blank" </w:instrText>
      </w:r>
      <w:r>
        <w:rPr>
          <w:rFonts w:hint="default" w:ascii="宋体" w:hAnsi="宋体" w:eastAsia="宋体"/>
          <w:color w:val="auto"/>
          <w:szCs w:val="24"/>
          <w:lang w:val="en-US" w:eastAsia="zh-CN"/>
        </w:rPr>
        <w:fldChar w:fldCharType="separate"/>
      </w:r>
      <w:r>
        <w:rPr>
          <w:rFonts w:hint="eastAsia" w:ascii="宋体" w:hAnsi="宋体" w:eastAsia="宋体"/>
          <w:color w:val="auto"/>
          <w:szCs w:val="24"/>
          <w:lang w:val="en-US" w:eastAsia="zh-CN"/>
        </w:rPr>
        <w:t>GB/T 2423.2-2008 电工电子产品环境试验 第2部分：试验方法 试验B：高温</w:t>
      </w:r>
      <w:r>
        <w:rPr>
          <w:rFonts w:hint="default" w:ascii="宋体" w:hAnsi="宋体" w:eastAsia="宋体"/>
          <w:color w:val="auto"/>
          <w:szCs w:val="24"/>
          <w:lang w:val="en-US" w:eastAsia="zh-CN"/>
        </w:rPr>
        <w:fldChar w:fldCharType="end"/>
      </w:r>
    </w:p>
    <w:p>
      <w:pPr>
        <w:ind w:firstLine="480"/>
        <w:rPr>
          <w:rFonts w:hint="default" w:ascii="宋体" w:hAnsi="宋体" w:eastAsia="宋体"/>
          <w:color w:val="auto"/>
          <w:szCs w:val="24"/>
          <w:lang w:val="en-US" w:eastAsia="zh-CN"/>
        </w:rPr>
      </w:pPr>
      <w:r>
        <w:rPr>
          <w:rFonts w:hint="default" w:ascii="宋体" w:hAnsi="宋体" w:eastAsia="宋体"/>
          <w:color w:val="auto"/>
          <w:szCs w:val="24"/>
          <w:lang w:val="en-US" w:eastAsia="zh-CN"/>
        </w:rPr>
        <w:fldChar w:fldCharType="begin"/>
      </w:r>
      <w:r>
        <w:rPr>
          <w:rFonts w:hint="default" w:ascii="宋体" w:hAnsi="宋体" w:eastAsia="宋体"/>
          <w:color w:val="auto"/>
          <w:szCs w:val="24"/>
          <w:lang w:val="en-US" w:eastAsia="zh-CN"/>
        </w:rPr>
        <w:instrText xml:space="preserve"> HYPERLINK "https://www.so.com/link?m=z1nG8qGszHJ+MQGzUw36jzlSD57gfWzysYBz0idEZG/M8jocPMXzQ+NGwpaigzXADOdct8HsTO8ata+53QqlqOR4TPc5YHwUcMYTkZnMx39KZyztdg9F63i4+D8tDUp83LK7RPAzq8ylPtMxAsxToKJDCbPHyEPotsna4tKTRmmmVWjJbRIVM3pXmwl1trzaq9NbJTd4MGlxGW1jim52yyunFZeK6BxGqTztY+J7R42kBqDeLJylGBEjLN4g=" \t "https://www.so.com/_blank" </w:instrText>
      </w:r>
      <w:r>
        <w:rPr>
          <w:rFonts w:hint="default" w:ascii="宋体" w:hAnsi="宋体" w:eastAsia="宋体"/>
          <w:color w:val="auto"/>
          <w:szCs w:val="24"/>
          <w:lang w:val="en-US" w:eastAsia="zh-CN"/>
        </w:rPr>
        <w:fldChar w:fldCharType="separate"/>
      </w:r>
      <w:r>
        <w:rPr>
          <w:rFonts w:hint="eastAsia" w:ascii="宋体" w:hAnsi="宋体" w:eastAsia="宋体"/>
          <w:color w:val="auto"/>
          <w:szCs w:val="24"/>
          <w:lang w:val="en-US" w:eastAsia="zh-CN"/>
        </w:rPr>
        <w:t>GB/T 13384-2008</w:t>
      </w:r>
      <w:r>
        <w:rPr>
          <w:rFonts w:hint="default" w:ascii="宋体" w:hAnsi="宋体" w:eastAsia="宋体"/>
          <w:color w:val="auto"/>
          <w:szCs w:val="24"/>
          <w:lang w:val="en-US" w:eastAsia="zh-CN"/>
        </w:rPr>
        <w:t> </w:t>
      </w:r>
      <w:r>
        <w:rPr>
          <w:rFonts w:hint="eastAsia" w:ascii="宋体" w:hAnsi="宋体" w:eastAsia="宋体"/>
          <w:color w:val="auto"/>
          <w:szCs w:val="24"/>
          <w:lang w:val="en-US" w:eastAsia="zh-CN"/>
        </w:rPr>
        <w:t>机电产品包装通用技术条件</w:t>
      </w:r>
      <w:r>
        <w:rPr>
          <w:rFonts w:hint="default" w:ascii="宋体" w:hAnsi="宋体" w:eastAsia="宋体"/>
          <w:color w:val="auto"/>
          <w:szCs w:val="24"/>
          <w:lang w:val="en-US" w:eastAsia="zh-CN"/>
        </w:rPr>
        <w:fldChar w:fldCharType="end"/>
      </w:r>
    </w:p>
    <w:p>
      <w:pPr>
        <w:ind w:firstLine="480"/>
        <w:rPr>
          <w:rFonts w:hint="default" w:ascii="宋体" w:hAnsi="宋体" w:eastAsia="宋体"/>
          <w:color w:val="auto"/>
          <w:szCs w:val="24"/>
          <w:lang w:val="en-US" w:eastAsia="zh-CN"/>
        </w:rPr>
      </w:pPr>
      <w:r>
        <w:rPr>
          <w:rFonts w:hint="default" w:ascii="宋体" w:hAnsi="宋体" w:eastAsia="宋体"/>
          <w:color w:val="auto"/>
          <w:szCs w:val="24"/>
          <w:lang w:val="en-US" w:eastAsia="zh-CN"/>
        </w:rPr>
        <w:fldChar w:fldCharType="begin"/>
      </w:r>
      <w:r>
        <w:rPr>
          <w:rFonts w:hint="default" w:ascii="宋体" w:hAnsi="宋体" w:eastAsia="宋体"/>
          <w:color w:val="auto"/>
          <w:szCs w:val="24"/>
          <w:lang w:val="en-US" w:eastAsia="zh-CN"/>
        </w:rPr>
        <w:instrText xml:space="preserve"> HYPERLINK "https://www.so.com/link?m=u7GIxUeCr5ytbIvqYQfNwcq+XXgvXibfLtlR9fHu6Ao0ZEldQKebwDmacKbxgckHiuRh00EqpSs3EsUjMShEZ1hd1ZjscHmKAN24bkwGKVwcuwPJPE/oJaJcbsHYHyl5QPq6+qcILpNUEScLLIyXfs0rsQuOBrLnLDuOIzKqN1ZHkQggrLy0KC/KMpC1I5RRTUk5HNJlwsn4R4iKHhA3SSREALq0PyCUOeMlJlpw+A6XDTbZKpfAbC2A7Uzvfp3Bu30n1o9BkWFQ1ugxxoNSVcbWXKBo=" \t "https://www.so.com/_blank" </w:instrText>
      </w:r>
      <w:r>
        <w:rPr>
          <w:rFonts w:hint="default" w:ascii="宋体" w:hAnsi="宋体" w:eastAsia="宋体"/>
          <w:color w:val="auto"/>
          <w:szCs w:val="24"/>
          <w:lang w:val="en-US" w:eastAsia="zh-CN"/>
        </w:rPr>
        <w:fldChar w:fldCharType="separate"/>
      </w:r>
      <w:r>
        <w:rPr>
          <w:rFonts w:hint="eastAsia" w:ascii="宋体" w:hAnsi="宋体" w:eastAsia="宋体"/>
          <w:color w:val="auto"/>
          <w:szCs w:val="24"/>
          <w:lang w:val="en-US" w:eastAsia="zh-CN"/>
        </w:rPr>
        <w:t>GBJ32</w:t>
      </w:r>
      <w:r>
        <w:rPr>
          <w:rFonts w:hint="eastAsia" w:ascii="宋体" w:hAnsi="宋体" w:eastAsia="宋体"/>
          <w:color w:val="auto"/>
          <w:szCs w:val="24"/>
          <w:lang w:val="en-US" w:eastAsia="zh-CN"/>
        </w:rPr>
        <w:tab/>
      </w:r>
      <w:r>
        <w:rPr>
          <w:rFonts w:hint="eastAsia" w:ascii="宋体" w:hAnsi="宋体" w:eastAsia="宋体"/>
          <w:color w:val="auto"/>
          <w:szCs w:val="24"/>
          <w:lang w:val="en-US" w:eastAsia="zh-CN"/>
        </w:rPr>
        <w:t>电气装置安装工程施工及验收规范</w:t>
      </w:r>
      <w:r>
        <w:rPr>
          <w:rFonts w:hint="default" w:ascii="宋体" w:hAnsi="宋体" w:eastAsia="宋体"/>
          <w:color w:val="auto"/>
          <w:szCs w:val="24"/>
          <w:lang w:val="en-US" w:eastAsia="zh-CN"/>
        </w:rPr>
        <w:fldChar w:fldCharType="end"/>
      </w:r>
    </w:p>
    <w:p>
      <w:pPr>
        <w:ind w:firstLine="480"/>
        <w:rPr>
          <w:rFonts w:hint="default" w:ascii="宋体" w:hAnsi="宋体" w:eastAsia="宋体"/>
          <w:color w:val="auto"/>
          <w:szCs w:val="24"/>
          <w:lang w:val="en-US" w:eastAsia="zh-CN"/>
        </w:rPr>
      </w:pPr>
      <w:r>
        <w:rPr>
          <w:rFonts w:hint="eastAsia" w:ascii="宋体" w:hAnsi="宋体" w:eastAsia="宋体"/>
          <w:color w:val="auto"/>
          <w:szCs w:val="24"/>
          <w:lang w:val="en-US" w:eastAsia="zh-CN"/>
        </w:rPr>
        <w:t>GB 755—87旋转电机基本技术要求</w:t>
      </w:r>
    </w:p>
    <w:p>
      <w:pPr>
        <w:pStyle w:val="12"/>
        <w:numPr>
          <w:ilvl w:val="0"/>
          <w:numId w:val="0"/>
        </w:numPr>
        <w:ind w:leftChars="200"/>
        <w:outlineLvl w:val="1"/>
        <w:rPr>
          <w:b/>
          <w:color w:val="auto"/>
          <w:sz w:val="28"/>
        </w:rPr>
      </w:pPr>
      <w:r>
        <w:rPr>
          <w:rFonts w:hint="eastAsia"/>
          <w:b/>
          <w:color w:val="auto"/>
          <w:sz w:val="28"/>
          <w:lang w:val="en-US" w:eastAsia="zh-CN"/>
        </w:rPr>
        <w:t xml:space="preserve">1.3   </w:t>
      </w:r>
      <w:r>
        <w:rPr>
          <w:rFonts w:hint="eastAsia"/>
          <w:b/>
          <w:color w:val="auto"/>
          <w:sz w:val="28"/>
        </w:rPr>
        <w:t>招标方职责</w:t>
      </w:r>
    </w:p>
    <w:p>
      <w:pPr>
        <w:numPr>
          <w:ilvl w:val="0"/>
          <w:numId w:val="2"/>
        </w:numPr>
        <w:spacing w:line="360" w:lineRule="auto"/>
        <w:ind w:firstLine="480"/>
        <w:rPr>
          <w:rFonts w:ascii="宋体" w:hAnsi="宋体"/>
          <w:color w:val="auto"/>
          <w:sz w:val="24"/>
          <w:szCs w:val="24"/>
        </w:rPr>
      </w:pPr>
      <w:r>
        <w:rPr>
          <w:rFonts w:hint="eastAsia" w:ascii="宋体" w:hAnsi="宋体"/>
          <w:color w:val="auto"/>
          <w:sz w:val="24"/>
          <w:szCs w:val="24"/>
        </w:rPr>
        <w:t>提出</w:t>
      </w:r>
      <w:r>
        <w:rPr>
          <w:rFonts w:hint="eastAsia" w:ascii="宋体" w:hAnsi="宋体"/>
          <w:color w:val="auto"/>
          <w:highlight w:val="none"/>
          <w:u w:val="none"/>
        </w:rPr>
        <w:t>“</w:t>
      </w:r>
      <w:r>
        <w:rPr>
          <w:rFonts w:hint="eastAsia" w:ascii="宋体" w:hAnsi="宋体"/>
          <w:color w:val="auto"/>
          <w:highlight w:val="none"/>
          <w:u w:val="none"/>
          <w:lang w:eastAsia="zh-CN"/>
        </w:rPr>
        <w:t>低压配电箱低压刀闸及接地刀闸一体化</w:t>
      </w:r>
      <w:r>
        <w:rPr>
          <w:rFonts w:hint="eastAsia" w:ascii="宋体" w:hAnsi="宋体"/>
          <w:color w:val="auto"/>
          <w:highlight w:val="none"/>
          <w:u w:val="none"/>
        </w:rPr>
        <w:t>”</w:t>
      </w:r>
      <w:r>
        <w:rPr>
          <w:rFonts w:hint="eastAsia" w:ascii="宋体" w:hAnsi="宋体"/>
          <w:color w:val="auto"/>
          <w:sz w:val="24"/>
          <w:szCs w:val="24"/>
        </w:rPr>
        <w:t>的详细材料需求；</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制定项目开发总体技术路线</w:t>
      </w:r>
      <w:r>
        <w:rPr>
          <w:rFonts w:hint="eastAsia" w:ascii="宋体" w:hAnsi="宋体"/>
          <w:color w:val="auto"/>
          <w:sz w:val="24"/>
          <w:szCs w:val="24"/>
        </w:rPr>
        <w:t>；</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为响应方收集项目开发所需</w:t>
      </w:r>
      <w:r>
        <w:rPr>
          <w:rFonts w:hint="eastAsia" w:ascii="宋体" w:hAnsi="宋体"/>
          <w:color w:val="auto"/>
          <w:sz w:val="24"/>
          <w:szCs w:val="24"/>
        </w:rPr>
        <w:t>材料</w:t>
      </w:r>
      <w:r>
        <w:rPr>
          <w:rFonts w:ascii="宋体" w:hAnsi="宋体"/>
          <w:color w:val="auto"/>
          <w:sz w:val="24"/>
          <w:szCs w:val="24"/>
        </w:rPr>
        <w:t>原始资料等提供协助；</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按照响应方提出的项目开发条件要求提供</w:t>
      </w:r>
      <w:r>
        <w:rPr>
          <w:rFonts w:hint="eastAsia" w:ascii="宋体" w:hAnsi="宋体"/>
          <w:color w:val="auto"/>
          <w:sz w:val="24"/>
          <w:szCs w:val="24"/>
        </w:rPr>
        <w:t>配合</w:t>
      </w:r>
      <w:r>
        <w:rPr>
          <w:rFonts w:ascii="宋体" w:hAnsi="宋体"/>
          <w:color w:val="auto"/>
          <w:sz w:val="24"/>
          <w:szCs w:val="24"/>
        </w:rPr>
        <w:t>人员和开发场地；</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负责</w:t>
      </w:r>
      <w:r>
        <w:rPr>
          <w:rFonts w:hint="eastAsia" w:ascii="宋体" w:hAnsi="宋体"/>
          <w:color w:val="auto"/>
          <w:sz w:val="24"/>
          <w:szCs w:val="24"/>
        </w:rPr>
        <w:t>项目装置功能</w:t>
      </w:r>
      <w:r>
        <w:rPr>
          <w:rFonts w:ascii="宋体" w:hAnsi="宋体"/>
          <w:color w:val="auto"/>
          <w:sz w:val="24"/>
          <w:szCs w:val="24"/>
        </w:rPr>
        <w:t>验收；</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为响应方人员在采购方所在地工作期间提供支持与方便；</w:t>
      </w:r>
    </w:p>
    <w:p>
      <w:pPr>
        <w:numPr>
          <w:ilvl w:val="0"/>
          <w:numId w:val="2"/>
        </w:numPr>
        <w:spacing w:line="360" w:lineRule="auto"/>
        <w:ind w:firstLine="480"/>
        <w:rPr>
          <w:rFonts w:ascii="宋体" w:hAnsi="宋体"/>
          <w:color w:val="auto"/>
          <w:sz w:val="24"/>
          <w:szCs w:val="24"/>
        </w:rPr>
      </w:pPr>
      <w:r>
        <w:rPr>
          <w:rFonts w:ascii="宋体" w:hAnsi="宋体"/>
          <w:color w:val="auto"/>
          <w:sz w:val="24"/>
          <w:szCs w:val="24"/>
        </w:rPr>
        <w:t>指派技术人员协助项目</w:t>
      </w:r>
      <w:r>
        <w:rPr>
          <w:rFonts w:hint="eastAsia" w:ascii="宋体" w:hAnsi="宋体"/>
          <w:color w:val="auto"/>
          <w:sz w:val="24"/>
          <w:szCs w:val="24"/>
        </w:rPr>
        <w:t>实施</w:t>
      </w:r>
      <w:r>
        <w:rPr>
          <w:rFonts w:ascii="宋体" w:hAnsi="宋体"/>
          <w:color w:val="auto"/>
          <w:sz w:val="24"/>
          <w:szCs w:val="24"/>
        </w:rPr>
        <w:t>，但指派的技术人员不对合同履行情况承担责任。</w:t>
      </w:r>
    </w:p>
    <w:p>
      <w:pPr>
        <w:pStyle w:val="12"/>
        <w:numPr>
          <w:ilvl w:val="0"/>
          <w:numId w:val="0"/>
        </w:numPr>
        <w:ind w:leftChars="200"/>
        <w:outlineLvl w:val="1"/>
        <w:rPr>
          <w:b/>
          <w:color w:val="auto"/>
          <w:sz w:val="28"/>
        </w:rPr>
      </w:pPr>
      <w:r>
        <w:rPr>
          <w:rFonts w:hint="eastAsia"/>
          <w:b/>
          <w:color w:val="auto"/>
          <w:sz w:val="28"/>
          <w:lang w:val="en-US" w:eastAsia="zh-CN"/>
        </w:rPr>
        <w:t xml:space="preserve">1.4  </w:t>
      </w:r>
      <w:r>
        <w:rPr>
          <w:rFonts w:hint="eastAsia"/>
          <w:b/>
          <w:color w:val="auto"/>
          <w:sz w:val="28"/>
        </w:rPr>
        <w:t>投标方职责</w:t>
      </w:r>
    </w:p>
    <w:p>
      <w:pPr>
        <w:numPr>
          <w:ilvl w:val="0"/>
          <w:numId w:val="3"/>
        </w:numPr>
        <w:spacing w:line="360" w:lineRule="auto"/>
        <w:ind w:firstLine="480"/>
        <w:rPr>
          <w:rFonts w:ascii="宋体" w:hAnsi="宋体"/>
          <w:color w:val="auto"/>
          <w:sz w:val="24"/>
          <w:szCs w:val="24"/>
        </w:rPr>
      </w:pPr>
      <w:r>
        <w:rPr>
          <w:rFonts w:hint="eastAsia" w:ascii="宋体" w:hAnsi="宋体"/>
          <w:color w:val="auto"/>
          <w:sz w:val="24"/>
          <w:szCs w:val="24"/>
        </w:rPr>
        <w:t>提供完整的材料详细清单和报价；</w:t>
      </w:r>
    </w:p>
    <w:p>
      <w:pPr>
        <w:numPr>
          <w:ilvl w:val="0"/>
          <w:numId w:val="3"/>
        </w:numPr>
        <w:spacing w:line="360" w:lineRule="auto"/>
        <w:ind w:firstLine="480"/>
        <w:rPr>
          <w:rFonts w:ascii="宋体" w:hAnsi="宋体"/>
          <w:color w:val="auto"/>
          <w:sz w:val="24"/>
          <w:szCs w:val="24"/>
        </w:rPr>
      </w:pPr>
      <w:r>
        <w:rPr>
          <w:rFonts w:hint="eastAsia" w:ascii="宋体" w:hAnsi="宋体"/>
          <w:color w:val="auto"/>
          <w:sz w:val="24"/>
          <w:szCs w:val="24"/>
        </w:rPr>
        <w:t>按合同范围提供完整的项目实施方案所需材料；</w:t>
      </w:r>
    </w:p>
    <w:p>
      <w:pPr>
        <w:numPr>
          <w:ilvl w:val="0"/>
          <w:numId w:val="3"/>
        </w:numPr>
        <w:spacing w:line="360" w:lineRule="auto"/>
        <w:ind w:firstLine="480"/>
        <w:rPr>
          <w:rFonts w:ascii="宋体" w:hAnsi="宋体"/>
          <w:color w:val="auto"/>
          <w:sz w:val="24"/>
          <w:szCs w:val="24"/>
        </w:rPr>
      </w:pPr>
      <w:r>
        <w:rPr>
          <w:rFonts w:hint="eastAsia" w:ascii="宋体" w:hAnsi="宋体"/>
          <w:color w:val="auto"/>
          <w:sz w:val="24"/>
          <w:szCs w:val="24"/>
        </w:rPr>
        <w:t>按合同要求协助进行</w:t>
      </w:r>
      <w:r>
        <w:rPr>
          <w:rFonts w:hint="eastAsia" w:ascii="宋体" w:hAnsi="宋体"/>
          <w:color w:val="auto"/>
          <w:highlight w:val="none"/>
          <w:u w:val="none"/>
        </w:rPr>
        <w:t>“</w:t>
      </w:r>
      <w:r>
        <w:rPr>
          <w:rFonts w:hint="eastAsia" w:ascii="宋体" w:hAnsi="宋体"/>
          <w:color w:val="auto"/>
          <w:highlight w:val="none"/>
          <w:u w:val="none"/>
          <w:lang w:eastAsia="zh-CN"/>
        </w:rPr>
        <w:t>低压配电箱低压刀闸及接地刀闸一体化</w:t>
      </w:r>
      <w:r>
        <w:rPr>
          <w:rFonts w:hint="eastAsia" w:ascii="宋体" w:hAnsi="宋体"/>
          <w:color w:val="auto"/>
          <w:highlight w:val="none"/>
          <w:u w:val="none"/>
        </w:rPr>
        <w:t>”</w:t>
      </w:r>
      <w:r>
        <w:rPr>
          <w:rFonts w:hint="eastAsia" w:ascii="宋体" w:hAnsi="宋体"/>
          <w:color w:val="auto"/>
          <w:sz w:val="24"/>
          <w:szCs w:val="24"/>
        </w:rPr>
        <w:t>项目的建设工</w:t>
      </w:r>
      <w:r>
        <w:rPr>
          <w:rFonts w:ascii="宋体" w:hAnsi="宋体"/>
          <w:color w:val="auto"/>
          <w:sz w:val="24"/>
          <w:szCs w:val="24"/>
        </w:rPr>
        <w:t>作</w:t>
      </w:r>
      <w:r>
        <w:rPr>
          <w:rFonts w:hint="eastAsia" w:ascii="宋体" w:hAnsi="宋体"/>
          <w:color w:val="auto"/>
          <w:sz w:val="24"/>
          <w:szCs w:val="24"/>
        </w:rPr>
        <w:t>；</w:t>
      </w:r>
    </w:p>
    <w:p>
      <w:pPr>
        <w:numPr>
          <w:ilvl w:val="0"/>
          <w:numId w:val="3"/>
        </w:numPr>
        <w:spacing w:line="360" w:lineRule="auto"/>
        <w:ind w:firstLine="480"/>
        <w:rPr>
          <w:rFonts w:ascii="宋体" w:hAnsi="宋体"/>
          <w:color w:val="auto"/>
          <w:sz w:val="24"/>
          <w:szCs w:val="24"/>
        </w:rPr>
      </w:pPr>
      <w:r>
        <w:rPr>
          <w:rFonts w:hint="eastAsia" w:ascii="宋体" w:hAnsi="宋体"/>
          <w:color w:val="auto"/>
          <w:sz w:val="24"/>
          <w:szCs w:val="24"/>
        </w:rPr>
        <w:t>负责协助功能评审和现场验收工作；</w:t>
      </w:r>
    </w:p>
    <w:p>
      <w:pPr>
        <w:numPr>
          <w:ilvl w:val="0"/>
          <w:numId w:val="3"/>
        </w:numPr>
        <w:spacing w:line="360" w:lineRule="auto"/>
        <w:ind w:firstLine="480"/>
        <w:rPr>
          <w:rFonts w:ascii="宋体" w:hAnsi="宋体"/>
          <w:color w:val="auto"/>
          <w:sz w:val="24"/>
          <w:szCs w:val="24"/>
        </w:rPr>
      </w:pPr>
      <w:r>
        <w:rPr>
          <w:rFonts w:hint="eastAsia" w:ascii="宋体" w:hAnsi="宋体"/>
          <w:color w:val="auto"/>
          <w:sz w:val="24"/>
          <w:szCs w:val="24"/>
        </w:rPr>
        <w:t>负责质保期间技术服务的维护；</w:t>
      </w:r>
    </w:p>
    <w:bookmarkEnd w:id="10"/>
    <w:bookmarkEnd w:id="11"/>
    <w:bookmarkEnd w:id="12"/>
    <w:bookmarkEnd w:id="13"/>
    <w:p>
      <w:pPr>
        <w:pStyle w:val="3"/>
        <w:numPr>
          <w:ilvl w:val="0"/>
          <w:numId w:val="0"/>
        </w:numPr>
        <w:spacing w:before="0" w:after="0" w:line="360" w:lineRule="auto"/>
        <w:rPr>
          <w:rFonts w:hint="default" w:eastAsia="宋体"/>
          <w:color w:val="auto"/>
          <w:szCs w:val="24"/>
          <w:lang w:val="en-US" w:eastAsia="zh-CN"/>
        </w:rPr>
      </w:pPr>
      <w:bookmarkStart w:id="23" w:name="_Toc444945516"/>
      <w:bookmarkStart w:id="24" w:name="_Toc22982"/>
      <w:r>
        <w:rPr>
          <w:rFonts w:hint="eastAsia"/>
          <w:color w:val="auto"/>
          <w:sz w:val="32"/>
          <w:szCs w:val="24"/>
          <w:lang w:val="en-US" w:eastAsia="zh-CN"/>
        </w:rPr>
        <w:t>2、</w:t>
      </w:r>
      <w:bookmarkEnd w:id="23"/>
      <w:bookmarkEnd w:id="24"/>
      <w:r>
        <w:rPr>
          <w:rFonts w:hint="eastAsia"/>
          <w:color w:val="auto"/>
          <w:sz w:val="32"/>
          <w:szCs w:val="24"/>
          <w:lang w:val="en-US" w:eastAsia="zh-CN"/>
        </w:rPr>
        <w:t>项目概述</w:t>
      </w:r>
    </w:p>
    <w:p>
      <w:pPr>
        <w:pStyle w:val="4"/>
        <w:tabs>
          <w:tab w:val="left" w:pos="0"/>
        </w:tabs>
        <w:spacing w:before="0" w:after="0" w:line="360" w:lineRule="auto"/>
        <w:rPr>
          <w:rFonts w:hint="eastAsia" w:ascii="宋体" w:hAnsi="宋体" w:cs="宋体"/>
          <w:color w:val="auto"/>
          <w:sz w:val="28"/>
          <w:szCs w:val="24"/>
        </w:rPr>
      </w:pPr>
      <w:bookmarkStart w:id="25" w:name="_Toc444945517"/>
      <w:bookmarkStart w:id="26" w:name="_Toc437603900"/>
      <w:bookmarkStart w:id="27" w:name="_Toc21881"/>
      <w:r>
        <w:rPr>
          <w:rFonts w:hint="eastAsia" w:ascii="宋体" w:hAnsi="宋体" w:cs="宋体"/>
          <w:color w:val="auto"/>
          <w:sz w:val="28"/>
          <w:szCs w:val="24"/>
        </w:rPr>
        <w:t>2.1 项目</w:t>
      </w:r>
      <w:bookmarkEnd w:id="25"/>
      <w:bookmarkEnd w:id="26"/>
      <w:r>
        <w:rPr>
          <w:rFonts w:hint="eastAsia" w:ascii="宋体" w:hAnsi="宋体" w:cs="宋体"/>
          <w:color w:val="auto"/>
          <w:sz w:val="28"/>
          <w:szCs w:val="24"/>
        </w:rPr>
        <w:t>研究对象</w:t>
      </w:r>
      <w:bookmarkEnd w:id="27"/>
    </w:p>
    <w:p>
      <w:pPr>
        <w:adjustRightInd w:val="0"/>
        <w:snapToGrid w:val="0"/>
        <w:spacing w:line="360" w:lineRule="auto"/>
        <w:ind w:right="249" w:firstLine="480" w:firstLineChars="200"/>
        <w:rPr>
          <w:rFonts w:hint="eastAsia" w:ascii="宋体" w:hAnsi="宋体" w:eastAsia="宋体" w:cs="宋体"/>
          <w:sz w:val="24"/>
          <w:highlight w:val="none"/>
          <w:lang w:val="en-US" w:eastAsia="zh-CN"/>
        </w:rPr>
      </w:pPr>
      <w:bookmarkStart w:id="28" w:name="_Toc437603901"/>
      <w:bookmarkStart w:id="29" w:name="_Toc17034"/>
      <w:bookmarkStart w:id="30" w:name="_Toc444945518"/>
      <w:r>
        <w:rPr>
          <w:rFonts w:hint="eastAsia" w:ascii="宋体" w:hAnsi="宋体" w:eastAsia="宋体" w:cs="宋体"/>
          <w:sz w:val="24"/>
          <w:highlight w:val="none"/>
          <w:lang w:val="en-US" w:eastAsia="zh-CN"/>
        </w:rPr>
        <w:t>配电网变压器台区线路分布广，运行环境复杂，线路检修及台区检修运维复杂，用户负荷大，低压出线大多数都是2回路，接地装设难度高，人员需求量大，接地装设时间长，登高作业风险大，难以满足电网设备维护和发展的需要。基于配网台区分布分散和检修维护形势严峻前提下，</w:t>
      </w:r>
      <w:r>
        <w:rPr>
          <w:rFonts w:hint="eastAsia" w:ascii="宋体" w:hAnsi="宋体" w:eastAsia="宋体" w:cs="宋体"/>
          <w:color w:val="auto"/>
          <w:sz w:val="24"/>
          <w:highlight w:val="none"/>
          <w:lang w:val="en-US" w:eastAsia="zh-CN"/>
        </w:rPr>
        <w:t>研究低压总刀闸与低压接地刀闸于一体技术(三工位：合闸、分闸、接地)，</w:t>
      </w:r>
      <w:r>
        <w:rPr>
          <w:rFonts w:hint="eastAsia" w:ascii="宋体" w:hAnsi="宋体" w:cs="宋体"/>
          <w:color w:val="auto"/>
          <w:sz w:val="24"/>
          <w:highlight w:val="none"/>
          <w:lang w:val="en-US" w:eastAsia="zh-CN"/>
        </w:rPr>
        <w:t>同时具备加锁功能，</w:t>
      </w:r>
      <w:r>
        <w:rPr>
          <w:rFonts w:hint="eastAsia" w:ascii="宋体" w:hAnsi="宋体" w:eastAsia="宋体" w:cs="宋体"/>
          <w:color w:val="auto"/>
          <w:sz w:val="24"/>
          <w:highlight w:val="none"/>
          <w:lang w:val="en-US" w:eastAsia="zh-CN"/>
        </w:rPr>
        <w:t>设备维护检修时方便操作，节省大量人力物力</w:t>
      </w:r>
      <w:r>
        <w:rPr>
          <w:rFonts w:hint="eastAsia" w:ascii="宋体" w:hAnsi="宋体" w:cs="宋体"/>
          <w:color w:val="auto"/>
          <w:sz w:val="24"/>
          <w:highlight w:val="none"/>
          <w:lang w:val="en-US" w:eastAsia="zh-CN"/>
        </w:rPr>
        <w:t>且提升操作的安全性、</w:t>
      </w:r>
      <w:r>
        <w:rPr>
          <w:rFonts w:hint="eastAsia" w:ascii="宋体" w:hAnsi="宋体" w:eastAsia="宋体" w:cs="宋体"/>
          <w:color w:val="auto"/>
          <w:sz w:val="24"/>
          <w:highlight w:val="none"/>
          <w:lang w:val="en-US" w:eastAsia="zh-CN"/>
        </w:rPr>
        <w:t>有效将装设接地线时间从以往的1小时</w:t>
      </w:r>
      <w:r>
        <w:rPr>
          <w:rFonts w:hint="eastAsia" w:ascii="宋体" w:hAnsi="宋体" w:cs="宋体"/>
          <w:color w:val="auto"/>
          <w:sz w:val="24"/>
          <w:highlight w:val="none"/>
          <w:lang w:val="en-US" w:eastAsia="zh-CN"/>
        </w:rPr>
        <w:t>降低</w:t>
      </w:r>
      <w:r>
        <w:rPr>
          <w:rFonts w:hint="eastAsia" w:ascii="宋体" w:hAnsi="宋体" w:eastAsia="宋体" w:cs="宋体"/>
          <w:color w:val="auto"/>
          <w:sz w:val="24"/>
          <w:highlight w:val="none"/>
          <w:lang w:val="en-US" w:eastAsia="zh-CN"/>
        </w:rPr>
        <w:t>至5分钟以内，同时降低大量人员登高作业风</w:t>
      </w:r>
      <w:r>
        <w:rPr>
          <w:rFonts w:hint="eastAsia" w:ascii="宋体" w:hAnsi="宋体" w:eastAsia="宋体" w:cs="宋体"/>
          <w:sz w:val="24"/>
          <w:highlight w:val="none"/>
          <w:lang w:val="en-US" w:eastAsia="zh-CN"/>
        </w:rPr>
        <w:t>险、大大提高了人员安全效能，提升工作效率。</w:t>
      </w:r>
    </w:p>
    <w:p>
      <w:pPr>
        <w:pStyle w:val="4"/>
        <w:tabs>
          <w:tab w:val="left" w:pos="0"/>
        </w:tabs>
        <w:spacing w:before="0" w:after="0" w:line="360" w:lineRule="auto"/>
        <w:rPr>
          <w:rFonts w:hint="default" w:ascii="宋体" w:hAnsi="宋体" w:eastAsia="宋体" w:cs="宋体"/>
          <w:color w:val="auto"/>
          <w:sz w:val="28"/>
          <w:szCs w:val="24"/>
          <w:lang w:val="en-US" w:eastAsia="zh-CN"/>
        </w:rPr>
      </w:pPr>
      <w:r>
        <w:rPr>
          <w:rFonts w:hint="eastAsia" w:ascii="宋体" w:hAnsi="宋体" w:cs="宋体"/>
          <w:color w:val="auto"/>
          <w:sz w:val="28"/>
          <w:szCs w:val="24"/>
        </w:rPr>
        <w:t>2.2项目内容</w:t>
      </w:r>
      <w:bookmarkEnd w:id="28"/>
      <w:bookmarkEnd w:id="29"/>
      <w:bookmarkEnd w:id="30"/>
      <w:r>
        <w:rPr>
          <w:rFonts w:hint="eastAsia" w:ascii="宋体" w:hAnsi="宋体" w:cs="宋体"/>
          <w:color w:val="auto"/>
          <w:sz w:val="28"/>
          <w:szCs w:val="24"/>
        </w:rPr>
        <w:t xml:space="preserve"> </w:t>
      </w:r>
      <w:r>
        <w:rPr>
          <w:rFonts w:hint="eastAsia" w:ascii="宋体" w:hAnsi="宋体" w:cs="宋体"/>
          <w:color w:val="auto"/>
          <w:sz w:val="28"/>
          <w:szCs w:val="24"/>
          <w:lang w:val="en-US" w:eastAsia="zh-CN"/>
        </w:rPr>
        <w:t xml:space="preserve">   </w:t>
      </w:r>
    </w:p>
    <w:p>
      <w:pPr>
        <w:pStyle w:val="5"/>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2.2.1</w:t>
      </w:r>
      <w:r>
        <w:rPr>
          <w:rFonts w:hint="eastAsia" w:ascii="宋体" w:hAnsi="宋体"/>
          <w:color w:val="auto"/>
          <w:highlight w:val="none"/>
          <w:u w:val="none"/>
        </w:rPr>
        <w:t>“</w:t>
      </w:r>
      <w:r>
        <w:rPr>
          <w:rFonts w:hint="eastAsia" w:ascii="宋体" w:hAnsi="宋体"/>
          <w:color w:val="auto"/>
          <w:highlight w:val="none"/>
          <w:u w:val="none"/>
          <w:lang w:eastAsia="zh-CN"/>
        </w:rPr>
        <w:t>低压配电箱低压刀闸及接地刀闸一体化</w:t>
      </w:r>
      <w:r>
        <w:rPr>
          <w:rFonts w:hint="eastAsia" w:ascii="宋体" w:hAnsi="宋体"/>
          <w:color w:val="auto"/>
          <w:highlight w:val="none"/>
          <w:u w:val="none"/>
        </w:rPr>
        <w:t>”</w:t>
      </w:r>
      <w:r>
        <w:rPr>
          <w:rFonts w:hint="eastAsia"/>
          <w:color w:val="auto"/>
          <w:sz w:val="24"/>
          <w:szCs w:val="24"/>
          <w:lang w:val="en-US" w:eastAsia="zh-CN"/>
        </w:rPr>
        <w:t>结构设计研究</w:t>
      </w:r>
    </w:p>
    <w:p>
      <w:pPr>
        <w:pStyle w:val="5"/>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本设备采用进线侧触头+懂触刀+接地触头模式，使线路能满足运行、冷备用、检修（即短路接地）状态，避免了线路侧带接地误合刀闸的可能，提高设备的安全性。</w:t>
      </w:r>
    </w:p>
    <w:p>
      <w:pPr>
        <w:pStyle w:val="5"/>
        <w:spacing w:line="360" w:lineRule="auto"/>
        <w:ind w:firstLine="480" w:firstLineChars="200"/>
        <w:rPr>
          <w:rFonts w:hint="default"/>
          <w:color w:val="auto"/>
          <w:sz w:val="24"/>
          <w:szCs w:val="24"/>
          <w:lang w:val="en-US" w:eastAsia="zh-CN"/>
        </w:rPr>
      </w:pPr>
      <w:r>
        <w:rPr>
          <w:rFonts w:hint="eastAsia"/>
          <w:color w:val="auto"/>
          <w:sz w:val="24"/>
          <w:szCs w:val="24"/>
          <w:lang w:val="en-US" w:eastAsia="zh-CN"/>
        </w:rPr>
        <w:t>2.2.2 装置使用效果研究</w:t>
      </w:r>
    </w:p>
    <w:p>
      <w:pPr>
        <w:pStyle w:val="5"/>
        <w:spacing w:line="360" w:lineRule="auto"/>
        <w:ind w:firstLine="480" w:firstLineChars="200"/>
        <w:rPr>
          <w:rFonts w:hint="eastAsia"/>
          <w:color w:val="auto"/>
          <w:sz w:val="24"/>
          <w:szCs w:val="24"/>
          <w:lang w:val="en-US" w:eastAsia="zh-CN"/>
        </w:rPr>
      </w:pPr>
      <w:r>
        <w:rPr>
          <w:rFonts w:hint="eastAsia" w:ascii="宋体" w:hAnsi="宋体" w:eastAsia="宋体" w:cs="宋体"/>
          <w:color w:val="auto"/>
          <w:sz w:val="24"/>
          <w:highlight w:val="none"/>
          <w:lang w:val="en-US" w:eastAsia="zh-CN"/>
        </w:rPr>
        <w:t>低压总刀闸与低压接地刀闸于一体技术(三工位：合闸、分闸、接地)，</w:t>
      </w:r>
      <w:r>
        <w:rPr>
          <w:rFonts w:hint="eastAsia" w:ascii="宋体" w:hAnsi="宋体" w:cs="宋体"/>
          <w:color w:val="auto"/>
          <w:sz w:val="24"/>
          <w:highlight w:val="none"/>
          <w:lang w:val="en-US" w:eastAsia="zh-CN"/>
        </w:rPr>
        <w:t>同时具备加锁功能，</w:t>
      </w:r>
      <w:r>
        <w:rPr>
          <w:rFonts w:hint="eastAsia" w:ascii="宋体" w:hAnsi="宋体" w:eastAsia="宋体" w:cs="宋体"/>
          <w:color w:val="auto"/>
          <w:sz w:val="24"/>
          <w:highlight w:val="none"/>
          <w:lang w:val="en-US" w:eastAsia="zh-CN"/>
        </w:rPr>
        <w:t>设备维护检修时方便操作，节省大量人力物力</w:t>
      </w:r>
      <w:r>
        <w:rPr>
          <w:rFonts w:hint="eastAsia" w:ascii="宋体" w:hAnsi="宋体" w:cs="宋体"/>
          <w:color w:val="auto"/>
          <w:sz w:val="24"/>
          <w:highlight w:val="none"/>
          <w:lang w:val="en-US" w:eastAsia="zh-CN"/>
        </w:rPr>
        <w:t>且提升操作的安全性</w:t>
      </w:r>
    </w:p>
    <w:p>
      <w:pPr>
        <w:pStyle w:val="13"/>
        <w:numPr>
          <w:ilvl w:val="0"/>
          <w:numId w:val="0"/>
        </w:numPr>
        <w:rPr>
          <w:rFonts w:hint="eastAsia" w:ascii="宋体" w:hAnsi="宋体" w:eastAsia="宋体" w:cs="宋体"/>
          <w:b w:val="0"/>
          <w:bCs/>
          <w:color w:val="auto"/>
          <w:sz w:val="30"/>
          <w:szCs w:val="30"/>
          <w:lang w:val="en-US" w:eastAsia="zh-CN"/>
        </w:rPr>
      </w:pPr>
      <w:r>
        <w:rPr>
          <w:rFonts w:hint="eastAsia" w:ascii="宋体" w:hAnsi="宋体" w:eastAsia="宋体" w:cs="宋体"/>
          <w:b w:val="0"/>
          <w:bCs/>
          <w:color w:val="auto"/>
          <w:sz w:val="30"/>
          <w:szCs w:val="30"/>
          <w:lang w:val="en-US" w:eastAsia="zh-CN"/>
        </w:rPr>
        <w:t xml:space="preserve"> </w:t>
      </w:r>
      <w:r>
        <w:rPr>
          <w:rFonts w:hint="eastAsia" w:ascii="宋体" w:hAnsi="宋体" w:eastAsia="宋体" w:cs="宋体"/>
          <w:b w:val="0"/>
          <w:bCs w:val="0"/>
          <w:color w:val="auto"/>
          <w:kern w:val="2"/>
          <w:sz w:val="24"/>
          <w:szCs w:val="24"/>
          <w:lang w:val="en-US" w:eastAsia="zh-CN" w:bidi="ar-SA"/>
        </w:rPr>
        <w:t xml:space="preserve">   2.2.3服务内容</w:t>
      </w:r>
    </w:p>
    <w:p>
      <w:pPr>
        <w:pStyle w:val="13"/>
        <w:numPr>
          <w:ilvl w:val="0"/>
          <w:numId w:val="0"/>
        </w:numP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采购内容一览表：</w:t>
      </w:r>
    </w:p>
    <w:tbl>
      <w:tblPr>
        <w:tblStyle w:val="9"/>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62"/>
        <w:gridCol w:w="2612"/>
        <w:gridCol w:w="1350"/>
        <w:gridCol w:w="1175"/>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项目名称</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采购内容</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单位</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olor w:val="auto"/>
                <w:highlight w:val="none"/>
                <w:u w:val="none"/>
              </w:rPr>
              <w:t>“</w:t>
            </w:r>
            <w:r>
              <w:rPr>
                <w:rFonts w:hint="eastAsia" w:ascii="宋体" w:hAnsi="宋体"/>
                <w:color w:val="auto"/>
                <w:highlight w:val="none"/>
                <w:u w:val="none"/>
                <w:lang w:eastAsia="zh-CN"/>
              </w:rPr>
              <w:t>低压配电箱低压刀闸及接地刀闸一体化</w:t>
            </w:r>
            <w:r>
              <w:rPr>
                <w:rFonts w:hint="eastAsia" w:ascii="宋体" w:hAnsi="宋体"/>
                <w:color w:val="auto"/>
                <w:highlight w:val="none"/>
                <w:u w:val="none"/>
              </w:rPr>
              <w:t>”</w:t>
            </w:r>
            <w:r>
              <w:rPr>
                <w:rFonts w:hint="eastAsia" w:ascii="宋体" w:hAnsi="宋体" w:eastAsia="宋体" w:cs="宋体"/>
                <w:i w:val="0"/>
                <w:iCs w:val="0"/>
                <w:color w:val="auto"/>
                <w:kern w:val="0"/>
                <w:sz w:val="22"/>
                <w:szCs w:val="22"/>
                <w:u w:val="none"/>
                <w:lang w:val="en-US" w:eastAsia="zh-CN" w:bidi="ar"/>
              </w:rPr>
              <w:t>项目加工（含材料）服务</w:t>
            </w:r>
          </w:p>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660" w:firstLineChars="300"/>
              <w:jc w:val="both"/>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静触头座</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6</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动触刀（闸刀）</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接线端子</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9</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短路铜片</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20cm</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220" w:firstLineChars="100"/>
              <w:jc w:val="both"/>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接地铜线</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2m</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条</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铜铝接线鼻子</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Φ16×2</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绝缘底板</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660" w:firstLineChars="300"/>
              <w:jc w:val="both"/>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绝缘操作手柄</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绝缘罩壳</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left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误操作锁具(具备绝缘功能)</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2</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266"/>
              </w:tabs>
              <w:ind w:left="0" w:lef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ab/>
            </w:r>
            <w:r>
              <w:rPr>
                <w:rFonts w:hint="eastAsia" w:ascii="宋体" w:hAnsi="宋体" w:eastAsia="宋体" w:cs="宋体"/>
                <w:i w:val="0"/>
                <w:iCs w:val="0"/>
                <w:color w:val="auto"/>
                <w:kern w:val="0"/>
                <w:sz w:val="22"/>
                <w:szCs w:val="22"/>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装置整体结构加工</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8105" w:type="dxa"/>
            <w:gridSpan w:val="5"/>
            <w:tcBorders>
              <w:top w:val="single" w:color="000000" w:sz="4" w:space="0"/>
              <w:left w:val="single" w:color="000000" w:sz="4" w:space="0"/>
              <w:bottom w:val="single" w:color="000000" w:sz="4" w:space="0"/>
              <w:right w:val="single" w:color="000000" w:sz="4" w:space="0"/>
            </w:tcBorders>
            <w:noWrap w:val="0"/>
            <w:vAlign w:val="center"/>
          </w:tcPr>
          <w:p>
            <w:pPr>
              <w:pStyle w:val="13"/>
              <w:ind w:left="0" w:leftChars="0" w:firstLine="0" w:firstLineChars="0"/>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color w:val="auto"/>
                <w:kern w:val="0"/>
                <w:sz w:val="32"/>
                <w:szCs w:val="32"/>
                <w:lang w:val="en-US" w:eastAsia="zh-CN" w:bidi="ar"/>
              </w:rPr>
              <w:t>交付成果及要求：完成加工</w:t>
            </w:r>
            <w:r>
              <w:rPr>
                <w:rFonts w:hint="eastAsia" w:ascii="宋体" w:hAnsi="宋体"/>
                <w:color w:val="auto"/>
                <w:highlight w:val="none"/>
                <w:u w:val="none"/>
                <w:lang w:eastAsia="zh-CN"/>
              </w:rPr>
              <w:t>低压配电箱低压刀闸及接地刀闸一体化</w:t>
            </w:r>
            <w:r>
              <w:rPr>
                <w:rFonts w:hint="eastAsia" w:ascii="宋体" w:hAnsi="宋体" w:eastAsia="宋体" w:cs="宋体"/>
                <w:color w:val="auto"/>
                <w:kern w:val="0"/>
                <w:sz w:val="32"/>
                <w:szCs w:val="32"/>
                <w:lang w:val="en-US" w:eastAsia="zh-CN" w:bidi="ar"/>
              </w:rPr>
              <w:t>装置1套。</w:t>
            </w:r>
          </w:p>
        </w:tc>
      </w:tr>
    </w:tbl>
    <w:p>
      <w:pPr>
        <w:pStyle w:val="13"/>
        <w:numPr>
          <w:ilvl w:val="0"/>
          <w:numId w:val="0"/>
        </w:numPr>
        <w:rPr>
          <w:rFonts w:hint="eastAsia" w:ascii="宋体" w:hAnsi="宋体" w:eastAsia="宋体" w:cs="宋体"/>
          <w:b w:val="0"/>
          <w:bCs/>
          <w:color w:val="auto"/>
          <w:sz w:val="30"/>
          <w:szCs w:val="30"/>
          <w:lang w:val="en-US" w:eastAsia="zh-CN"/>
        </w:rPr>
      </w:pPr>
    </w:p>
    <w:p>
      <w:pPr>
        <w:keepNext/>
        <w:keepLines/>
        <w:numPr>
          <w:ilvl w:val="0"/>
          <w:numId w:val="0"/>
        </w:numPr>
        <w:spacing w:beforeLines="50" w:afterLines="50" w:line="360" w:lineRule="auto"/>
        <w:outlineLvl w:val="0"/>
        <w:rPr>
          <w:rFonts w:hint="default" w:ascii="宋体"/>
          <w:b/>
          <w:bCs/>
          <w:color w:val="auto"/>
          <w:kern w:val="44"/>
          <w:sz w:val="32"/>
          <w:szCs w:val="44"/>
          <w:lang w:val="en-US" w:eastAsia="zh-CN"/>
        </w:rPr>
      </w:pPr>
      <w:r>
        <w:rPr>
          <w:rFonts w:hint="eastAsia" w:ascii="宋体"/>
          <w:b/>
          <w:bCs/>
          <w:color w:val="auto"/>
          <w:kern w:val="44"/>
          <w:sz w:val="32"/>
          <w:szCs w:val="44"/>
          <w:lang w:val="en-US" w:eastAsia="zh-CN"/>
        </w:rPr>
        <w:t>3、总体要求</w:t>
      </w:r>
    </w:p>
    <w:p>
      <w:pPr>
        <w:pStyle w:val="12"/>
        <w:numPr>
          <w:ilvl w:val="0"/>
          <w:numId w:val="0"/>
        </w:numPr>
        <w:outlineLvl w:val="1"/>
        <w:rPr>
          <w:rFonts w:hint="eastAsia"/>
          <w:b/>
          <w:color w:val="auto"/>
          <w:sz w:val="28"/>
        </w:rPr>
      </w:pPr>
      <w:bookmarkStart w:id="31" w:name="_Toc444945519"/>
      <w:bookmarkStart w:id="32" w:name="_Toc437603902"/>
      <w:bookmarkStart w:id="33" w:name="_Toc21449"/>
      <w:r>
        <w:rPr>
          <w:rFonts w:hint="eastAsia"/>
          <w:b/>
          <w:color w:val="auto"/>
          <w:sz w:val="28"/>
          <w:lang w:val="en-US" w:eastAsia="zh-CN"/>
        </w:rPr>
        <w:t>3</w:t>
      </w:r>
      <w:r>
        <w:rPr>
          <w:rFonts w:hint="eastAsia"/>
          <w:b/>
          <w:color w:val="auto"/>
          <w:sz w:val="28"/>
        </w:rPr>
        <w:t>.</w:t>
      </w:r>
      <w:r>
        <w:rPr>
          <w:rFonts w:hint="eastAsia"/>
          <w:b/>
          <w:color w:val="auto"/>
          <w:sz w:val="28"/>
          <w:lang w:val="en-US" w:eastAsia="zh-CN"/>
        </w:rPr>
        <w:t>1</w:t>
      </w:r>
      <w:r>
        <w:rPr>
          <w:rFonts w:hint="eastAsia"/>
          <w:b/>
          <w:color w:val="auto"/>
          <w:sz w:val="28"/>
        </w:rPr>
        <w:t xml:space="preserve"> </w:t>
      </w:r>
      <w:r>
        <w:rPr>
          <w:rFonts w:hint="eastAsia"/>
          <w:b/>
          <w:color w:val="auto"/>
          <w:sz w:val="28"/>
          <w:lang w:eastAsia="zh-CN"/>
        </w:rPr>
        <w:t>结构布置及</w:t>
      </w:r>
      <w:r>
        <w:rPr>
          <w:rFonts w:hint="eastAsia"/>
          <w:b/>
          <w:color w:val="auto"/>
          <w:sz w:val="28"/>
        </w:rPr>
        <w:t>功能要求</w:t>
      </w:r>
    </w:p>
    <w:p>
      <w:pPr>
        <w:pStyle w:val="5"/>
        <w:spacing w:line="360" w:lineRule="auto"/>
        <w:ind w:firstLine="480" w:firstLineChars="200"/>
        <w:rPr>
          <w:rFonts w:hint="eastAsia"/>
          <w:color w:val="auto"/>
          <w:sz w:val="24"/>
          <w:szCs w:val="24"/>
          <w:lang w:val="en-US" w:eastAsia="zh-CN"/>
        </w:rPr>
      </w:pPr>
      <w:r>
        <w:rPr>
          <w:rFonts w:hint="eastAsia"/>
          <w:color w:val="auto"/>
          <w:sz w:val="24"/>
          <w:szCs w:val="24"/>
          <w:lang w:val="en-US" w:eastAsia="zh-CN"/>
        </w:rPr>
        <w:t>本设备采用2组静触头，1组动触刀，呈上、中、下安装结构，其中：上端位置为上触头（进线侧），中间位置为动触刀（出线侧），下端位置为下触头（短路接地侧）,该触头由接地线连接至接地扁铁处。上触头和下触头分别设置误操作锁具。工作原理：1、动触刀向上合闸为线路正常工作状态；2、动触刀断开，与上、下两侧静触头无物理连接为冷备用状态；3、动触刀向下合闸为线路短路（检修）状态，同时可将误操作锁具上锁，防止他人误操作；4、当变压器侧需要停电检修，低压线路侧需要发电机接入时，将上下静触头处误操作锁具上锁，可防止误操作将发电机电源反送电至变压器，或者造成带电压（发电机）合接地刀闸。不管动触刀向电源侧或者接地侧合闸，其只能二选一，避免了线路侧带接地误合刀闸的可能，提高设备的安全性。</w:t>
      </w:r>
    </w:p>
    <w:p>
      <w:pPr>
        <w:keepNext/>
        <w:keepLines/>
        <w:numPr>
          <w:ilvl w:val="0"/>
          <w:numId w:val="0"/>
        </w:numPr>
        <w:spacing w:beforeLines="50" w:afterLines="50" w:line="360" w:lineRule="auto"/>
        <w:outlineLvl w:val="0"/>
        <w:rPr>
          <w:rFonts w:hint="default" w:ascii="宋体"/>
          <w:b/>
          <w:bCs/>
          <w:color w:val="auto"/>
          <w:kern w:val="44"/>
          <w:sz w:val="32"/>
          <w:szCs w:val="44"/>
          <w:lang w:val="en-US" w:eastAsia="zh-CN"/>
        </w:rPr>
      </w:pPr>
      <w:r>
        <w:rPr>
          <w:rFonts w:hint="eastAsia" w:ascii="宋体"/>
          <w:b/>
          <w:bCs/>
          <w:color w:val="auto"/>
          <w:kern w:val="44"/>
          <w:sz w:val="32"/>
          <w:szCs w:val="44"/>
          <w:lang w:val="en-US" w:eastAsia="zh-CN"/>
        </w:rPr>
        <w:t>4、技术要求</w:t>
      </w:r>
    </w:p>
    <w:p>
      <w:pPr>
        <w:pStyle w:val="4"/>
        <w:tabs>
          <w:tab w:val="left" w:pos="0"/>
        </w:tabs>
        <w:spacing w:before="0" w:after="0" w:line="360" w:lineRule="auto"/>
        <w:rPr>
          <w:rFonts w:hint="eastAsia" w:ascii="宋体" w:hAnsi="宋体" w:cs="宋体"/>
          <w:color w:val="auto"/>
          <w:sz w:val="28"/>
          <w:szCs w:val="28"/>
        </w:rPr>
      </w:pPr>
      <w:r>
        <w:rPr>
          <w:rFonts w:hint="eastAsia" w:ascii="宋体" w:hAnsi="宋体" w:cs="宋体"/>
          <w:color w:val="auto"/>
          <w:sz w:val="28"/>
          <w:szCs w:val="28"/>
          <w:lang w:val="en-US" w:eastAsia="zh-CN"/>
        </w:rPr>
        <w:t>4</w:t>
      </w:r>
      <w:r>
        <w:rPr>
          <w:rFonts w:hint="eastAsia" w:ascii="宋体" w:hAnsi="宋体" w:cs="宋体"/>
          <w:color w:val="auto"/>
          <w:sz w:val="28"/>
          <w:szCs w:val="28"/>
        </w:rPr>
        <w:t>.</w:t>
      </w:r>
      <w:bookmarkEnd w:id="31"/>
      <w:bookmarkEnd w:id="32"/>
      <w:r>
        <w:rPr>
          <w:rFonts w:hint="eastAsia" w:ascii="宋体" w:hAnsi="宋体" w:cs="宋体"/>
          <w:color w:val="auto"/>
          <w:sz w:val="28"/>
          <w:szCs w:val="28"/>
          <w:lang w:val="en-US" w:eastAsia="zh-CN"/>
        </w:rPr>
        <w:t xml:space="preserve">1 </w:t>
      </w:r>
      <w:r>
        <w:rPr>
          <w:rFonts w:hint="eastAsia" w:ascii="宋体" w:hAnsi="宋体" w:cs="宋体"/>
          <w:color w:val="auto"/>
          <w:sz w:val="28"/>
          <w:szCs w:val="28"/>
        </w:rPr>
        <w:t>技术指标要求</w:t>
      </w:r>
      <w:bookmarkEnd w:id="33"/>
    </w:p>
    <w:p>
      <w:pPr>
        <w:ind w:firstLine="480"/>
        <w:rPr>
          <w:rFonts w:hint="eastAsia" w:ascii="宋体" w:hAnsi="宋体" w:cs="宋体"/>
          <w:color w:val="auto"/>
        </w:rPr>
      </w:pPr>
      <w:bookmarkStart w:id="34" w:name="_Toc437603903"/>
      <w:bookmarkStart w:id="35" w:name="_Toc444945520"/>
      <w:r>
        <w:rPr>
          <w:rFonts w:hint="eastAsia" w:ascii="宋体" w:hAnsi="宋体" w:cs="宋体"/>
          <w:color w:val="auto"/>
          <w:lang w:eastAsia="zh-CN"/>
        </w:rPr>
        <w:t>额定工作电压</w:t>
      </w:r>
      <w:r>
        <w:rPr>
          <w:rFonts w:hint="eastAsia" w:ascii="宋体" w:hAnsi="宋体" w:cs="宋体"/>
          <w:color w:val="auto"/>
        </w:rPr>
        <w:t>：</w:t>
      </w:r>
      <w:r>
        <w:rPr>
          <w:rFonts w:hint="eastAsia" w:ascii="宋体" w:hAnsi="宋体" w:cs="宋体"/>
          <w:color w:val="auto"/>
          <w:lang w:val="en-US" w:eastAsia="zh-CN"/>
        </w:rPr>
        <w:t>Ue400/690</w:t>
      </w:r>
      <w:r>
        <w:rPr>
          <w:rFonts w:hint="eastAsia" w:ascii="宋体" w:hAnsi="宋体" w:cs="宋体"/>
          <w:color w:val="auto"/>
        </w:rPr>
        <w:t>V</w:t>
      </w:r>
    </w:p>
    <w:p>
      <w:pPr>
        <w:ind w:firstLine="480"/>
        <w:rPr>
          <w:rFonts w:hint="default" w:ascii="宋体" w:hAnsi="宋体" w:cs="宋体"/>
          <w:color w:val="auto"/>
          <w:lang w:val="en-US"/>
        </w:rPr>
      </w:pPr>
      <w:r>
        <w:rPr>
          <w:rFonts w:hint="eastAsia" w:ascii="宋体" w:hAnsi="宋体" w:cs="宋体"/>
          <w:color w:val="auto"/>
          <w:lang w:eastAsia="zh-CN"/>
        </w:rPr>
        <w:t>额定工作电流：</w:t>
      </w:r>
      <w:r>
        <w:rPr>
          <w:rFonts w:hint="eastAsia" w:ascii="宋体" w:hAnsi="宋体" w:cs="宋体"/>
          <w:color w:val="auto"/>
          <w:lang w:val="en-US" w:eastAsia="zh-CN"/>
        </w:rPr>
        <w:t>Le250/200A</w:t>
      </w:r>
    </w:p>
    <w:p>
      <w:pPr>
        <w:ind w:firstLine="480"/>
        <w:rPr>
          <w:rFonts w:hint="eastAsia" w:ascii="宋体" w:hAnsi="宋体" w:cs="宋体"/>
          <w:color w:val="auto"/>
        </w:rPr>
      </w:pPr>
      <w:r>
        <w:rPr>
          <w:rFonts w:hint="eastAsia" w:ascii="宋体" w:hAnsi="宋体" w:cs="宋体"/>
          <w:color w:val="auto"/>
        </w:rPr>
        <w:t>工作环境：-2</w:t>
      </w:r>
      <w:r>
        <w:rPr>
          <w:rFonts w:hint="eastAsia" w:ascii="宋体" w:hAnsi="宋体" w:cs="宋体"/>
          <w:color w:val="auto"/>
          <w:lang w:val="en-US" w:eastAsia="zh-CN"/>
        </w:rPr>
        <w:t>0</w:t>
      </w:r>
      <w:r>
        <w:rPr>
          <w:rFonts w:hint="eastAsia" w:ascii="宋体" w:hAnsi="宋体" w:cs="宋体"/>
          <w:color w:val="auto"/>
        </w:rPr>
        <w:t xml:space="preserve">℃ - </w:t>
      </w:r>
      <w:r>
        <w:rPr>
          <w:rFonts w:hint="eastAsia" w:ascii="宋体" w:hAnsi="宋体" w:cs="宋体"/>
          <w:color w:val="auto"/>
          <w:lang w:val="en-US" w:eastAsia="zh-CN"/>
        </w:rPr>
        <w:t>5</w:t>
      </w:r>
      <w:r>
        <w:rPr>
          <w:rFonts w:hint="eastAsia" w:ascii="宋体" w:hAnsi="宋体" w:cs="宋体"/>
          <w:color w:val="auto"/>
        </w:rPr>
        <w:t>5℃</w:t>
      </w:r>
    </w:p>
    <w:p>
      <w:pPr>
        <w:ind w:firstLine="480"/>
        <w:rPr>
          <w:rFonts w:hint="eastAsia" w:ascii="宋体" w:hAnsi="宋体" w:cs="宋体"/>
          <w:color w:val="auto"/>
        </w:rPr>
      </w:pPr>
      <w:r>
        <w:rPr>
          <w:rFonts w:hint="eastAsia" w:ascii="宋体" w:hAnsi="宋体" w:cs="宋体"/>
          <w:color w:val="auto"/>
        </w:rPr>
        <w:t>相对湿度：≤95 %</w:t>
      </w:r>
    </w:p>
    <w:p>
      <w:pPr>
        <w:ind w:firstLine="480"/>
        <w:rPr>
          <w:rFonts w:hint="eastAsia" w:ascii="宋体" w:hAnsi="宋体" w:eastAsia="宋体" w:cs="宋体"/>
          <w:color w:val="auto"/>
          <w:lang w:val="en-US" w:eastAsia="zh-CN"/>
        </w:rPr>
      </w:pPr>
      <w:r>
        <w:rPr>
          <w:rFonts w:hint="eastAsia" w:ascii="宋体" w:hAnsi="宋体" w:cs="宋体"/>
          <w:color w:val="auto"/>
        </w:rPr>
        <w:t>介质：无腐蚀性气体</w:t>
      </w:r>
      <w:r>
        <w:rPr>
          <w:rFonts w:hint="eastAsia" w:ascii="宋体" w:hAnsi="宋体" w:cs="宋体"/>
          <w:color w:val="auto"/>
          <w:lang w:eastAsia="zh-CN"/>
        </w:rPr>
        <w:t>、液体</w:t>
      </w:r>
    </w:p>
    <w:p>
      <w:pPr>
        <w:pStyle w:val="4"/>
        <w:tabs>
          <w:tab w:val="left" w:pos="0"/>
        </w:tabs>
        <w:spacing w:before="0" w:after="0" w:line="360" w:lineRule="auto"/>
        <w:rPr>
          <w:rFonts w:hint="eastAsia" w:ascii="宋体" w:hAnsi="宋体" w:cs="宋体"/>
          <w:color w:val="auto"/>
          <w:sz w:val="28"/>
          <w:szCs w:val="28"/>
          <w:lang w:eastAsia="zh-CN"/>
        </w:rPr>
      </w:pPr>
      <w:r>
        <w:rPr>
          <w:rFonts w:hint="eastAsia" w:ascii="宋体" w:hAnsi="宋体" w:cs="宋体"/>
          <w:color w:val="auto"/>
          <w:sz w:val="28"/>
          <w:szCs w:val="28"/>
          <w:lang w:val="en-US" w:eastAsia="zh-CN"/>
        </w:rPr>
        <w:t xml:space="preserve">4.2 </w:t>
      </w:r>
      <w:r>
        <w:rPr>
          <w:rFonts w:hint="eastAsia" w:ascii="宋体" w:hAnsi="宋体" w:cs="宋体"/>
          <w:color w:val="auto"/>
          <w:sz w:val="28"/>
          <w:szCs w:val="28"/>
          <w:lang w:eastAsia="zh-CN"/>
        </w:rPr>
        <w:t>系统安全要求</w:t>
      </w:r>
    </w:p>
    <w:p>
      <w:pPr>
        <w:rPr>
          <w:rFonts w:hint="eastAsia" w:ascii="宋体" w:hAnsi="宋体"/>
          <w:color w:val="auto"/>
          <w:lang w:eastAsia="zh-CN"/>
        </w:rPr>
      </w:pPr>
      <w:r>
        <w:rPr>
          <w:rFonts w:hint="eastAsia" w:ascii="宋体" w:hAnsi="宋体"/>
          <w:color w:val="auto"/>
          <w:lang w:eastAsia="zh-CN"/>
        </w:rPr>
        <w:t>本项目涉及的系统安全等级、系统部署、商业秘密保护、网络安全、主机安全、数据库安全、中间件安全、应用安全、数据安全需满足南方电网公司网络安全合规库和南方电网电力试验检修试验规程的要求。</w:t>
      </w:r>
    </w:p>
    <w:p>
      <w:pPr>
        <w:keepNext/>
        <w:keepLines/>
        <w:numPr>
          <w:ilvl w:val="0"/>
          <w:numId w:val="0"/>
        </w:numPr>
        <w:spacing w:beforeLines="50" w:afterLines="50" w:line="360" w:lineRule="auto"/>
        <w:outlineLvl w:val="0"/>
        <w:rPr>
          <w:rFonts w:ascii="宋体"/>
          <w:b/>
          <w:bCs/>
          <w:color w:val="auto"/>
          <w:kern w:val="44"/>
          <w:sz w:val="32"/>
          <w:szCs w:val="44"/>
        </w:rPr>
      </w:pPr>
      <w:bookmarkStart w:id="36" w:name="_Toc509005146"/>
      <w:bookmarkStart w:id="37" w:name="_Toc12132_WPSOffice_Level1"/>
      <w:r>
        <w:rPr>
          <w:rFonts w:hint="eastAsia" w:ascii="宋体"/>
          <w:b/>
          <w:bCs/>
          <w:color w:val="auto"/>
          <w:kern w:val="44"/>
          <w:sz w:val="32"/>
          <w:szCs w:val="44"/>
          <w:lang w:val="en-US" w:eastAsia="zh-CN"/>
        </w:rPr>
        <w:t>5、</w:t>
      </w:r>
      <w:r>
        <w:rPr>
          <w:rFonts w:hint="eastAsia" w:ascii="宋体"/>
          <w:b/>
          <w:bCs/>
          <w:color w:val="auto"/>
          <w:kern w:val="44"/>
          <w:sz w:val="32"/>
          <w:szCs w:val="44"/>
        </w:rPr>
        <w:t>其他要求</w:t>
      </w:r>
      <w:bookmarkEnd w:id="36"/>
      <w:bookmarkEnd w:id="37"/>
    </w:p>
    <w:p>
      <w:pPr>
        <w:pStyle w:val="12"/>
        <w:numPr>
          <w:ilvl w:val="1"/>
          <w:numId w:val="4"/>
        </w:numPr>
        <w:ind w:firstLine="562"/>
        <w:outlineLvl w:val="1"/>
        <w:rPr>
          <w:b/>
          <w:color w:val="auto"/>
          <w:sz w:val="28"/>
        </w:rPr>
      </w:pPr>
      <w:r>
        <w:rPr>
          <w:rFonts w:hint="eastAsia"/>
          <w:b/>
          <w:color w:val="auto"/>
          <w:sz w:val="28"/>
        </w:rPr>
        <w:t>项目进度</w:t>
      </w:r>
    </w:p>
    <w:p>
      <w:pPr>
        <w:numPr>
          <w:ilvl w:val="2"/>
          <w:numId w:val="5"/>
        </w:numPr>
        <w:spacing w:line="360" w:lineRule="auto"/>
        <w:ind w:firstLine="480"/>
        <w:rPr>
          <w:rFonts w:ascii="宋体"/>
          <w:color w:val="auto"/>
          <w:sz w:val="24"/>
          <w:szCs w:val="24"/>
        </w:rPr>
      </w:pPr>
      <w:r>
        <w:rPr>
          <w:rFonts w:hint="eastAsia" w:ascii="宋体"/>
          <w:color w:val="auto"/>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2"/>
        <w:numPr>
          <w:ilvl w:val="1"/>
          <w:numId w:val="4"/>
        </w:numPr>
        <w:ind w:firstLine="562"/>
        <w:outlineLvl w:val="1"/>
        <w:rPr>
          <w:b/>
          <w:color w:val="auto"/>
          <w:sz w:val="28"/>
        </w:rPr>
      </w:pPr>
      <w:r>
        <w:rPr>
          <w:rFonts w:hint="eastAsia"/>
          <w:b/>
          <w:color w:val="auto"/>
          <w:sz w:val="28"/>
        </w:rPr>
        <w:t>项目联络</w:t>
      </w:r>
    </w:p>
    <w:p>
      <w:pPr>
        <w:numPr>
          <w:ilvl w:val="2"/>
          <w:numId w:val="6"/>
        </w:numPr>
        <w:spacing w:line="360" w:lineRule="auto"/>
        <w:ind w:firstLine="480"/>
        <w:rPr>
          <w:rFonts w:ascii="宋体"/>
          <w:color w:val="auto"/>
          <w:sz w:val="24"/>
          <w:szCs w:val="24"/>
        </w:rPr>
      </w:pPr>
      <w:r>
        <w:rPr>
          <w:rFonts w:hint="eastAsia" w:ascii="宋体"/>
          <w:color w:val="auto"/>
          <w:sz w:val="24"/>
          <w:szCs w:val="24"/>
        </w:rPr>
        <w:t>为审查和确认本项目的工作方案，便于合同按期执行，在项目实施中按需召开联络会，可进行多次，也可不召开。</w:t>
      </w:r>
    </w:p>
    <w:p>
      <w:pPr>
        <w:spacing w:line="360" w:lineRule="auto"/>
        <w:ind w:firstLine="480"/>
        <w:rPr>
          <w:rFonts w:ascii="宋体"/>
          <w:color w:val="auto"/>
          <w:sz w:val="24"/>
          <w:szCs w:val="24"/>
        </w:rPr>
      </w:pPr>
      <w:r>
        <w:rPr>
          <w:rFonts w:hint="eastAsia" w:ascii="宋体"/>
          <w:color w:val="auto"/>
          <w:sz w:val="24"/>
          <w:szCs w:val="24"/>
        </w:rPr>
        <w:t>联络会的内容如下：</w:t>
      </w:r>
    </w:p>
    <w:p>
      <w:pPr>
        <w:numPr>
          <w:ilvl w:val="0"/>
          <w:numId w:val="7"/>
        </w:numPr>
        <w:tabs>
          <w:tab w:val="left" w:pos="900"/>
        </w:tabs>
        <w:spacing w:line="360" w:lineRule="auto"/>
        <w:ind w:leftChars="200" w:firstLine="480"/>
        <w:rPr>
          <w:rFonts w:ascii="宋体"/>
          <w:color w:val="auto"/>
          <w:sz w:val="24"/>
          <w:szCs w:val="24"/>
        </w:rPr>
      </w:pPr>
      <w:r>
        <w:rPr>
          <w:rFonts w:hint="eastAsia" w:ascii="宋体"/>
          <w:color w:val="auto"/>
          <w:sz w:val="24"/>
          <w:szCs w:val="24"/>
        </w:rPr>
        <w:t>确认项目实施</w:t>
      </w:r>
      <w:r>
        <w:rPr>
          <w:rFonts w:ascii="宋体"/>
          <w:color w:val="auto"/>
          <w:sz w:val="24"/>
          <w:szCs w:val="24"/>
        </w:rPr>
        <w:t>方案</w:t>
      </w:r>
      <w:r>
        <w:rPr>
          <w:rFonts w:hint="eastAsia" w:ascii="宋体"/>
          <w:color w:val="auto"/>
          <w:sz w:val="24"/>
          <w:szCs w:val="24"/>
        </w:rPr>
        <w:t>；</w:t>
      </w:r>
    </w:p>
    <w:p>
      <w:pPr>
        <w:numPr>
          <w:ilvl w:val="0"/>
          <w:numId w:val="7"/>
        </w:numPr>
        <w:tabs>
          <w:tab w:val="left" w:pos="900"/>
        </w:tabs>
        <w:spacing w:line="360" w:lineRule="auto"/>
        <w:ind w:leftChars="200" w:firstLine="480"/>
        <w:rPr>
          <w:rFonts w:ascii="宋体"/>
          <w:color w:val="auto"/>
          <w:sz w:val="24"/>
          <w:szCs w:val="24"/>
        </w:rPr>
      </w:pPr>
      <w:r>
        <w:rPr>
          <w:rFonts w:hint="eastAsia" w:ascii="宋体"/>
          <w:color w:val="auto"/>
          <w:sz w:val="24"/>
          <w:szCs w:val="24"/>
        </w:rPr>
        <w:t>确认项目进度</w:t>
      </w:r>
      <w:r>
        <w:rPr>
          <w:rFonts w:ascii="宋体"/>
          <w:color w:val="auto"/>
          <w:sz w:val="24"/>
          <w:szCs w:val="24"/>
        </w:rPr>
        <w:t>计划和关键里程碑；</w:t>
      </w:r>
    </w:p>
    <w:p>
      <w:pPr>
        <w:numPr>
          <w:ilvl w:val="0"/>
          <w:numId w:val="7"/>
        </w:numPr>
        <w:tabs>
          <w:tab w:val="left" w:pos="900"/>
        </w:tabs>
        <w:spacing w:line="360" w:lineRule="auto"/>
        <w:ind w:leftChars="200" w:firstLine="480"/>
        <w:rPr>
          <w:rFonts w:ascii="宋体"/>
          <w:color w:val="auto"/>
          <w:sz w:val="24"/>
          <w:szCs w:val="24"/>
        </w:rPr>
      </w:pPr>
      <w:r>
        <w:rPr>
          <w:rFonts w:hint="eastAsia" w:ascii="宋体"/>
          <w:color w:val="auto"/>
          <w:sz w:val="24"/>
          <w:szCs w:val="24"/>
        </w:rPr>
        <w:t>确认项目</w:t>
      </w:r>
      <w:r>
        <w:rPr>
          <w:rFonts w:ascii="宋体"/>
          <w:color w:val="auto"/>
          <w:sz w:val="24"/>
          <w:szCs w:val="24"/>
        </w:rPr>
        <w:t>成果</w:t>
      </w:r>
      <w:r>
        <w:rPr>
          <w:rFonts w:hint="eastAsia" w:ascii="宋体"/>
          <w:color w:val="auto"/>
          <w:sz w:val="24"/>
          <w:szCs w:val="24"/>
        </w:rPr>
        <w:t>开发</w:t>
      </w:r>
      <w:r>
        <w:rPr>
          <w:rFonts w:ascii="宋体"/>
          <w:color w:val="auto"/>
          <w:sz w:val="24"/>
          <w:szCs w:val="24"/>
        </w:rPr>
        <w:t>思路和成果质量</w:t>
      </w:r>
      <w:r>
        <w:rPr>
          <w:rFonts w:hint="eastAsia" w:ascii="宋体"/>
          <w:color w:val="auto"/>
          <w:sz w:val="24"/>
          <w:szCs w:val="24"/>
        </w:rPr>
        <w:t>要求；</w:t>
      </w:r>
    </w:p>
    <w:p>
      <w:pPr>
        <w:pStyle w:val="12"/>
        <w:numPr>
          <w:ilvl w:val="1"/>
          <w:numId w:val="4"/>
        </w:numPr>
        <w:ind w:firstLine="562"/>
        <w:outlineLvl w:val="1"/>
        <w:rPr>
          <w:b/>
          <w:color w:val="auto"/>
          <w:sz w:val="28"/>
        </w:rPr>
      </w:pPr>
      <w:r>
        <w:rPr>
          <w:rFonts w:hint="eastAsia"/>
          <w:b/>
          <w:color w:val="auto"/>
          <w:sz w:val="28"/>
        </w:rPr>
        <w:t>评审与验收</w:t>
      </w:r>
    </w:p>
    <w:p>
      <w:pPr>
        <w:numPr>
          <w:ilvl w:val="2"/>
          <w:numId w:val="8"/>
        </w:numPr>
        <w:spacing w:line="360" w:lineRule="auto"/>
        <w:ind w:firstLine="480"/>
        <w:rPr>
          <w:rFonts w:ascii="宋体"/>
          <w:color w:val="auto"/>
          <w:sz w:val="24"/>
          <w:szCs w:val="24"/>
        </w:rPr>
      </w:pPr>
      <w:r>
        <w:rPr>
          <w:rFonts w:hint="eastAsia" w:ascii="宋体"/>
          <w:color w:val="auto"/>
          <w:sz w:val="24"/>
          <w:szCs w:val="24"/>
        </w:rPr>
        <w:t>投标方应负责在项目验收时将项目的全部有关技术文件、目标代码</w:t>
      </w:r>
      <w:r>
        <w:rPr>
          <w:rFonts w:ascii="宋体"/>
          <w:color w:val="auto"/>
          <w:sz w:val="24"/>
          <w:szCs w:val="24"/>
        </w:rPr>
        <w:t>文件、项目资料</w:t>
      </w:r>
      <w:r>
        <w:rPr>
          <w:rFonts w:hint="eastAsia" w:ascii="宋体"/>
          <w:color w:val="auto"/>
          <w:sz w:val="24"/>
          <w:szCs w:val="24"/>
        </w:rPr>
        <w:t>等文档汇集成册或者另存到U盘中交付给招标方。</w:t>
      </w:r>
    </w:p>
    <w:p>
      <w:pPr>
        <w:numPr>
          <w:ilvl w:val="2"/>
          <w:numId w:val="8"/>
        </w:numPr>
        <w:spacing w:line="360" w:lineRule="auto"/>
        <w:ind w:firstLine="480"/>
        <w:rPr>
          <w:rFonts w:ascii="宋体"/>
          <w:color w:val="auto"/>
          <w:sz w:val="24"/>
          <w:szCs w:val="24"/>
        </w:rPr>
      </w:pPr>
      <w:r>
        <w:rPr>
          <w:rFonts w:ascii="宋体"/>
          <w:color w:val="auto"/>
          <w:sz w:val="24"/>
          <w:szCs w:val="24"/>
        </w:rPr>
        <w:t>招标方可根据合同及招标书和招标方的有关规定进行修改和补充,经双方确认后形成验收文件作为验收依据。验收</w:t>
      </w:r>
      <w:r>
        <w:rPr>
          <w:rFonts w:hint="eastAsia" w:ascii="宋体"/>
          <w:color w:val="auto"/>
          <w:sz w:val="24"/>
          <w:szCs w:val="24"/>
        </w:rPr>
        <w:t>评审</w:t>
      </w:r>
      <w:r>
        <w:rPr>
          <w:rFonts w:ascii="宋体"/>
          <w:color w:val="auto"/>
          <w:sz w:val="24"/>
          <w:szCs w:val="24"/>
        </w:rPr>
        <w:t>合格后5</w:t>
      </w:r>
      <w:r>
        <w:rPr>
          <w:rFonts w:hint="eastAsia" w:ascii="宋体"/>
          <w:color w:val="auto"/>
          <w:sz w:val="24"/>
          <w:szCs w:val="24"/>
        </w:rPr>
        <w:t>日内，若无问题，经</w:t>
      </w:r>
      <w:r>
        <w:rPr>
          <w:rFonts w:ascii="宋体"/>
          <w:color w:val="auto"/>
          <w:sz w:val="24"/>
          <w:szCs w:val="24"/>
        </w:rPr>
        <w:t>双方</w:t>
      </w:r>
      <w:r>
        <w:rPr>
          <w:rFonts w:hint="eastAsia" w:ascii="宋体"/>
          <w:color w:val="auto"/>
          <w:sz w:val="24"/>
          <w:szCs w:val="24"/>
        </w:rPr>
        <w:t>确认后</w:t>
      </w:r>
      <w:r>
        <w:rPr>
          <w:rFonts w:ascii="宋体"/>
          <w:color w:val="auto"/>
          <w:sz w:val="24"/>
          <w:szCs w:val="24"/>
        </w:rPr>
        <w:t>，签署最终验收文件。</w:t>
      </w:r>
    </w:p>
    <w:p>
      <w:pPr>
        <w:pStyle w:val="12"/>
        <w:numPr>
          <w:ilvl w:val="1"/>
          <w:numId w:val="4"/>
        </w:numPr>
        <w:ind w:firstLine="562"/>
        <w:outlineLvl w:val="1"/>
        <w:rPr>
          <w:b/>
          <w:color w:val="auto"/>
          <w:sz w:val="28"/>
        </w:rPr>
      </w:pPr>
      <w:r>
        <w:rPr>
          <w:rFonts w:hint="eastAsia"/>
          <w:b/>
          <w:color w:val="auto"/>
          <w:sz w:val="28"/>
        </w:rPr>
        <w:t>技术资料和文件</w:t>
      </w:r>
    </w:p>
    <w:p>
      <w:pPr>
        <w:numPr>
          <w:ilvl w:val="2"/>
          <w:numId w:val="9"/>
        </w:numPr>
        <w:spacing w:line="360" w:lineRule="auto"/>
        <w:ind w:firstLine="480"/>
        <w:rPr>
          <w:rFonts w:ascii="宋体"/>
          <w:color w:val="auto"/>
          <w:sz w:val="24"/>
          <w:szCs w:val="24"/>
        </w:rPr>
      </w:pPr>
      <w:r>
        <w:rPr>
          <w:rFonts w:hint="eastAsia" w:ascii="宋体"/>
          <w:color w:val="auto"/>
          <w:sz w:val="24"/>
          <w:szCs w:val="24"/>
        </w:rPr>
        <w:t>投标方提供的文件和资料应能满足招标方进行维护和进一步完善的需要。</w:t>
      </w:r>
    </w:p>
    <w:p>
      <w:pPr>
        <w:numPr>
          <w:ilvl w:val="2"/>
          <w:numId w:val="9"/>
        </w:numPr>
        <w:spacing w:line="360" w:lineRule="auto"/>
        <w:ind w:firstLine="480"/>
        <w:rPr>
          <w:rFonts w:ascii="宋体"/>
          <w:color w:val="auto"/>
          <w:sz w:val="24"/>
          <w:szCs w:val="24"/>
        </w:rPr>
      </w:pPr>
      <w:r>
        <w:rPr>
          <w:rFonts w:hint="eastAsia" w:ascii="宋体"/>
          <w:color w:val="auto"/>
          <w:sz w:val="24"/>
          <w:szCs w:val="24"/>
        </w:rPr>
        <w:t>提供的图纸应符合标准规格。</w:t>
      </w:r>
    </w:p>
    <w:p>
      <w:pPr>
        <w:numPr>
          <w:ilvl w:val="2"/>
          <w:numId w:val="9"/>
        </w:numPr>
        <w:spacing w:line="360" w:lineRule="auto"/>
        <w:ind w:firstLine="480"/>
        <w:rPr>
          <w:rFonts w:ascii="宋体"/>
          <w:color w:val="auto"/>
          <w:sz w:val="24"/>
          <w:szCs w:val="24"/>
        </w:rPr>
      </w:pPr>
      <w:r>
        <w:rPr>
          <w:rFonts w:hint="eastAsia" w:ascii="宋体"/>
          <w:color w:val="auto"/>
          <w:sz w:val="24"/>
          <w:szCs w:val="24"/>
        </w:rPr>
        <w:t>投标方应向招标方提供项目的所有交付物（电子版）。</w:t>
      </w:r>
    </w:p>
    <w:p>
      <w:pPr>
        <w:pStyle w:val="12"/>
        <w:numPr>
          <w:ilvl w:val="1"/>
          <w:numId w:val="4"/>
        </w:numPr>
        <w:ind w:firstLine="562"/>
        <w:outlineLvl w:val="1"/>
        <w:rPr>
          <w:b/>
          <w:color w:val="auto"/>
          <w:sz w:val="28"/>
        </w:rPr>
      </w:pPr>
      <w:r>
        <w:rPr>
          <w:rFonts w:hint="eastAsia"/>
          <w:b/>
          <w:color w:val="auto"/>
          <w:sz w:val="28"/>
        </w:rPr>
        <w:t>售后服务</w:t>
      </w:r>
    </w:p>
    <w:p>
      <w:pPr>
        <w:numPr>
          <w:ilvl w:val="2"/>
          <w:numId w:val="10"/>
        </w:numPr>
        <w:spacing w:line="360" w:lineRule="auto"/>
        <w:ind w:firstLine="480"/>
        <w:rPr>
          <w:rFonts w:ascii="宋体"/>
          <w:color w:val="auto"/>
          <w:sz w:val="24"/>
          <w:szCs w:val="24"/>
        </w:rPr>
      </w:pPr>
      <w:r>
        <w:rPr>
          <w:rFonts w:ascii="宋体"/>
          <w:color w:val="auto"/>
          <w:sz w:val="24"/>
          <w:szCs w:val="24"/>
        </w:rPr>
        <w:t>合同签订后，响应</w:t>
      </w:r>
      <w:bookmarkStart w:id="38" w:name="_Toc72320160"/>
      <w:bookmarkStart w:id="39" w:name="_Toc103761492"/>
      <w:bookmarkStart w:id="40" w:name="_Toc110765302"/>
      <w:r>
        <w:rPr>
          <w:rFonts w:ascii="宋体"/>
          <w:color w:val="auto"/>
          <w:sz w:val="24"/>
          <w:szCs w:val="24"/>
        </w:rPr>
        <w:t>方应指定负责本项目的项目经理，负责协调项目实施全过程的各项工作，如项目进度、测试验收等。</w:t>
      </w:r>
    </w:p>
    <w:p>
      <w:pPr>
        <w:numPr>
          <w:ilvl w:val="2"/>
          <w:numId w:val="10"/>
        </w:numPr>
        <w:spacing w:line="360" w:lineRule="auto"/>
        <w:ind w:firstLine="480"/>
        <w:rPr>
          <w:color w:val="auto"/>
        </w:rPr>
      </w:pPr>
      <w:r>
        <w:rPr>
          <w:rFonts w:ascii="宋体"/>
          <w:color w:val="auto"/>
          <w:sz w:val="24"/>
          <w:szCs w:val="24"/>
        </w:rPr>
        <w:t>保证期内，响应</w:t>
      </w:r>
      <w:bookmarkEnd w:id="38"/>
      <w:bookmarkEnd w:id="39"/>
      <w:bookmarkEnd w:id="40"/>
      <w:r>
        <w:rPr>
          <w:rFonts w:ascii="宋体"/>
          <w:color w:val="auto"/>
          <w:sz w:val="24"/>
          <w:szCs w:val="24"/>
        </w:rPr>
        <w:t>方在接到用户维护请求</w:t>
      </w:r>
      <w:r>
        <w:rPr>
          <w:rFonts w:hint="eastAsia" w:ascii="宋体"/>
          <w:color w:val="auto"/>
          <w:sz w:val="24"/>
          <w:szCs w:val="24"/>
        </w:rPr>
        <w:t>12</w:t>
      </w:r>
      <w:r>
        <w:rPr>
          <w:rFonts w:ascii="宋体"/>
          <w:color w:val="auto"/>
          <w:sz w:val="24"/>
          <w:szCs w:val="24"/>
        </w:rPr>
        <w:t>小时内做出回复，常见系统故障</w:t>
      </w:r>
      <w:r>
        <w:rPr>
          <w:rFonts w:hint="eastAsia" w:ascii="宋体"/>
          <w:color w:val="auto"/>
          <w:sz w:val="24"/>
          <w:szCs w:val="24"/>
        </w:rPr>
        <w:t>24</w:t>
      </w:r>
      <w:r>
        <w:rPr>
          <w:rFonts w:ascii="宋体"/>
          <w:color w:val="auto"/>
          <w:sz w:val="24"/>
          <w:szCs w:val="24"/>
        </w:rPr>
        <w:t>小时内通过远程和现场用户相配合的方式解决问题或提出解决方案供用户参考，若仍无法解决则在</w:t>
      </w:r>
      <w:bookmarkStart w:id="41" w:name="_GoBack"/>
      <w:bookmarkEnd w:id="41"/>
      <w:r>
        <w:rPr>
          <w:rFonts w:hint="eastAsia" w:ascii="宋体"/>
          <w:color w:val="auto"/>
          <w:sz w:val="24"/>
          <w:szCs w:val="24"/>
        </w:rPr>
        <w:t>48</w:t>
      </w:r>
      <w:r>
        <w:rPr>
          <w:rFonts w:ascii="宋体"/>
          <w:color w:val="auto"/>
          <w:sz w:val="24"/>
          <w:szCs w:val="24"/>
        </w:rPr>
        <w:t>小时内派工程师现场解决问题。</w:t>
      </w:r>
      <w:bookmarkEnd w:id="34"/>
      <w:bookmarkEnd w:id="35"/>
    </w:p>
    <w:p>
      <w:pPr>
        <w:rPr>
          <w:color w:val="auto"/>
        </w:rPr>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Kai Titling">
    <w:altName w:val="宋体"/>
    <w:panose1 w:val="00000000000000000000"/>
    <w:charset w:val="86"/>
    <w:family w:val="swiss"/>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3AA0C1F"/>
    <w:multiLevelType w:val="multilevel"/>
    <w:tmpl w:val="73AA0C1F"/>
    <w:lvl w:ilvl="0" w:tentative="0">
      <w:start w:val="1"/>
      <w:numFmt w:val="decimal"/>
      <w:pStyle w:val="3"/>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7">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6"/>
  </w:num>
  <w:num w:numId="2">
    <w:abstractNumId w:val="8"/>
  </w:num>
  <w:num w:numId="3">
    <w:abstractNumId w:val="9"/>
  </w:num>
  <w:num w:numId="4">
    <w:abstractNumId w:val="2"/>
  </w:num>
  <w:num w:numId="5">
    <w:abstractNumId w:val="5"/>
  </w:num>
  <w:num w:numId="6">
    <w:abstractNumId w:val="7"/>
  </w:num>
  <w:num w:numId="7">
    <w:abstractNumId w:val="1"/>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2NzQ4ZjAyMDVkMDlkMTcwYTI5MjM5NGNkMmMyMDkifQ=="/>
  </w:docVars>
  <w:rsids>
    <w:rsidRoot w:val="22F35B21"/>
    <w:rsid w:val="117D20F2"/>
    <w:rsid w:val="138B3D71"/>
    <w:rsid w:val="1507535A"/>
    <w:rsid w:val="1BB95863"/>
    <w:rsid w:val="1DEE410D"/>
    <w:rsid w:val="204A5D7D"/>
    <w:rsid w:val="22F35B21"/>
    <w:rsid w:val="298E66E2"/>
    <w:rsid w:val="2D423C0C"/>
    <w:rsid w:val="329621E4"/>
    <w:rsid w:val="3C815CF4"/>
    <w:rsid w:val="3CCC0037"/>
    <w:rsid w:val="43E50D20"/>
    <w:rsid w:val="47371C2D"/>
    <w:rsid w:val="4D944F9E"/>
    <w:rsid w:val="50C71C29"/>
    <w:rsid w:val="5E4E6BDA"/>
    <w:rsid w:val="62FF7040"/>
    <w:rsid w:val="73F61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3">
    <w:name w:val="heading 1"/>
    <w:basedOn w:val="1"/>
    <w:next w:val="1"/>
    <w:qFormat/>
    <w:uiPriority w:val="9"/>
    <w:pPr>
      <w:keepNext/>
      <w:keepLines/>
      <w:numPr>
        <w:ilvl w:val="0"/>
        <w:numId w:val="1"/>
      </w:numPr>
      <w:spacing w:before="340" w:after="330" w:line="578" w:lineRule="auto"/>
      <w:ind w:left="432" w:firstLine="0" w:firstLineChars="0"/>
      <w:outlineLvl w:val="0"/>
    </w:pPr>
    <w:rPr>
      <w:rFonts w:ascii="Times New Roman" w:hAnsi="Times New Roman" w:cs="Times New Roman"/>
      <w:b/>
      <w:bCs/>
      <w:kern w:val="44"/>
      <w:sz w:val="44"/>
      <w:szCs w:val="44"/>
    </w:rPr>
  </w:style>
  <w:style w:type="paragraph" w:styleId="4">
    <w:name w:val="heading 2"/>
    <w:basedOn w:val="1"/>
    <w:next w:val="1"/>
    <w:qFormat/>
    <w:uiPriority w:val="99"/>
    <w:pPr>
      <w:keepNext/>
      <w:keepLines/>
      <w:spacing w:before="260" w:after="260" w:line="416" w:lineRule="auto"/>
      <w:ind w:firstLine="0" w:firstLineChars="0"/>
      <w:outlineLvl w:val="1"/>
    </w:pPr>
    <w:rPr>
      <w:rFonts w:ascii="Calibri Light" w:hAnsi="Calibri Light" w:cs="Times New Roman"/>
      <w:b/>
      <w:bCs/>
      <w:kern w:val="0"/>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pPr>
    <w:rPr>
      <w:rFonts w:hint="eastAsia" w:ascii="Kai Titling" w:hAnsi="Kai Titling" w:eastAsia="Kai Titling" w:cs="Times New Roman"/>
      <w:color w:val="000000"/>
      <w:sz w:val="24"/>
      <w:lang w:val="en-US" w:eastAsia="zh-CN" w:bidi="ar-SA"/>
    </w:rPr>
  </w:style>
  <w:style w:type="paragraph" w:styleId="5">
    <w:name w:val="Body Text"/>
    <w:basedOn w:val="1"/>
    <w:next w:val="6"/>
    <w:unhideWhenUsed/>
    <w:qFormat/>
    <w:uiPriority w:val="0"/>
    <w:pPr>
      <w:spacing w:after="120"/>
    </w:p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customStyle="1" w:styleId="11">
    <w:name w:val="WPSOffice手动目录 1"/>
    <w:qFormat/>
    <w:uiPriority w:val="0"/>
    <w:rPr>
      <w:rFonts w:ascii="Calibri" w:hAnsi="Calibri" w:eastAsia="宋体" w:cs="Times New Roman"/>
      <w:lang w:val="en-US" w:eastAsia="zh-CN" w:bidi="ar-SA"/>
    </w:rPr>
  </w:style>
  <w:style w:type="paragraph" w:customStyle="1" w:styleId="12">
    <w:name w:val="样式2"/>
    <w:basedOn w:val="1"/>
    <w:qFormat/>
    <w:uiPriority w:val="0"/>
    <w:pPr>
      <w:spacing w:line="360" w:lineRule="auto"/>
    </w:pPr>
    <w:rPr>
      <w:rFonts w:ascii="宋体"/>
      <w:sz w:val="24"/>
      <w:szCs w:val="24"/>
    </w:rPr>
  </w:style>
  <w:style w:type="paragraph" w:customStyle="1" w:styleId="13">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3340</Words>
  <Characters>3526</Characters>
  <Lines>0</Lines>
  <Paragraphs>0</Paragraphs>
  <TotalTime>13</TotalTime>
  <ScaleCrop>false</ScaleCrop>
  <LinksUpToDate>false</LinksUpToDate>
  <CharactersWithSpaces>3593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2024-06-14T09:03:00Z</dcterms:created>
  <dc:creator>Lenovo</dc:creator>
  <cp:lastModifiedBy>lizihang.bs</cp:lastModifiedBy>
  <dcterms:modified xsi:type="dcterms:W3CDTF">2026-01-09T02:37:48Z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00A4A9BB014B4ACFBA9739C908FFF153_13</vt:lpwstr>
  </property>
  <property fmtid="{D5CDD505-2E9C-101B-9397-08002B2CF9AE}" pid="4" name="KSOTemplateDocerSaveRecord">
    <vt:lpwstr>eyJoZGlkIjoiYTA0Yzk0ZDNkODAxMmQwMGEzOTUxMmRmNjAxNjc5MGQiLCJ1c2VySWQiOiIzMDcxNjkyMzIifQ==</vt:lpwstr>
  </property>
</Properties>
</file>