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widowControl w:val="0"/>
        <w:spacing w:before="0" w:beforeAutospacing="0" w:after="0" w:afterAutospacing="0" w:line="560" w:lineRule="exact"/>
        <w:jc w:val="center"/>
        <w:rPr>
          <w:rFonts w:ascii="仿宋_GB2312" w:eastAsia="仿宋_GB2312" w:cs="仿宋_GB2312"/>
          <w:u w:val="single"/>
        </w:rPr>
      </w:pPr>
    </w:p>
    <w:p>
      <w:pPr>
        <w:pStyle w:val="8"/>
        <w:widowControl w:val="0"/>
        <w:spacing w:before="0" w:beforeAutospacing="0" w:after="0" w:afterAutospacing="0" w:line="560" w:lineRule="exact"/>
        <w:jc w:val="center"/>
        <w:rPr>
          <w:rFonts w:ascii="方正小标宋_GBK" w:hAnsi="方正小标宋_GBK" w:eastAsia="方正小标宋_GBK" w:cs="方正小标宋_GBK"/>
          <w:spacing w:val="-6"/>
          <w:kern w:val="2"/>
          <w:sz w:val="44"/>
          <w:szCs w:val="44"/>
          <w:u w:val="single"/>
          <w:lang w:bidi="ar"/>
        </w:rPr>
      </w:pPr>
    </w:p>
    <w:p>
      <w:pPr>
        <w:pStyle w:val="8"/>
        <w:widowControl w:val="0"/>
        <w:spacing w:before="0" w:beforeAutospacing="0" w:after="0" w:afterAutospacing="0" w:line="560" w:lineRule="exact"/>
        <w:jc w:val="center"/>
        <w:rPr>
          <w:rFonts w:ascii="方正小标宋_GBK" w:hAnsi="方正小标宋_GBK" w:eastAsia="方正小标宋_GBK" w:cs="方正小标宋_GBK"/>
          <w:spacing w:val="-6"/>
          <w:kern w:val="2"/>
          <w:sz w:val="44"/>
          <w:szCs w:val="44"/>
          <w:u w:val="single"/>
          <w:lang w:bidi="ar"/>
        </w:rPr>
      </w:pPr>
    </w:p>
    <w:p>
      <w:pPr>
        <w:pStyle w:val="8"/>
        <w:widowControl w:val="0"/>
        <w:spacing w:before="0" w:beforeAutospacing="0" w:after="0" w:afterAutospacing="0" w:line="560" w:lineRule="exact"/>
        <w:jc w:val="center"/>
        <w:rPr>
          <w:rFonts w:ascii="方正小标宋_GBK" w:hAnsi="方正小标宋_GBK" w:eastAsia="方正小标宋_GBK" w:cs="方正小标宋_GBK"/>
          <w:spacing w:val="-6"/>
          <w:kern w:val="2"/>
          <w:sz w:val="44"/>
          <w:szCs w:val="44"/>
          <w:u w:val="single"/>
          <w:lang w:bidi="ar"/>
        </w:rPr>
      </w:pPr>
      <w:r>
        <w:drawing>
          <wp:anchor distT="0" distB="0" distL="0" distR="0" simplePos="0" relativeHeight="251659264" behindDoc="0" locked="0" layoutInCell="1" allowOverlap="1">
            <wp:simplePos x="0" y="0"/>
            <wp:positionH relativeFrom="column">
              <wp:posOffset>-1212850</wp:posOffset>
            </wp:positionH>
            <wp:positionV relativeFrom="paragraph">
              <wp:posOffset>-2484755</wp:posOffset>
            </wp:positionV>
            <wp:extent cx="7772400" cy="2381250"/>
            <wp:effectExtent l="0" t="0" r="0" b="0"/>
            <wp:wrapNone/>
            <wp:docPr id="1026" name="图片 6" descr="模板-3"/>
            <wp:cNvGraphicFramePr/>
            <a:graphic xmlns:a="http://schemas.openxmlformats.org/drawingml/2006/main">
              <a:graphicData uri="http://schemas.openxmlformats.org/drawingml/2006/picture">
                <pic:pic xmlns:pic="http://schemas.openxmlformats.org/drawingml/2006/picture">
                  <pic:nvPicPr>
                    <pic:cNvPr id="1026" name="图片 6" descr="模板-3"/>
                    <pic:cNvPicPr/>
                  </pic:nvPicPr>
                  <pic:blipFill>
                    <a:blip r:embed="rId5" cstate="print"/>
                    <a:srcRect/>
                    <a:stretch>
                      <a:fillRect/>
                    </a:stretch>
                  </pic:blipFill>
                  <pic:spPr>
                    <a:xfrm>
                      <a:off x="0" y="0"/>
                      <a:ext cx="7772400" cy="2381250"/>
                    </a:xfrm>
                    <a:prstGeom prst="rect">
                      <a:avLst/>
                    </a:prstGeom>
                    <a:ln>
                      <a:noFill/>
                    </a:ln>
                  </pic:spPr>
                </pic:pic>
              </a:graphicData>
            </a:graphic>
          </wp:anchor>
        </w:drawing>
      </w:r>
    </w:p>
    <w:p>
      <w:pPr>
        <w:pStyle w:val="8"/>
        <w:widowControl w:val="0"/>
        <w:spacing w:before="0" w:beforeAutospacing="0" w:after="0" w:afterAutospacing="0" w:line="560" w:lineRule="exact"/>
        <w:jc w:val="center"/>
        <w:rPr>
          <w:rFonts w:ascii="方正小标宋_GBK" w:hAnsi="方正小标宋_GBK" w:eastAsia="方正小标宋_GBK" w:cs="方正小标宋_GBK"/>
          <w:spacing w:val="-6"/>
          <w:kern w:val="2"/>
          <w:sz w:val="44"/>
          <w:szCs w:val="44"/>
          <w:u w:val="single"/>
          <w:lang w:bidi="ar"/>
        </w:rPr>
      </w:pPr>
    </w:p>
    <w:p>
      <w:pPr>
        <w:pStyle w:val="8"/>
        <w:widowControl w:val="0"/>
        <w:spacing w:before="0" w:beforeAutospacing="0" w:after="0" w:afterAutospacing="0" w:line="560" w:lineRule="exact"/>
        <w:jc w:val="both"/>
        <w:rPr>
          <w:rFonts w:ascii="方正小标宋_GBK" w:hAnsi="方正小标宋_GBK" w:eastAsia="方正小标宋_GBK" w:cs="方正小标宋_GBK"/>
          <w:spacing w:val="-6"/>
          <w:kern w:val="2"/>
          <w:sz w:val="44"/>
          <w:szCs w:val="44"/>
          <w:u w:val="single"/>
          <w:lang w:bidi="ar"/>
        </w:rPr>
      </w:pPr>
    </w:p>
    <w:p>
      <w:pPr>
        <w:pStyle w:val="8"/>
        <w:widowControl w:val="0"/>
        <w:spacing w:before="0" w:beforeAutospacing="0" w:after="0" w:afterAutospacing="0" w:line="560" w:lineRule="exact"/>
        <w:jc w:val="center"/>
        <w:rPr>
          <w:rFonts w:ascii="方正小标宋_GBK" w:hAnsi="方正小标宋_GBK" w:eastAsia="方正小标宋_GBK" w:cs="方正小标宋_GBK"/>
          <w:spacing w:val="-6"/>
          <w:kern w:val="2"/>
          <w:sz w:val="44"/>
          <w:szCs w:val="44"/>
          <w:lang w:bidi="ar"/>
        </w:rPr>
      </w:pPr>
    </w:p>
    <w:p>
      <w:pPr>
        <w:pStyle w:val="8"/>
        <w:widowControl w:val="0"/>
        <w:spacing w:before="0" w:beforeAutospacing="0" w:after="0" w:afterAutospacing="0" w:line="560" w:lineRule="exact"/>
        <w:jc w:val="center"/>
        <w:rPr>
          <w:rFonts w:hint="eastAsia" w:ascii="方正小标宋_GBK" w:hAnsi="方正小标宋_GBK" w:eastAsia="方正小标宋_GBK" w:cs="方正小标宋_GBK"/>
          <w:spacing w:val="-6"/>
          <w:kern w:val="2"/>
          <w:sz w:val="44"/>
          <w:szCs w:val="44"/>
          <w:lang w:val="en-US" w:eastAsia="zh-CN" w:bidi="ar"/>
        </w:rPr>
      </w:pPr>
      <w:r>
        <w:rPr>
          <w:rFonts w:hint="eastAsia" w:ascii="方正小标宋_GBK" w:hAnsi="方正小标宋_GBK" w:eastAsia="方正小标宋_GBK" w:cs="方正小标宋_GBK"/>
          <w:spacing w:val="-6"/>
          <w:kern w:val="2"/>
          <w:sz w:val="44"/>
          <w:szCs w:val="44"/>
          <w:lang w:val="en-US" w:eastAsia="zh-CN" w:bidi="ar"/>
        </w:rPr>
        <w:t>电解铝柔性负荷控制模拟仿真培训装置</w:t>
      </w:r>
    </w:p>
    <w:p>
      <w:pPr>
        <w:pStyle w:val="8"/>
        <w:widowControl w:val="0"/>
        <w:spacing w:before="0" w:beforeAutospacing="0" w:after="0" w:afterAutospacing="0" w:line="560" w:lineRule="exact"/>
        <w:jc w:val="center"/>
        <w:rPr>
          <w:rFonts w:ascii="方正小标宋_GBK" w:hAnsi="方正小标宋_GBK" w:eastAsia="方正小标宋_GBK" w:cs="方正小标宋_GBK"/>
          <w:spacing w:val="-6"/>
          <w:kern w:val="2"/>
          <w:sz w:val="44"/>
          <w:szCs w:val="44"/>
          <w:lang w:bidi="ar"/>
        </w:rPr>
      </w:pPr>
      <w:r>
        <w:rPr>
          <w:rFonts w:hint="eastAsia" w:ascii="方正小标宋_GBK" w:hAnsi="方正小标宋_GBK" w:eastAsia="方正小标宋_GBK" w:cs="方正小标宋_GBK"/>
          <w:spacing w:val="-6"/>
          <w:kern w:val="2"/>
          <w:sz w:val="44"/>
          <w:szCs w:val="44"/>
          <w:lang w:bidi="ar"/>
        </w:rPr>
        <w:t>技术规范书</w:t>
      </w: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ascii="仿宋_GB2312" w:eastAsia="仿宋_GB2312" w:cs="仿宋_GB2312"/>
        </w:rPr>
      </w:pPr>
    </w:p>
    <w:p>
      <w:pPr>
        <w:pStyle w:val="8"/>
        <w:widowControl w:val="0"/>
        <w:spacing w:before="0" w:beforeAutospacing="0" w:after="0" w:afterAutospacing="0" w:line="560" w:lineRule="exact"/>
        <w:jc w:val="center"/>
        <w:rPr>
          <w:rFonts w:hint="eastAsia" w:ascii="仿宋_GB2312" w:hAnsi="Times New Roman" w:eastAsia="仿宋_GB2312" w:cs="仿宋_GB2312"/>
          <w:sz w:val="32"/>
          <w:szCs w:val="20"/>
          <w:lang w:val="en-US" w:eastAsia="zh-CN" w:bidi="ar"/>
        </w:rPr>
      </w:pPr>
      <w:r>
        <w:rPr>
          <w:rFonts w:hint="eastAsia" w:ascii="仿宋_GB2312" w:hAnsi="Times New Roman" w:eastAsia="仿宋_GB2312" w:cs="仿宋_GB2312"/>
          <w:sz w:val="32"/>
          <w:szCs w:val="20"/>
          <w:lang w:val="en-US" w:eastAsia="zh-CN" w:bidi="ar"/>
        </w:rPr>
        <w:t>广西电网公司百色供电局</w:t>
      </w:r>
    </w:p>
    <w:p>
      <w:pPr>
        <w:pStyle w:val="8"/>
        <w:widowControl w:val="0"/>
        <w:spacing w:before="0" w:beforeAutospacing="0" w:after="0" w:afterAutospacing="0" w:line="560" w:lineRule="exact"/>
        <w:jc w:val="center"/>
        <w:rPr>
          <w:rFonts w:hint="default" w:ascii="仿宋_GB2312" w:hAnsi="Times New Roman" w:eastAsia="仿宋_GB2312" w:cs="仿宋_GB2312"/>
          <w:sz w:val="32"/>
          <w:szCs w:val="20"/>
          <w:lang w:val="en-US" w:eastAsia="zh-CN" w:bidi="ar"/>
        </w:rPr>
      </w:pPr>
      <w:r>
        <w:rPr>
          <w:rFonts w:hint="eastAsia" w:ascii="仿宋_GB2312" w:hAnsi="Times New Roman" w:eastAsia="仿宋_GB2312" w:cs="仿宋_GB2312"/>
          <w:sz w:val="32"/>
          <w:szCs w:val="20"/>
          <w:lang w:val="en-US" w:eastAsia="zh-CN" w:bidi="ar"/>
        </w:rPr>
        <w:t>2026年01</w:t>
      </w:r>
      <w:bookmarkStart w:id="0" w:name="_GoBack"/>
      <w:bookmarkEnd w:id="0"/>
      <w:r>
        <w:rPr>
          <w:rFonts w:hint="eastAsia" w:ascii="仿宋_GB2312" w:hAnsi="Times New Roman" w:eastAsia="仿宋_GB2312" w:cs="仿宋_GB2312"/>
          <w:sz w:val="32"/>
          <w:szCs w:val="20"/>
          <w:lang w:val="en-US" w:eastAsia="zh-CN" w:bidi="ar"/>
        </w:rPr>
        <w:t>月</w:t>
      </w:r>
    </w:p>
    <w:p>
      <w:pPr>
        <w:pStyle w:val="8"/>
        <w:widowControl w:val="0"/>
        <w:spacing w:before="0" w:beforeAutospacing="0" w:after="0" w:afterAutospacing="0" w:line="560" w:lineRule="exact"/>
        <w:jc w:val="center"/>
        <w:rPr>
          <w:rFonts w:ascii="仿宋_GB2312" w:hAnsi="Times New Roman" w:eastAsia="仿宋_GB2312" w:cs="仿宋_GB2312"/>
          <w:sz w:val="32"/>
          <w:szCs w:val="20"/>
          <w:lang w:bidi="ar"/>
        </w:rPr>
        <w:sectPr>
          <w:headerReference r:id="rId3" w:type="default"/>
          <w:pgSz w:w="11906" w:h="16838"/>
          <w:pgMar w:top="2098" w:right="1474" w:bottom="1984" w:left="1587" w:header="851" w:footer="992" w:gutter="0"/>
          <w:cols w:space="720" w:num="1"/>
          <w:docGrid w:type="lines" w:linePitch="442" w:charSpace="0"/>
        </w:sectPr>
      </w:pPr>
    </w:p>
    <w:p>
      <w:pPr>
        <w:pStyle w:val="12"/>
        <w:ind w:firstLine="0" w:firstLineChars="0"/>
        <w:jc w:val="left"/>
        <w:rPr>
          <w:rFonts w:ascii="宋体" w:hAnsi="宋体" w:eastAsia="宋体" w:cs="宋体"/>
          <w:b/>
          <w:szCs w:val="32"/>
        </w:rPr>
      </w:pPr>
      <w:r>
        <w:rPr>
          <w:rFonts w:hint="eastAsia" w:ascii="宋体" w:hAnsi="宋体" w:eastAsia="宋体" w:cs="宋体"/>
          <w:b/>
          <w:szCs w:val="32"/>
        </w:rPr>
        <w:t>一、总则</w:t>
      </w:r>
    </w:p>
    <w:p>
      <w:pPr>
        <w:spacing w:line="300" w:lineRule="auto"/>
        <w:rPr>
          <w:rFonts w:ascii="宋体" w:hAnsi="宋体" w:eastAsia="宋体" w:cs="宋体"/>
          <w:sz w:val="32"/>
          <w:szCs w:val="32"/>
        </w:rPr>
      </w:pPr>
      <w:r>
        <w:rPr>
          <w:rFonts w:hint="eastAsia" w:ascii="宋体" w:hAnsi="宋体" w:eastAsia="宋体" w:cs="宋体"/>
          <w:sz w:val="32"/>
          <w:szCs w:val="32"/>
        </w:rPr>
        <w:t>1.1本技术规范书，提出了一种</w:t>
      </w:r>
      <w:r>
        <w:rPr>
          <w:rFonts w:hint="eastAsia" w:ascii="仿宋" w:hAnsi="仿宋" w:eastAsia="仿宋" w:cs="仿宋"/>
          <w:b/>
          <w:bCs/>
          <w:sz w:val="30"/>
          <w:u w:val="single"/>
          <w:lang w:val="en-US" w:eastAsia="zh-CN"/>
        </w:rPr>
        <w:t>电解铝柔性负荷控制模拟仿真培训装置</w:t>
      </w:r>
      <w:r>
        <w:rPr>
          <w:rFonts w:hint="eastAsia" w:ascii="宋体" w:hAnsi="宋体" w:eastAsia="宋体" w:cs="宋体"/>
          <w:sz w:val="32"/>
          <w:szCs w:val="32"/>
        </w:rPr>
        <w:t>的功能、结构、性能等方面的技术要求。</w:t>
      </w:r>
    </w:p>
    <w:p>
      <w:pPr>
        <w:spacing w:line="300" w:lineRule="auto"/>
        <w:rPr>
          <w:rFonts w:ascii="宋体" w:hAnsi="宋体" w:eastAsia="宋体" w:cs="宋体"/>
          <w:sz w:val="32"/>
          <w:szCs w:val="32"/>
        </w:rPr>
      </w:pPr>
      <w:r>
        <w:rPr>
          <w:rFonts w:hint="eastAsia" w:ascii="宋体" w:hAnsi="宋体" w:eastAsia="宋体" w:cs="宋体"/>
          <w:sz w:val="32"/>
          <w:szCs w:val="32"/>
        </w:rPr>
        <w:t>1.2甲方在本规范书中提出了最低限度的技术要求，乙方应提供一套满足或高于本规范书和现行有关标准要求的产品。</w:t>
      </w:r>
    </w:p>
    <w:p>
      <w:pPr>
        <w:rPr>
          <w:rFonts w:ascii="宋体" w:hAnsi="宋体" w:eastAsia="宋体" w:cs="宋体"/>
          <w:sz w:val="32"/>
          <w:szCs w:val="32"/>
        </w:rPr>
      </w:pPr>
      <w:r>
        <w:rPr>
          <w:rFonts w:hint="eastAsia" w:ascii="宋体" w:hAnsi="宋体" w:eastAsia="宋体" w:cs="宋体"/>
          <w:sz w:val="32"/>
          <w:szCs w:val="32"/>
        </w:rPr>
        <w:t>1.3如果乙方没有以书面形式对本规范书的条款提出异议，则意味着乙方提供的设备（或系统）完全满足本规范书的要求。</w:t>
      </w:r>
    </w:p>
    <w:p>
      <w:pPr>
        <w:rPr>
          <w:rFonts w:ascii="宋体" w:hAnsi="宋体" w:eastAsia="宋体" w:cs="宋体"/>
          <w:sz w:val="32"/>
          <w:szCs w:val="32"/>
        </w:rPr>
      </w:pPr>
      <w:r>
        <w:rPr>
          <w:rFonts w:hint="eastAsia" w:ascii="宋体" w:hAnsi="宋体" w:eastAsia="宋体" w:cs="宋体"/>
          <w:sz w:val="32"/>
          <w:szCs w:val="32"/>
        </w:rPr>
        <w:t>1.4本技术规范书经双方确认后作为服务合同的技术附件，与合同正文具有同等的法律效力。</w:t>
      </w:r>
    </w:p>
    <w:p>
      <w:pPr>
        <w:rPr>
          <w:sz w:val="32"/>
          <w:szCs w:val="32"/>
        </w:rPr>
      </w:pPr>
      <w:r>
        <w:rPr>
          <w:rFonts w:hint="eastAsia" w:ascii="宋体" w:hAnsi="宋体" w:eastAsia="宋体" w:cs="宋体"/>
          <w:sz w:val="32"/>
          <w:szCs w:val="32"/>
        </w:rPr>
        <w:t>1.5 本技术规范书未尽事宜，由供需双方协商确定。</w:t>
      </w:r>
    </w:p>
    <w:p>
      <w:pPr>
        <w:pStyle w:val="12"/>
        <w:ind w:firstLine="0" w:firstLineChars="0"/>
        <w:rPr>
          <w:rFonts w:ascii="宋体" w:hAnsi="宋体" w:eastAsia="宋体" w:cs="宋体"/>
          <w:b/>
          <w:szCs w:val="32"/>
        </w:rPr>
      </w:pPr>
      <w:r>
        <w:rPr>
          <w:rFonts w:hint="eastAsia" w:ascii="宋体" w:hAnsi="宋体" w:eastAsia="宋体" w:cs="宋体"/>
          <w:b/>
          <w:szCs w:val="32"/>
        </w:rPr>
        <w:t>二、工作范围</w:t>
      </w:r>
    </w:p>
    <w:p>
      <w:pPr>
        <w:pStyle w:val="12"/>
        <w:ind w:firstLine="0" w:firstLineChars="0"/>
        <w:rPr>
          <w:rFonts w:ascii="宋体" w:hAnsi="宋体" w:eastAsia="宋体" w:cs="宋体"/>
          <w:bCs/>
          <w:szCs w:val="32"/>
        </w:rPr>
      </w:pPr>
      <w:r>
        <w:rPr>
          <w:rFonts w:hint="eastAsia" w:ascii="宋体" w:hAnsi="宋体" w:eastAsia="宋体" w:cs="宋体"/>
          <w:bCs/>
          <w:szCs w:val="32"/>
        </w:rPr>
        <w:t>1、项目概况</w:t>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rPr>
        <w:t>百色电网负荷分布特色鲜明</w:t>
      </w:r>
      <w:r>
        <w:rPr>
          <w:rFonts w:hint="eastAsia" w:ascii="宋体" w:hAnsi="宋体" w:eastAsia="宋体" w:cs="宋体"/>
          <w:sz w:val="32"/>
          <w:szCs w:val="32"/>
          <w:lang w:eastAsia="zh-CN"/>
        </w:rPr>
        <w:t>，</w:t>
      </w:r>
      <w:r>
        <w:rPr>
          <w:rFonts w:hint="eastAsia" w:ascii="宋体" w:hAnsi="宋体" w:eastAsia="宋体" w:cs="宋体"/>
          <w:sz w:val="32"/>
          <w:szCs w:val="32"/>
        </w:rPr>
        <w:t>电力负荷呈现明显二元特征，电解铝工业等高耗能产业负荷占比达77.94%</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如何对电解铝企业等高耗能企业进行柔性负荷控制成为服务内容急需补的短板。为了对此类企业服务到位，电网公司近年陆续上马柔性负荷调控监测系统。如百色电力负荷管理中心立足本地铝工业优势，利用电解铝生产热惯性特性，研究铝工业柔性负荷控制接入形成智能控制终端调节模式 、高载能负荷柔性控制系统调节模式。但此类系统以其复杂性、专业性，对技术人员提出挑战。如电网相关技术人员应用培训等。本职创旨在搭建一套低成本仿真系统，模拟柔性负荷调控监测，对相关人员进行仿真培训，以便迅速上手熟练调控系统操作、维护、分析等工作。</w:t>
      </w:r>
    </w:p>
    <w:p>
      <w:pPr>
        <w:pStyle w:val="12"/>
        <w:numPr>
          <w:ilvl w:val="0"/>
          <w:numId w:val="1"/>
        </w:numPr>
        <w:ind w:firstLine="0" w:firstLineChars="0"/>
        <w:rPr>
          <w:rFonts w:hint="eastAsia" w:ascii="宋体" w:hAnsi="宋体" w:eastAsia="宋体" w:cs="宋体"/>
          <w:bCs/>
          <w:szCs w:val="32"/>
          <w:lang w:val="en-US" w:eastAsia="zh-CN"/>
        </w:rPr>
      </w:pPr>
      <w:r>
        <w:rPr>
          <w:rFonts w:hint="eastAsia" w:ascii="宋体" w:hAnsi="宋体" w:eastAsia="宋体" w:cs="宋体"/>
          <w:bCs/>
          <w:szCs w:val="32"/>
          <w:lang w:val="en-US" w:eastAsia="zh-CN"/>
        </w:rPr>
        <w:t>研究内容及预期成果</w:t>
      </w:r>
    </w:p>
    <w:p>
      <w:pP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2.1、研究内容：</w:t>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电解铝柔性控制接线仿真接线装置</w:t>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2.1.1一个模拟自带分励脱扣器电源的智能空气开关可以验证回路是否正确动作(有颜色指示装置)，该装置成本低，小巧具备便携性进一步可以用于实际现场验证回路是否正确。</w:t>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 2.1.2基于PLC控制电流输出装置（仿真带显示），加密终端及模拟终端信号发出装置）</w:t>
      </w:r>
    </w:p>
    <w:p>
      <w:pP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2.2、预期成果：</w:t>
      </w:r>
    </w:p>
    <w:p>
      <w:pPr>
        <w:ind w:firstLine="640" w:firstLineChars="200"/>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项目完成后，研发、制作 “电解铝柔性负荷控制模拟仿真培训装置”1套；申请相关发明专利1项，发表论文一篇。</w:t>
      </w:r>
    </w:p>
    <w:p>
      <w:pPr>
        <w:pStyle w:val="12"/>
        <w:ind w:firstLine="0" w:firstLineChars="0"/>
        <w:rPr>
          <w:rFonts w:ascii="宋体" w:hAnsi="宋体" w:eastAsia="宋体" w:cs="宋体"/>
          <w:bCs/>
          <w:szCs w:val="32"/>
        </w:rPr>
      </w:pPr>
      <w:r>
        <w:rPr>
          <w:rFonts w:hint="eastAsia" w:ascii="宋体" w:hAnsi="宋体" w:eastAsia="宋体" w:cs="宋体"/>
          <w:bCs/>
          <w:szCs w:val="32"/>
          <w:lang w:val="en-US" w:eastAsia="zh-CN"/>
        </w:rPr>
        <w:t>3</w:t>
      </w:r>
      <w:r>
        <w:rPr>
          <w:rFonts w:hint="eastAsia" w:ascii="宋体" w:hAnsi="宋体" w:eastAsia="宋体" w:cs="宋体"/>
          <w:bCs/>
          <w:szCs w:val="32"/>
        </w:rPr>
        <w:t>、服务范围</w:t>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3.1、可对大型冶炼企业的负荷控制系统进行全场景模拟及全链条操作、分析的培训。</w:t>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3.2、利用PLC技术大大降低模拟装置系统成本并以其工业级抗干扰性，降低故障率提高寿命。。</w:t>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3.3、可模拟一次系统实际负荷控制诸元，并可根据系统实际运行进行迭代升级。</w:t>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3.4、自带电源智能空气开关成本低，小巧具备便携性可以用于现场验证负荷控制系统回路及后台指令下发等正确性。</w:t>
      </w:r>
    </w:p>
    <w:p>
      <w:pPr>
        <w:pStyle w:val="12"/>
        <w:ind w:firstLine="0" w:firstLineChars="0"/>
        <w:rPr>
          <w:rFonts w:ascii="宋体" w:hAnsi="宋体" w:eastAsia="宋体" w:cs="宋体"/>
          <w:bCs/>
          <w:sz w:val="30"/>
          <w:szCs w:val="30"/>
        </w:rPr>
      </w:pPr>
      <w:r>
        <w:rPr>
          <w:rFonts w:hint="eastAsia" w:ascii="宋体" w:hAnsi="宋体" w:eastAsia="宋体" w:cs="宋体"/>
          <w:bCs/>
          <w:sz w:val="30"/>
          <w:szCs w:val="30"/>
          <w:lang w:val="en-US" w:eastAsia="zh-CN"/>
        </w:rPr>
        <w:t>4</w:t>
      </w:r>
      <w:r>
        <w:rPr>
          <w:rFonts w:hint="eastAsia" w:ascii="宋体" w:hAnsi="宋体" w:eastAsia="宋体" w:cs="宋体"/>
          <w:bCs/>
          <w:sz w:val="30"/>
          <w:szCs w:val="30"/>
        </w:rPr>
        <w:t>、服务内容</w:t>
      </w:r>
    </w:p>
    <w:p>
      <w:pPr>
        <w:pStyle w:val="12"/>
        <w:ind w:firstLine="0" w:firstLineChars="0"/>
        <w:rPr>
          <w:rFonts w:ascii="宋体" w:hAnsi="宋体" w:eastAsia="宋体" w:cs="宋体"/>
          <w:bCs/>
          <w:sz w:val="30"/>
          <w:szCs w:val="30"/>
        </w:rPr>
      </w:pPr>
      <w:r>
        <w:rPr>
          <w:rFonts w:hint="eastAsia" w:ascii="宋体" w:hAnsi="宋体" w:eastAsia="宋体" w:cs="宋体"/>
          <w:bCs/>
          <w:sz w:val="30"/>
          <w:szCs w:val="30"/>
        </w:rPr>
        <w:t>采购内容一览表：</w:t>
      </w:r>
    </w:p>
    <w:tbl>
      <w:tblPr>
        <w:tblStyle w:val="9"/>
        <w:tblW w:w="8688" w:type="dxa"/>
        <w:tblInd w:w="93" w:type="dxa"/>
        <w:tblLayout w:type="autofit"/>
        <w:tblCellMar>
          <w:top w:w="0" w:type="dxa"/>
          <w:left w:w="108" w:type="dxa"/>
          <w:bottom w:w="0" w:type="dxa"/>
          <w:right w:w="108" w:type="dxa"/>
        </w:tblCellMar>
      </w:tblPr>
      <w:tblGrid>
        <w:gridCol w:w="1870"/>
        <w:gridCol w:w="3265"/>
        <w:gridCol w:w="996"/>
        <w:gridCol w:w="798"/>
        <w:gridCol w:w="1759"/>
      </w:tblGrid>
      <w:tr>
        <w:tblPrEx>
          <w:tblCellMar>
            <w:top w:w="0" w:type="dxa"/>
            <w:left w:w="108" w:type="dxa"/>
            <w:bottom w:w="0" w:type="dxa"/>
            <w:right w:w="108" w:type="dxa"/>
          </w:tblCellMar>
        </w:tblPrEx>
        <w:trPr>
          <w:trHeight w:val="485" w:hRule="atLeast"/>
        </w:trPr>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项目名称</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采购内容</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数量</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单位</w:t>
            </w:r>
          </w:p>
        </w:tc>
        <w:tc>
          <w:tcPr>
            <w:tcW w:w="17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备注</w:t>
            </w:r>
          </w:p>
        </w:tc>
      </w:tr>
      <w:tr>
        <w:tblPrEx>
          <w:tblCellMar>
            <w:top w:w="0" w:type="dxa"/>
            <w:left w:w="108" w:type="dxa"/>
            <w:bottom w:w="0" w:type="dxa"/>
            <w:right w:w="108" w:type="dxa"/>
          </w:tblCellMar>
        </w:tblPrEx>
        <w:trPr>
          <w:trHeight w:val="485" w:hRule="atLeast"/>
        </w:trPr>
        <w:tc>
          <w:tcPr>
            <w:tcW w:w="1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val="en-US" w:eastAsia="zh-CN" w:bidi="ar"/>
              </w:rPr>
              <w:t>电解铝柔性负荷控制模拟仿真培训装置</w:t>
            </w:r>
            <w:r>
              <w:rPr>
                <w:rFonts w:hint="eastAsia" w:ascii="宋体" w:hAnsi="宋体" w:eastAsia="宋体" w:cs="宋体"/>
                <w:kern w:val="0"/>
                <w:szCs w:val="32"/>
                <w:lang w:bidi="ar"/>
              </w:rPr>
              <w:t>研制项目加工（含材料）服务</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val="en-US" w:eastAsia="zh-CN" w:bidi="ar"/>
              </w:rPr>
              <w:t>模拟系统所需PLC等电子元器件</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eastAsia="zh-CN" w:bidi="ar"/>
              </w:rPr>
            </w:pPr>
            <w:r>
              <w:rPr>
                <w:rFonts w:hint="eastAsia" w:ascii="宋体" w:hAnsi="宋体" w:eastAsia="宋体" w:cs="宋体"/>
                <w:kern w:val="0"/>
                <w:szCs w:val="32"/>
                <w:lang w:val="en-US" w:eastAsia="zh-CN" w:bidi="ar"/>
              </w:rPr>
              <w:t>1</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eastAsia="zh-CN" w:bidi="ar"/>
              </w:rPr>
            </w:pPr>
            <w:r>
              <w:rPr>
                <w:rFonts w:hint="eastAsia" w:ascii="宋体" w:hAnsi="宋体" w:eastAsia="宋体" w:cs="宋体"/>
                <w:kern w:val="0"/>
                <w:szCs w:val="32"/>
                <w:lang w:val="en-US" w:eastAsia="zh-CN" w:bidi="ar"/>
              </w:rPr>
              <w:t>套</w:t>
            </w:r>
          </w:p>
        </w:tc>
        <w:tc>
          <w:tcPr>
            <w:tcW w:w="175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材料</w:t>
            </w:r>
          </w:p>
        </w:tc>
      </w:tr>
      <w:tr>
        <w:tblPrEx>
          <w:tblCellMar>
            <w:top w:w="0" w:type="dxa"/>
            <w:left w:w="108" w:type="dxa"/>
            <w:bottom w:w="0" w:type="dxa"/>
            <w:right w:w="108" w:type="dxa"/>
          </w:tblCellMar>
        </w:tblPrEx>
        <w:trPr>
          <w:trHeight w:val="446"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val="en-US" w:eastAsia="zh-CN" w:bidi="ar"/>
              </w:rPr>
              <w:t>整流仿真单元元器件</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eastAsia="zh-CN" w:bidi="ar"/>
              </w:rPr>
            </w:pPr>
            <w:r>
              <w:rPr>
                <w:rFonts w:hint="eastAsia" w:ascii="宋体" w:hAnsi="宋体" w:eastAsia="宋体" w:cs="宋体"/>
                <w:kern w:val="0"/>
                <w:szCs w:val="32"/>
                <w:lang w:val="en-US" w:eastAsia="zh-CN" w:bidi="ar"/>
              </w:rPr>
              <w:t>1</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eastAsia="zh-CN" w:bidi="ar"/>
              </w:rPr>
            </w:pPr>
            <w:r>
              <w:rPr>
                <w:rFonts w:hint="eastAsia" w:ascii="宋体" w:hAnsi="宋体" w:eastAsia="宋体" w:cs="宋体"/>
                <w:kern w:val="0"/>
                <w:szCs w:val="32"/>
                <w:lang w:val="en-US" w:eastAsia="zh-CN" w:bidi="ar"/>
              </w:rPr>
              <w:t>套</w:t>
            </w:r>
          </w:p>
        </w:tc>
        <w:tc>
          <w:tcPr>
            <w:tcW w:w="175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材料</w:t>
            </w:r>
          </w:p>
        </w:tc>
      </w:tr>
      <w:tr>
        <w:tblPrEx>
          <w:tblCellMar>
            <w:top w:w="0" w:type="dxa"/>
            <w:left w:w="108" w:type="dxa"/>
            <w:bottom w:w="0" w:type="dxa"/>
            <w:right w:w="108" w:type="dxa"/>
          </w:tblCellMar>
        </w:tblPrEx>
        <w:trPr>
          <w:trHeight w:val="604"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val="en-US" w:eastAsia="zh-CN" w:bidi="ar"/>
              </w:rPr>
              <w:t>开关模拟单元元器件</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1</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项</w:t>
            </w:r>
          </w:p>
        </w:tc>
        <w:tc>
          <w:tcPr>
            <w:tcW w:w="175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eastAsia="zh-CN" w:bidi="ar"/>
              </w:rPr>
            </w:pPr>
            <w:r>
              <w:rPr>
                <w:rFonts w:hint="eastAsia" w:ascii="宋体" w:hAnsi="宋体" w:eastAsia="宋体" w:cs="宋体"/>
                <w:kern w:val="0"/>
                <w:szCs w:val="32"/>
                <w:lang w:val="en-US" w:eastAsia="zh-CN" w:bidi="ar"/>
              </w:rPr>
              <w:t>材料</w:t>
            </w:r>
          </w:p>
        </w:tc>
      </w:tr>
      <w:tr>
        <w:tblPrEx>
          <w:tblCellMar>
            <w:top w:w="0" w:type="dxa"/>
            <w:left w:w="108" w:type="dxa"/>
            <w:bottom w:w="0" w:type="dxa"/>
            <w:right w:w="108" w:type="dxa"/>
          </w:tblCellMar>
        </w:tblPrEx>
        <w:trPr>
          <w:trHeight w:val="604"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val="en-US" w:eastAsia="zh-CN" w:bidi="ar"/>
              </w:rPr>
              <w:t>开关信号模拟元器件</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1</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项</w:t>
            </w:r>
          </w:p>
        </w:tc>
        <w:tc>
          <w:tcPr>
            <w:tcW w:w="175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val="en-US" w:eastAsia="zh-CN" w:bidi="ar"/>
              </w:rPr>
              <w:t>材料</w:t>
            </w:r>
          </w:p>
        </w:tc>
      </w:tr>
      <w:tr>
        <w:tblPrEx>
          <w:tblCellMar>
            <w:top w:w="0" w:type="dxa"/>
            <w:left w:w="108" w:type="dxa"/>
            <w:bottom w:w="0" w:type="dxa"/>
            <w:right w:w="108" w:type="dxa"/>
          </w:tblCellMar>
        </w:tblPrEx>
        <w:trPr>
          <w:trHeight w:val="634" w:hRule="atLeast"/>
        </w:trPr>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default" w:ascii="宋体" w:hAnsi="宋体" w:eastAsia="宋体" w:cs="宋体"/>
                <w:kern w:val="0"/>
                <w:szCs w:val="32"/>
                <w:lang w:val="en-US" w:eastAsia="zh-CN" w:bidi="ar"/>
              </w:rPr>
            </w:pPr>
            <w:r>
              <w:rPr>
                <w:rFonts w:hint="eastAsia" w:ascii="宋体" w:hAnsi="宋体" w:eastAsia="宋体" w:cs="宋体"/>
                <w:kern w:val="0"/>
                <w:szCs w:val="32"/>
                <w:lang w:val="en-US" w:eastAsia="zh-CN" w:bidi="ar"/>
              </w:rPr>
              <w:t>测试化验加工</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1</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项</w:t>
            </w:r>
          </w:p>
        </w:tc>
        <w:tc>
          <w:tcPr>
            <w:tcW w:w="175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加工服务</w:t>
            </w:r>
          </w:p>
        </w:tc>
      </w:tr>
      <w:tr>
        <w:tblPrEx>
          <w:tblCellMar>
            <w:top w:w="0" w:type="dxa"/>
            <w:left w:w="108" w:type="dxa"/>
            <w:bottom w:w="0" w:type="dxa"/>
            <w:right w:w="108" w:type="dxa"/>
          </w:tblCellMar>
        </w:tblPrEx>
        <w:trPr>
          <w:trHeight w:val="634" w:hRule="atLeast"/>
        </w:trPr>
        <w:tc>
          <w:tcPr>
            <w:tcW w:w="868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ind w:firstLine="0" w:firstLineChars="0"/>
              <w:rPr>
                <w:rFonts w:hint="eastAsia" w:ascii="宋体" w:hAnsi="宋体" w:eastAsia="宋体" w:cs="宋体"/>
                <w:kern w:val="0"/>
                <w:szCs w:val="32"/>
                <w:lang w:bidi="ar"/>
              </w:rPr>
            </w:pPr>
            <w:r>
              <w:rPr>
                <w:rFonts w:hint="eastAsia" w:ascii="宋体" w:hAnsi="宋体" w:eastAsia="宋体" w:cs="宋体"/>
                <w:kern w:val="0"/>
                <w:szCs w:val="32"/>
                <w:lang w:bidi="ar"/>
              </w:rPr>
              <w:t>交付成果及要求：完成加工并交付低压可扩展柔性电表箱</w:t>
            </w:r>
            <w:r>
              <w:rPr>
                <w:rFonts w:hint="eastAsia" w:ascii="宋体" w:hAnsi="宋体" w:eastAsia="宋体" w:cs="宋体"/>
                <w:kern w:val="0"/>
                <w:szCs w:val="32"/>
                <w:lang w:val="en-US" w:eastAsia="zh-CN" w:bidi="ar"/>
              </w:rPr>
              <w:t>1套</w:t>
            </w:r>
            <w:r>
              <w:rPr>
                <w:rFonts w:hint="eastAsia" w:ascii="宋体" w:hAnsi="宋体" w:eastAsia="宋体" w:cs="宋体"/>
                <w:kern w:val="0"/>
                <w:szCs w:val="32"/>
                <w:lang w:bidi="ar"/>
              </w:rPr>
              <w:t>。配合申请发明专利1件。</w:t>
            </w:r>
          </w:p>
          <w:p>
            <w:pPr>
              <w:widowControl/>
              <w:jc w:val="center"/>
              <w:textAlignment w:val="center"/>
              <w:rPr>
                <w:rFonts w:ascii="仿宋" w:hAnsi="仿宋" w:eastAsia="仿宋" w:cs="仿宋"/>
                <w:color w:val="000000"/>
                <w:kern w:val="0"/>
                <w:sz w:val="24"/>
                <w:szCs w:val="24"/>
                <w:lang w:bidi="ar"/>
              </w:rPr>
            </w:pPr>
          </w:p>
        </w:tc>
      </w:tr>
    </w:tbl>
    <w:p>
      <w:pPr>
        <w:pStyle w:val="12"/>
        <w:ind w:firstLine="0" w:firstLineChars="0"/>
        <w:rPr>
          <w:rFonts w:ascii="宋体" w:hAnsi="宋体" w:eastAsia="宋体" w:cs="宋体"/>
          <w:bCs/>
          <w:sz w:val="30"/>
          <w:szCs w:val="30"/>
        </w:rPr>
      </w:pPr>
    </w:p>
    <w:p>
      <w:pPr>
        <w:pStyle w:val="12"/>
        <w:ind w:firstLine="0" w:firstLineChars="0"/>
        <w:rPr>
          <w:rFonts w:ascii="宋体" w:hAnsi="宋体" w:eastAsia="宋体" w:cs="宋体"/>
          <w:b/>
          <w:szCs w:val="32"/>
        </w:rPr>
      </w:pPr>
      <w:r>
        <w:rPr>
          <w:rFonts w:hint="eastAsia" w:ascii="宋体" w:hAnsi="宋体" w:eastAsia="宋体" w:cs="宋体"/>
          <w:b/>
          <w:szCs w:val="32"/>
          <w:lang w:val="en-US" w:eastAsia="zh-CN"/>
        </w:rPr>
        <w:t>三</w:t>
      </w:r>
      <w:r>
        <w:rPr>
          <w:rFonts w:hint="eastAsia" w:ascii="宋体" w:hAnsi="宋体" w:eastAsia="宋体" w:cs="宋体"/>
          <w:b/>
          <w:szCs w:val="32"/>
        </w:rPr>
        <w:t>、应遵循的主要标准</w:t>
      </w:r>
    </w:p>
    <w:p>
      <w:pPr>
        <w:pStyle w:val="12"/>
        <w:ind w:firstLine="640"/>
        <w:rPr>
          <w:rFonts w:hint="eastAsia" w:ascii="宋体" w:hAnsi="宋体" w:eastAsia="宋体" w:cs="宋体"/>
          <w:kern w:val="0"/>
          <w:sz w:val="28"/>
          <w:szCs w:val="28"/>
          <w:lang w:val="en-US" w:eastAsia="zh-CN" w:bidi="ar"/>
        </w:rPr>
      </w:pPr>
      <w:r>
        <w:rPr>
          <w:rFonts w:hint="eastAsia" w:ascii="宋体" w:hAnsi="宋体" w:eastAsia="宋体" w:cs="宋体"/>
          <w:kern w:val="0"/>
          <w:szCs w:val="32"/>
          <w:lang w:val="en-US" w:eastAsia="zh-CN" w:bidi="ar"/>
        </w:rPr>
        <w:t>电解铝柔性负荷控制模拟仿真培训装置</w:t>
      </w:r>
      <w:r>
        <w:rPr>
          <w:rFonts w:hint="eastAsia" w:ascii="宋体" w:hAnsi="宋体" w:eastAsia="宋体" w:cs="宋体"/>
          <w:kern w:val="0"/>
          <w:sz w:val="28"/>
          <w:szCs w:val="28"/>
          <w:lang w:val="en-US" w:eastAsia="zh-CN" w:bidi="ar"/>
        </w:rPr>
        <w:t>研制在设计、制造、安装和验收过程中必须严格遵循国家有关法规、规范、标准（应为现行有效标准）的要求进行加工服务。</w:t>
      </w:r>
    </w:p>
    <w:p>
      <w:pPr>
        <w:pStyle w:val="2"/>
        <w:rPr>
          <w:rFonts w:hint="default"/>
          <w:lang w:val="en-US" w:eastAsia="zh-CN"/>
        </w:rPr>
      </w:pPr>
    </w:p>
    <w:p>
      <w:pPr>
        <w:pStyle w:val="12"/>
        <w:ind w:firstLine="0" w:firstLineChars="0"/>
        <w:rPr>
          <w:rFonts w:ascii="宋体" w:hAnsi="宋体" w:eastAsia="宋体" w:cs="宋体"/>
          <w:b/>
          <w:szCs w:val="32"/>
        </w:rPr>
      </w:pPr>
      <w:r>
        <w:rPr>
          <w:rFonts w:hint="eastAsia" w:ascii="宋体" w:hAnsi="宋体" w:eastAsia="宋体" w:cs="宋体"/>
          <w:b/>
          <w:szCs w:val="32"/>
          <w:lang w:val="en-US" w:eastAsia="zh-CN"/>
        </w:rPr>
        <w:t>四</w:t>
      </w:r>
      <w:r>
        <w:rPr>
          <w:rFonts w:hint="eastAsia" w:ascii="宋体" w:hAnsi="宋体" w:eastAsia="宋体" w:cs="宋体"/>
          <w:b/>
          <w:szCs w:val="32"/>
        </w:rPr>
        <w:t>、供应商需说明的其他问题</w:t>
      </w:r>
    </w:p>
    <w:p>
      <w:pPr>
        <w:pStyle w:val="12"/>
        <w:ind w:firstLine="0" w:firstLineChars="0"/>
        <w:rPr>
          <w:rFonts w:ascii="宋体" w:hAnsi="宋体" w:eastAsia="宋体" w:cs="宋体"/>
          <w:szCs w:val="32"/>
        </w:rPr>
      </w:pPr>
      <w:r>
        <w:rPr>
          <w:rFonts w:hint="eastAsia" w:ascii="宋体" w:hAnsi="宋体" w:eastAsia="宋体" w:cs="宋体"/>
          <w:szCs w:val="32"/>
        </w:rPr>
        <w:t>（1）具有履行合同所必需的设备和专业技术能力。</w:t>
      </w:r>
    </w:p>
    <w:p>
      <w:pPr>
        <w:pStyle w:val="12"/>
        <w:ind w:firstLine="0" w:firstLineChars="0"/>
        <w:rPr>
          <w:rFonts w:ascii="宋体" w:hAnsi="宋体" w:eastAsia="宋体" w:cs="宋体"/>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5A0C661-AC47-4CF5-92FE-27247FA7491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embedRegular r:id="rId2" w:fontKey="{B330AD83-1D23-42E8-AAE5-DD1A930E63A6}"/>
  </w:font>
  <w:font w:name="方正仿宋_GBK">
    <w:altName w:val="微软雅黑"/>
    <w:panose1 w:val="00000000000000000000"/>
    <w:charset w:val="86"/>
    <w:family w:val="script"/>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embedRegular r:id="rId3" w:fontKey="{49A8ACA5-8F1F-42BF-980A-B0F84F34118C}"/>
  </w:font>
  <w:font w:name="仿宋">
    <w:panose1 w:val="02010609060101010101"/>
    <w:charset w:val="86"/>
    <w:family w:val="modern"/>
    <w:pitch w:val="default"/>
    <w:sig w:usb0="800002BF" w:usb1="38CF7CFA" w:usb2="00000016" w:usb3="00000000" w:csb0="00040001" w:csb1="00000000"/>
    <w:embedRegular r:id="rId4" w:fontKey="{45015CDC-3BAB-40F3-81FB-E116E5ADE073}"/>
  </w:font>
  <w:font w:name="微软雅黑">
    <w:panose1 w:val="020B0503020204020204"/>
    <w:charset w:val="86"/>
    <w:family w:val="auto"/>
    <w:pitch w:val="default"/>
    <w:sig w:usb0="80000287" w:usb1="2ACF3C50" w:usb2="00000016" w:usb3="00000000" w:csb0="0004001F" w:csb1="00000000"/>
  </w:font>
  <w:font w:name="Kai Titling">
    <w:altName w:val="宋体"/>
    <w:panose1 w:val="00000000000000000000"/>
    <w:charset w:val="86"/>
    <w:family w:val="swiss"/>
    <w:pitch w:val="default"/>
    <w:sig w:usb0="00000000" w:usb1="0000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center" w:pos="6482"/>
        <w:tab w:val="right" w:pos="8306"/>
      </w:tabs>
      <w:spacing w:line="320" w:lineRule="exact"/>
      <w:ind w:firstLine="210" w:firstLineChars="100"/>
      <w:rPr>
        <w:rFonts w:ascii="黑体" w:eastAsia="黑体"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11145"/>
    <w:multiLevelType w:val="singleLevel"/>
    <w:tmpl w:val="6A211145"/>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zZjhlYWI3MjM4MzZlNDBkMjE2YzNhNDQyNWVjZGYifQ=="/>
  </w:docVars>
  <w:rsids>
    <w:rsidRoot w:val="34F01AC2"/>
    <w:rsid w:val="000F72EA"/>
    <w:rsid w:val="00112F24"/>
    <w:rsid w:val="001525C0"/>
    <w:rsid w:val="001E14C2"/>
    <w:rsid w:val="001F339E"/>
    <w:rsid w:val="00235D8B"/>
    <w:rsid w:val="003125BF"/>
    <w:rsid w:val="003A529E"/>
    <w:rsid w:val="004F1F1E"/>
    <w:rsid w:val="00510CE6"/>
    <w:rsid w:val="0055178D"/>
    <w:rsid w:val="00560AB2"/>
    <w:rsid w:val="00565B41"/>
    <w:rsid w:val="0058568F"/>
    <w:rsid w:val="00661D5D"/>
    <w:rsid w:val="007048FC"/>
    <w:rsid w:val="0071237F"/>
    <w:rsid w:val="007D78AD"/>
    <w:rsid w:val="0087539E"/>
    <w:rsid w:val="00886D53"/>
    <w:rsid w:val="00893243"/>
    <w:rsid w:val="00A126E7"/>
    <w:rsid w:val="00B01505"/>
    <w:rsid w:val="00B9019E"/>
    <w:rsid w:val="00D449BF"/>
    <w:rsid w:val="00DD45E2"/>
    <w:rsid w:val="00EB0F29"/>
    <w:rsid w:val="00FC3193"/>
    <w:rsid w:val="018C0C9E"/>
    <w:rsid w:val="03426124"/>
    <w:rsid w:val="067D59FE"/>
    <w:rsid w:val="079010C1"/>
    <w:rsid w:val="10EA1EE2"/>
    <w:rsid w:val="11900871"/>
    <w:rsid w:val="12583B89"/>
    <w:rsid w:val="1F4824D9"/>
    <w:rsid w:val="1FF1766F"/>
    <w:rsid w:val="21B57F65"/>
    <w:rsid w:val="236E14F4"/>
    <w:rsid w:val="23946FAF"/>
    <w:rsid w:val="251950E8"/>
    <w:rsid w:val="26E20A4B"/>
    <w:rsid w:val="2B925F77"/>
    <w:rsid w:val="322A134E"/>
    <w:rsid w:val="32F473DD"/>
    <w:rsid w:val="34F01AC2"/>
    <w:rsid w:val="370A0339"/>
    <w:rsid w:val="392F7B78"/>
    <w:rsid w:val="3A957ABD"/>
    <w:rsid w:val="3E75643F"/>
    <w:rsid w:val="43DD12AF"/>
    <w:rsid w:val="456F5F6C"/>
    <w:rsid w:val="4AF448F3"/>
    <w:rsid w:val="4B820CF1"/>
    <w:rsid w:val="516207A4"/>
    <w:rsid w:val="51AB22BE"/>
    <w:rsid w:val="54972368"/>
    <w:rsid w:val="54AC5EF8"/>
    <w:rsid w:val="57A541E9"/>
    <w:rsid w:val="5A494893"/>
    <w:rsid w:val="5CC92219"/>
    <w:rsid w:val="5E094422"/>
    <w:rsid w:val="659268B4"/>
    <w:rsid w:val="66CE1934"/>
    <w:rsid w:val="69094726"/>
    <w:rsid w:val="694E2BF2"/>
    <w:rsid w:val="6A912280"/>
    <w:rsid w:val="6C1876F4"/>
    <w:rsid w:val="72DF5689"/>
    <w:rsid w:val="7487654A"/>
    <w:rsid w:val="74D75D76"/>
    <w:rsid w:val="769707E9"/>
    <w:rsid w:val="776B5CAF"/>
    <w:rsid w:val="7BCA6729"/>
    <w:rsid w:val="7FEB5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5">
    <w:name w:val="heading 3"/>
    <w:basedOn w:val="1"/>
    <w:next w:val="1"/>
    <w:link w:val="15"/>
    <w:qFormat/>
    <w:uiPriority w:val="0"/>
    <w:pPr>
      <w:keepNext/>
      <w:keepLines/>
      <w:spacing w:before="60" w:after="60" w:line="360" w:lineRule="auto"/>
      <w:outlineLvl w:val="2"/>
    </w:pPr>
    <w:rPr>
      <w:rFonts w:ascii="Times New Roman" w:hAnsi="Times New Roman" w:eastAsia="仿宋_GB2312"/>
      <w:b/>
      <w:bCs/>
      <w:sz w:val="24"/>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自编正文"/>
    <w:basedOn w:val="1"/>
    <w:qFormat/>
    <w:uiPriority w:val="0"/>
    <w:pPr>
      <w:spacing w:line="560" w:lineRule="exact"/>
      <w:ind w:firstLine="200" w:firstLineChars="200"/>
    </w:pPr>
    <w:rPr>
      <w:rFonts w:eastAsia="方正仿宋_GBK"/>
      <w:sz w:val="32"/>
    </w:rPr>
  </w:style>
  <w:style w:type="character" w:customStyle="1" w:styleId="13">
    <w:name w:val="页眉 字符"/>
    <w:basedOn w:val="11"/>
    <w:link w:val="7"/>
    <w:qFormat/>
    <w:uiPriority w:val="0"/>
    <w:rPr>
      <w:rFonts w:ascii="等线" w:hAnsi="等线" w:eastAsia="等线"/>
      <w:kern w:val="2"/>
      <w:sz w:val="18"/>
      <w:szCs w:val="18"/>
    </w:rPr>
  </w:style>
  <w:style w:type="character" w:customStyle="1" w:styleId="14">
    <w:name w:val="页脚 字符"/>
    <w:basedOn w:val="11"/>
    <w:link w:val="6"/>
    <w:qFormat/>
    <w:uiPriority w:val="0"/>
    <w:rPr>
      <w:rFonts w:ascii="等线" w:hAnsi="等线" w:eastAsia="等线"/>
      <w:kern w:val="2"/>
      <w:sz w:val="18"/>
      <w:szCs w:val="18"/>
    </w:rPr>
  </w:style>
  <w:style w:type="character" w:customStyle="1" w:styleId="15">
    <w:name w:val="标题 3 字符"/>
    <w:basedOn w:val="11"/>
    <w:link w:val="5"/>
    <w:qFormat/>
    <w:uiPriority w:val="0"/>
    <w:rPr>
      <w:rFonts w:eastAsia="仿宋_GB2312"/>
      <w:b/>
      <w:bCs/>
      <w:kern w:val="2"/>
      <w:sz w:val="24"/>
      <w:szCs w:val="32"/>
    </w:rPr>
  </w:style>
  <w:style w:type="paragraph" w:customStyle="1" w:styleId="16">
    <w:name w:val="p15"/>
    <w:basedOn w:val="1"/>
    <w:qFormat/>
    <w:uiPriority w:val="0"/>
    <w:pPr>
      <w:widowControl/>
    </w:pPr>
    <w:rPr>
      <w:rFonts w:ascii="宋体" w:hAnsi="宋体" w:eastAsia="宋体"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1218</Words>
  <Characters>1259</Characters>
  <Lines>8</Lines>
  <Paragraphs>2</Paragraphs>
  <TotalTime>0</TotalTime>
  <ScaleCrop>false</ScaleCrop>
  <LinksUpToDate>false</LinksUpToDate>
  <CharactersWithSpaces>1265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2019-07-17T02:40:00Z</dcterms:created>
  <dc:creator>Administrator</dc:creator>
  <cp:lastModifiedBy>lizihang.bs</cp:lastModifiedBy>
  <cp:lastPrinted>2023-03-03T01:37:00Z</cp:lastPrinted>
  <dcterms:modified xsi:type="dcterms:W3CDTF">2026-01-09T02:29:22Z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FB1EF11A7FAC4BE1AFB2841677B5A9C7_13</vt:lpwstr>
  </property>
  <property fmtid="{D5CDD505-2E9C-101B-9397-08002B2CF9AE}" pid="4" name="KSOTemplateDocerSaveRecord">
    <vt:lpwstr>eyJoZGlkIjoiNTMzZjhlYWI3MjM4MzZlNDBkMjE2YzNhNDQyNWVjZGYiLCJ1c2VySWQiOiIxNDkyMTczMjk0In0=</vt:lpwstr>
  </property>
</Properties>
</file>