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富川供电公司周转住房项目消防技术服务零星采购项目报价须知</w:t>
      </w:r>
    </w:p>
    <w:p>
      <w:pPr>
        <w:pStyle w:val="2"/>
        <w:keepNext w:val="0"/>
        <w:keepLines w:val="0"/>
        <w:pageBreakBefore w:val="0"/>
        <w:widowControl w:val="0"/>
        <w:kinsoku/>
        <w:wordWrap/>
        <w:topLinePunct w:val="0"/>
        <w:autoSpaceDE/>
        <w:autoSpaceDN/>
        <w:bidi w:val="0"/>
        <w:adjustRightInd/>
        <w:snapToGrid/>
        <w:spacing w:line="580" w:lineRule="exact"/>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一、投标人资格要求</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rPr>
        <w:t>在中华人民共和国境内注册，持有合法有效的企业法人营业执照。</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2、单位负责人为同一人或者存在控股、管理关系的不同单位，不同单位董事、监事、高级管理人员相互交叉任职的，不得参加本项目报价。</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bCs w:val="0"/>
          <w:sz w:val="32"/>
          <w:szCs w:val="32"/>
          <w:lang w:val="en-US" w:eastAsia="zh-CN"/>
        </w:rPr>
        <w:t>3、</w:t>
      </w:r>
      <w:r>
        <w:rPr>
          <w:rFonts w:hint="eastAsia" w:ascii="仿宋_GB2312" w:hAnsi="仿宋_GB2312" w:eastAsia="仿宋_GB2312" w:cs="仿宋_GB2312"/>
          <w:b w:val="0"/>
          <w:bCs w:val="0"/>
          <w:sz w:val="32"/>
          <w:szCs w:val="32"/>
        </w:rPr>
        <w:t>其他不得存在的情形：被相关政府部门实施市场禁入、禁止参加投标、承接新项目的；在中国南方电网有限责任公司范围内被纳入供应商预警名单或处理名单实施不接受投标处理、市场禁入处理，且未解除的。</w:t>
      </w:r>
      <w:r>
        <w:rPr>
          <w:rFonts w:hint="eastAsia" w:ascii="仿宋_GB2312" w:hAnsi="仿宋_GB2312" w:eastAsia="仿宋_GB2312" w:cs="仿宋_GB2312"/>
          <w:b w:val="0"/>
          <w:bCs w:val="0"/>
          <w:sz w:val="32"/>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二、工程概况</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1、项目名称：</w:t>
      </w:r>
      <w:r>
        <w:rPr>
          <w:rFonts w:hint="eastAsia" w:ascii="仿宋_GB2312" w:hAnsi="仿宋_GB2312" w:eastAsia="仿宋_GB2312" w:cs="仿宋_GB2312"/>
          <w:b w:val="0"/>
          <w:bCs w:val="0"/>
          <w:sz w:val="32"/>
          <w:szCs w:val="32"/>
          <w:lang w:val="en-US" w:eastAsia="zh-CN"/>
        </w:rPr>
        <w:t>富川供电公司周转住房项目消防技术服务零星采购项目。</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2、建筑规模：</w:t>
      </w:r>
      <w:r>
        <w:rPr>
          <w:rFonts w:hint="eastAsia" w:ascii="仿宋_GB2312" w:hAnsi="仿宋_GB2312" w:eastAsia="仿宋_GB2312" w:cs="仿宋_GB2312"/>
          <w:b w:val="0"/>
          <w:bCs w:val="0"/>
          <w:sz w:val="32"/>
          <w:szCs w:val="32"/>
          <w:lang w:val="en-US" w:eastAsia="zh-CN"/>
        </w:rPr>
        <w:t>项目总建筑面积 1579.24 平方米，地上6层，无地下室。配套建设室外工程。本项目建设用地面积 4632.16 平方米，其中：建筑基底面积 248.90 平方米，新建道路面积 3963.74 平方米（包含宗地地块环形道路），新建硬化面积 608.72 平方米（含停车区），新建绿化面积 347.52 平方米。</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三、采购范围及商务、技术</w:t>
      </w:r>
      <w:r>
        <w:rPr>
          <w:rFonts w:hint="eastAsia" w:ascii="仿宋_GB2312" w:hAnsi="仿宋_GB2312" w:eastAsia="仿宋_GB2312" w:cs="仿宋_GB2312"/>
          <w:b/>
          <w:bCs/>
          <w:i w:val="0"/>
          <w:iCs w:val="0"/>
          <w:caps w:val="0"/>
          <w:spacing w:val="0"/>
          <w:sz w:val="32"/>
          <w:szCs w:val="32"/>
          <w:lang w:eastAsia="zh-CN"/>
        </w:rPr>
        <w:t>响应</w:t>
      </w:r>
    </w:p>
    <w:p>
      <w:pPr>
        <w:keepNext w:val="0"/>
        <w:keepLines w:val="0"/>
        <w:pageBreakBefore w:val="0"/>
        <w:widowControl w:val="0"/>
        <w:numPr>
          <w:ilvl w:val="0"/>
          <w:numId w:val="0"/>
        </w:numPr>
        <w:kinsoku/>
        <w:wordWrap/>
        <w:overflowPunct w:val="0"/>
        <w:topLinePunct w:val="0"/>
        <w:autoSpaceDE/>
        <w:autoSpaceDN/>
        <w:bidi w:val="0"/>
        <w:adjustRightInd/>
        <w:snapToGrid/>
        <w:spacing w:before="-2147483648" w:beforeLines="-2147483648" w:beforeAutospacing="0" w:line="580" w:lineRule="exact"/>
        <w:ind w:firstLine="640" w:firstLineChars="200"/>
        <w:textAlignment w:val="baseline"/>
        <w:outlineLvl w:val="9"/>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sz w:val="32"/>
          <w:szCs w:val="32"/>
          <w:lang w:val="en-US" w:eastAsia="zh-CN"/>
        </w:rPr>
        <w:t>1、</w:t>
      </w:r>
      <w:r>
        <w:rPr>
          <w:rFonts w:hint="eastAsia" w:ascii="仿宋_GB2312" w:hAnsi="仿宋_GB2312" w:eastAsia="仿宋_GB2312" w:cs="仿宋_GB2312"/>
          <w:b/>
          <w:bCs/>
          <w:color w:val="auto"/>
          <w:sz w:val="32"/>
          <w:szCs w:val="32"/>
          <w:lang w:val="en-US" w:eastAsia="zh-CN"/>
        </w:rPr>
        <w:t>采购范围：</w:t>
      </w:r>
      <w:r>
        <w:rPr>
          <w:rFonts w:hint="eastAsia" w:ascii="仿宋_GB2312" w:hAnsi="仿宋_GB2312" w:eastAsia="仿宋_GB2312" w:cs="仿宋_GB2312"/>
          <w:b w:val="0"/>
          <w:bCs w:val="0"/>
          <w:color w:val="auto"/>
          <w:sz w:val="32"/>
          <w:szCs w:val="32"/>
          <w:lang w:val="en-US" w:eastAsia="zh-CN"/>
        </w:rPr>
        <w:t>富川供电公司周转住房项目消防技术服务。</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outlineLvl w:val="9"/>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i w:val="0"/>
          <w:iCs w:val="0"/>
          <w:caps w:val="0"/>
          <w:spacing w:val="0"/>
          <w:sz w:val="32"/>
          <w:szCs w:val="32"/>
          <w:lang w:eastAsia="zh-CN"/>
        </w:rPr>
        <w:t>商务响应文件：</w:t>
      </w:r>
      <w:r>
        <w:rPr>
          <w:rFonts w:hint="eastAsia" w:ascii="仿宋_GB2312" w:hAnsi="仿宋_GB2312" w:eastAsia="仿宋_GB2312" w:cs="仿宋_GB2312"/>
          <w:b w:val="0"/>
          <w:bCs w:val="0"/>
          <w:sz w:val="32"/>
          <w:szCs w:val="32"/>
          <w:lang w:val="en-US" w:eastAsia="zh-CN"/>
        </w:rPr>
        <w:t>商务响应文件内容为企业营业执照副本（复印件）、法定代表身份证明、法定代表人授权书、被授权人身份证明、质量保证、服务承诺材料等，响应格式自拟。</w:t>
      </w:r>
      <w:r>
        <w:rPr>
          <w:rFonts w:hint="eastAsia" w:ascii="仿宋_GB2312" w:hAnsi="仿宋_GB2312" w:eastAsia="仿宋_GB2312" w:cs="仿宋_GB2312"/>
          <w:b w:val="0"/>
          <w:bCs w:val="0"/>
          <w:sz w:val="32"/>
          <w:szCs w:val="32"/>
          <w:lang w:val="en-US" w:eastAsia="zh-CN"/>
        </w:rPr>
        <w:br w:type="textWrapping"/>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bCs/>
          <w:color w:val="auto"/>
          <w:sz w:val="32"/>
          <w:szCs w:val="32"/>
          <w:lang w:val="en-US" w:eastAsia="zh-CN"/>
        </w:rPr>
        <w:t>3、技术</w:t>
      </w:r>
      <w:r>
        <w:rPr>
          <w:rFonts w:hint="eastAsia" w:ascii="仿宋_GB2312" w:hAnsi="仿宋_GB2312" w:eastAsia="仿宋_GB2312" w:cs="仿宋_GB2312"/>
          <w:b/>
          <w:bCs/>
          <w:i w:val="0"/>
          <w:iCs w:val="0"/>
          <w:caps w:val="0"/>
          <w:spacing w:val="0"/>
          <w:sz w:val="32"/>
          <w:szCs w:val="32"/>
          <w:lang w:eastAsia="zh-CN"/>
        </w:rPr>
        <w:t>响应文件</w:t>
      </w:r>
      <w:r>
        <w:rPr>
          <w:rFonts w:hint="eastAsia" w:ascii="仿宋_GB2312" w:hAnsi="仿宋_GB2312" w:eastAsia="仿宋_GB2312" w:cs="仿宋_GB2312"/>
          <w:b w:val="0"/>
          <w:bCs w:val="0"/>
          <w:color w:val="auto"/>
          <w:sz w:val="32"/>
          <w:szCs w:val="32"/>
          <w:lang w:val="en-US" w:eastAsia="zh-CN"/>
        </w:rPr>
        <w:t>：技术要求详见《富川供电公司周转住房项目消防技术服务技术规范书》</w:t>
      </w:r>
      <w:r>
        <w:rPr>
          <w:rFonts w:hint="eastAsia" w:ascii="仿宋_GB2312" w:hAnsi="仿宋_GB2312" w:eastAsia="仿宋_GB2312" w:cs="仿宋_GB2312"/>
          <w:b w:val="0"/>
          <w:bCs w:val="0"/>
          <w:sz w:val="32"/>
          <w:szCs w:val="32"/>
          <w:lang w:val="en-US" w:eastAsia="zh-CN"/>
        </w:rPr>
        <w:t>，响应格式自拟。</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outlineLvl w:val="9"/>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四、报价要求及结算方式</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1、报价等于或小于项目最高限价金额为有效报价。</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2、报价有效期：90天。</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3、确定成交方后3天内发出成交通知书。</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4、结算方式：《工程竣工验收（消防查验）报告》通过消防验收或备案后60个工作日，向乙方一次性支付至报酬的100%。 </w:t>
      </w:r>
    </w:p>
    <w:p>
      <w:pPr>
        <w:pStyle w:val="3"/>
        <w:keepNext w:val="0"/>
        <w:keepLines w:val="0"/>
        <w:pageBreakBefore w:val="0"/>
        <w:widowControl w:val="0"/>
        <w:numPr>
          <w:ilvl w:val="0"/>
          <w:numId w:val="0"/>
        </w:numPr>
        <w:kinsoku/>
        <w:wordWrap/>
        <w:topLinePunct w:val="0"/>
        <w:autoSpaceDE/>
        <w:autoSpaceDN/>
        <w:bidi w:val="0"/>
        <w:adjustRightInd/>
        <w:snapToGrid/>
        <w:spacing w:line="580" w:lineRule="exact"/>
        <w:jc w:val="left"/>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五、响应文件提供及签署要求</w:t>
      </w:r>
    </w:p>
    <w:p>
      <w:pPr>
        <w:pStyle w:val="4"/>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1、未提供报价表、商务响应文件、技术响应文件的作否决响应处理。</w:t>
      </w:r>
    </w:p>
    <w:p>
      <w:pPr>
        <w:pStyle w:val="4"/>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2、报价文件、技术响应文件须盖单位章（格式自拟），如无盖章的，作否决响应处理。</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六、中标原则</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推荐满足要求且含税报价最低的作为成交供应商；报价相同的，按报价时间先后顺序推荐</w:t>
      </w:r>
      <w:r>
        <w:rPr>
          <w:rFonts w:hint="eastAsia" w:ascii="仿宋_GB2312" w:hAnsi="仿宋_GB2312" w:eastAsia="仿宋_GB2312" w:cs="仿宋_GB2312"/>
          <w:color w:val="auto"/>
          <w:kern w:val="2"/>
          <w:sz w:val="32"/>
          <w:szCs w:val="32"/>
          <w:highlight w:val="none"/>
          <w:lang w:val="en-US" w:eastAsia="zh-CN" w:bidi="ar-SA"/>
        </w:rPr>
        <w:t>成交供应商。</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联系方式：</w:t>
      </w:r>
      <w:r>
        <w:rPr>
          <w:rFonts w:hint="eastAsia" w:ascii="仿宋_GB2312" w:hAnsi="仿宋_GB2312" w:eastAsia="仿宋_GB2312" w:cs="仿宋_GB2312"/>
          <w:b w:val="0"/>
          <w:bCs w:val="0"/>
          <w:sz w:val="32"/>
          <w:szCs w:val="32"/>
          <w:lang w:val="en-US" w:eastAsia="zh-CN"/>
        </w:rPr>
        <w:t>吕海深   电话：0774-5616057</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4160" w:firstLineChars="1300"/>
        <w:jc w:val="both"/>
        <w:textAlignment w:val="auto"/>
        <w:rPr>
          <w:rFonts w:hint="eastAsia" w:ascii="仿宋_GB2312" w:hAnsi="仿宋_GB2312" w:eastAsia="仿宋_GB2312" w:cs="仿宋_GB2312"/>
          <w:b w:val="0"/>
          <w:bCs w:val="0"/>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4160" w:firstLineChars="13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贺州供电局建设管理部</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4480" w:firstLineChars="14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（项目管理中心）</w:t>
      </w:r>
      <w:bookmarkStart w:id="0" w:name="_GoBack"/>
      <w:bookmarkEnd w:id="0"/>
    </w:p>
    <w:p>
      <w:pPr>
        <w:pStyle w:val="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2026年1月4日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0786A5E"/>
    <w:rsid w:val="033B0373"/>
    <w:rsid w:val="05F36645"/>
    <w:rsid w:val="078C4434"/>
    <w:rsid w:val="07D70B43"/>
    <w:rsid w:val="08294BF2"/>
    <w:rsid w:val="090817E5"/>
    <w:rsid w:val="0A6854E5"/>
    <w:rsid w:val="0D7444D4"/>
    <w:rsid w:val="0E584AF7"/>
    <w:rsid w:val="0F680C0A"/>
    <w:rsid w:val="110A18CA"/>
    <w:rsid w:val="114A5C90"/>
    <w:rsid w:val="15EC0B13"/>
    <w:rsid w:val="16061518"/>
    <w:rsid w:val="16660579"/>
    <w:rsid w:val="16C64CDF"/>
    <w:rsid w:val="17EE32B7"/>
    <w:rsid w:val="18147EBD"/>
    <w:rsid w:val="19B008CA"/>
    <w:rsid w:val="1BB03B81"/>
    <w:rsid w:val="1C1C5471"/>
    <w:rsid w:val="205B64A1"/>
    <w:rsid w:val="217201A4"/>
    <w:rsid w:val="223B335B"/>
    <w:rsid w:val="22A70261"/>
    <w:rsid w:val="22DE4E8F"/>
    <w:rsid w:val="230B288A"/>
    <w:rsid w:val="23F04A84"/>
    <w:rsid w:val="25250E4A"/>
    <w:rsid w:val="253D65C6"/>
    <w:rsid w:val="289015F8"/>
    <w:rsid w:val="29B84B1C"/>
    <w:rsid w:val="2A326B89"/>
    <w:rsid w:val="2CEB45D3"/>
    <w:rsid w:val="2FFD4166"/>
    <w:rsid w:val="30130075"/>
    <w:rsid w:val="318178A1"/>
    <w:rsid w:val="32EB4A9A"/>
    <w:rsid w:val="35B25AC7"/>
    <w:rsid w:val="37C47D4F"/>
    <w:rsid w:val="38EB64AE"/>
    <w:rsid w:val="39BA1DAD"/>
    <w:rsid w:val="3C3C0C29"/>
    <w:rsid w:val="3E09538B"/>
    <w:rsid w:val="448C4E25"/>
    <w:rsid w:val="491174AD"/>
    <w:rsid w:val="49940B26"/>
    <w:rsid w:val="4A04384D"/>
    <w:rsid w:val="4C403398"/>
    <w:rsid w:val="50AF7019"/>
    <w:rsid w:val="52147498"/>
    <w:rsid w:val="56AD4D9D"/>
    <w:rsid w:val="56D52DB1"/>
    <w:rsid w:val="57D149C7"/>
    <w:rsid w:val="5AB807E4"/>
    <w:rsid w:val="5AF9281A"/>
    <w:rsid w:val="5B6E4FED"/>
    <w:rsid w:val="5C977119"/>
    <w:rsid w:val="5E1A6F35"/>
    <w:rsid w:val="60DE2ED4"/>
    <w:rsid w:val="60F43C20"/>
    <w:rsid w:val="612B56BE"/>
    <w:rsid w:val="615D7FE7"/>
    <w:rsid w:val="62251C7F"/>
    <w:rsid w:val="62DE3D1E"/>
    <w:rsid w:val="63B4163B"/>
    <w:rsid w:val="6A62329A"/>
    <w:rsid w:val="6ACD59B9"/>
    <w:rsid w:val="6AE2787F"/>
    <w:rsid w:val="6D650FF1"/>
    <w:rsid w:val="6F994CE1"/>
    <w:rsid w:val="70DF3982"/>
    <w:rsid w:val="71097529"/>
    <w:rsid w:val="72F07F6D"/>
    <w:rsid w:val="73362DE5"/>
    <w:rsid w:val="73DB5234"/>
    <w:rsid w:val="758C7A19"/>
    <w:rsid w:val="78ED7D37"/>
    <w:rsid w:val="7C7D0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Body Text"/>
    <w:basedOn w:val="4"/>
    <w:next w:val="4"/>
    <w:unhideWhenUsed/>
    <w:qFormat/>
    <w:uiPriority w:val="99"/>
    <w:pPr>
      <w:spacing w:after="120" w:afterLines="0"/>
    </w:pPr>
  </w:style>
  <w:style w:type="paragraph" w:styleId="4">
    <w:name w:val="Title"/>
    <w:basedOn w:val="1"/>
    <w:next w:val="1"/>
    <w:qFormat/>
    <w:uiPriority w:val="10"/>
    <w:pPr>
      <w:spacing w:before="240" w:after="60"/>
      <w:jc w:val="center"/>
      <w:outlineLvl w:val="0"/>
    </w:pPr>
    <w:rPr>
      <w:rFonts w:ascii="Arial" w:hAnsi="Arial"/>
      <w:b/>
      <w:bCs/>
      <w:sz w:val="32"/>
      <w:szCs w:val="32"/>
    </w:rPr>
  </w:style>
  <w:style w:type="paragraph" w:styleId="5">
    <w:name w:val="Body Text Indent"/>
    <w:basedOn w:val="1"/>
    <w:qFormat/>
    <w:uiPriority w:val="0"/>
    <w:pPr>
      <w:adjustRightInd w:val="0"/>
      <w:snapToGrid w:val="0"/>
      <w:spacing w:line="360" w:lineRule="auto"/>
      <w:ind w:firstLine="540" w:firstLineChars="180"/>
    </w:pPr>
    <w:rPr>
      <w:rFonts w:ascii="宋体" w:hAnsi="宋体"/>
      <w:sz w:val="30"/>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2020-07-28T08:44:00Z</dcterms:created>
  <dc:creator>梁兆庭</dc:creator>
  <cp:lastModifiedBy>吕海深</cp:lastModifiedBy>
  <dcterms:modified xsi:type="dcterms:W3CDTF">2026-01-04T01:58:44Z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6E9EEF485D2045A790B9A7DE654A8F1F</vt:lpwstr>
  </property>
</Properties>
</file>