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360" w:lineRule="auto"/>
        <w:jc w:val="center"/>
        <w:rPr>
          <w:rFonts w:hint="default" w:ascii="Times New Roman" w:hAnsi="Times New Roman" w:cs="Times New Roman"/>
          <w:sz w:val="24"/>
          <w:szCs w:val="24"/>
        </w:rPr>
      </w:pPr>
      <w:r>
        <w:rPr>
          <w:rFonts w:hint="eastAsia" w:ascii="Times New Roman" w:hAnsi="Times New Roman" w:eastAsia="宋体" w:cs="Times New Roman"/>
          <w:b/>
          <w:bCs/>
          <w:color w:val="000000"/>
          <w:kern w:val="0"/>
          <w:sz w:val="24"/>
          <w:szCs w:val="24"/>
          <w:lang w:val="en-US" w:eastAsia="zh-CN" w:bidi="ar"/>
        </w:rPr>
        <w:t>电碳计量数据采集设备所需材料</w:t>
      </w:r>
      <w:r>
        <w:rPr>
          <w:rFonts w:hint="default" w:ascii="Times New Roman" w:hAnsi="Times New Roman" w:eastAsia="宋体" w:cs="Times New Roman"/>
          <w:b/>
          <w:bCs/>
          <w:color w:val="000000"/>
          <w:kern w:val="0"/>
          <w:sz w:val="24"/>
          <w:szCs w:val="24"/>
          <w:lang w:val="en-US" w:eastAsia="zh-CN" w:bidi="ar"/>
        </w:rPr>
        <w:t>零星采购技术</w:t>
      </w:r>
      <w:r>
        <w:rPr>
          <w:rFonts w:hint="eastAsia" w:ascii="Times New Roman" w:hAnsi="Times New Roman" w:eastAsia="宋体" w:cs="Times New Roman"/>
          <w:b/>
          <w:bCs/>
          <w:color w:val="000000"/>
          <w:kern w:val="0"/>
          <w:sz w:val="24"/>
          <w:szCs w:val="24"/>
          <w:lang w:val="en-US" w:eastAsia="zh-CN" w:bidi="ar"/>
        </w:rPr>
        <w:t>要求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按照表1的材料需求清单，提供计量模块等9类材料，应包括与材料的检验、安装调试、验收有关的技术指导、技术配合、技术培训等全过程的服务。交货地点为广东省清远市，其中包装、邮寄、运输、安装调试等相关费用由中标单位负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center"/>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表1 材料需求清单</w:t>
      </w:r>
    </w:p>
    <w:tbl>
      <w:tblPr>
        <w:tblStyle w:val="11"/>
        <w:tblW w:w="828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456"/>
        <w:gridCol w:w="4440"/>
        <w:gridCol w:w="88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2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sz w:val="21"/>
                <w:szCs w:val="21"/>
              </w:rPr>
            </w:pPr>
            <w:r>
              <w:rPr>
                <w:rFonts w:ascii="Times New Roman"/>
                <w:sz w:val="21"/>
                <w:szCs w:val="21"/>
              </w:rPr>
              <w:t>序号</w:t>
            </w:r>
          </w:p>
        </w:tc>
        <w:tc>
          <w:tcPr>
            <w:tcW w:w="14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sz w:val="21"/>
                <w:szCs w:val="21"/>
              </w:rPr>
            </w:pPr>
            <w:r>
              <w:rPr>
                <w:rFonts w:hint="eastAsia" w:ascii="Times New Roman"/>
                <w:sz w:val="21"/>
                <w:szCs w:val="21"/>
              </w:rPr>
              <w:t>模块名称</w:t>
            </w:r>
          </w:p>
        </w:tc>
        <w:tc>
          <w:tcPr>
            <w:tcW w:w="44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Times New Roman"/>
                <w:sz w:val="21"/>
                <w:szCs w:val="21"/>
              </w:rPr>
            </w:pPr>
            <w:r>
              <w:rPr>
                <w:rFonts w:hint="eastAsia" w:ascii="Times New Roman"/>
                <w:sz w:val="21"/>
                <w:szCs w:val="21"/>
              </w:rPr>
              <w:t>技术指标</w:t>
            </w:r>
          </w:p>
        </w:tc>
        <w:tc>
          <w:tcPr>
            <w:tcW w:w="88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sz w:val="21"/>
                <w:szCs w:val="21"/>
              </w:rPr>
            </w:pPr>
            <w:r>
              <w:rPr>
                <w:rFonts w:ascii="Times New Roman"/>
                <w:sz w:val="21"/>
                <w:szCs w:val="21"/>
              </w:rPr>
              <w:t>数量</w:t>
            </w:r>
          </w:p>
        </w:tc>
        <w:tc>
          <w:tcPr>
            <w:tcW w:w="78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sz w:val="21"/>
                <w:szCs w:val="21"/>
              </w:rPr>
            </w:pPr>
            <w:r>
              <w:rPr>
                <w:rFonts w:ascii="Times New Roman"/>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top w:val="single" w:color="auto" w:sz="4" w:space="0"/>
              <w:left w:val="single" w:color="auto" w:sz="4" w:space="0"/>
              <w:right w:val="single" w:color="auto" w:sz="4" w:space="0"/>
            </w:tcBorders>
            <w:noWrap w:val="0"/>
            <w:vAlign w:val="center"/>
          </w:tcPr>
          <w:p>
            <w:pPr>
              <w:widowControl/>
              <w:jc w:val="center"/>
              <w:rPr>
                <w:rFonts w:ascii="Times New Roman"/>
                <w:sz w:val="21"/>
                <w:szCs w:val="21"/>
              </w:rPr>
            </w:pPr>
            <w:r>
              <w:rPr>
                <w:rFonts w:ascii="Times New Roman"/>
                <w:sz w:val="21"/>
                <w:szCs w:val="21"/>
              </w:rPr>
              <w:t>1</w:t>
            </w:r>
          </w:p>
        </w:tc>
        <w:tc>
          <w:tcPr>
            <w:tcW w:w="1456" w:type="dxa"/>
            <w:tcBorders>
              <w:top w:val="single" w:color="auto" w:sz="4" w:space="0"/>
              <w:left w:val="single" w:color="auto" w:sz="4" w:space="0"/>
              <w:right w:val="single" w:color="auto" w:sz="4" w:space="0"/>
            </w:tcBorders>
            <w:noWrap w:val="0"/>
            <w:vAlign w:val="center"/>
          </w:tcPr>
          <w:p>
            <w:pPr>
              <w:widowControl/>
              <w:jc w:val="center"/>
              <w:rPr>
                <w:rFonts w:hint="eastAsia" w:hAnsi="宋体"/>
                <w:sz w:val="21"/>
                <w:szCs w:val="21"/>
              </w:rPr>
            </w:pPr>
            <w:r>
              <w:rPr>
                <w:rFonts w:hint="eastAsia" w:hAnsi="宋体"/>
                <w:sz w:val="21"/>
                <w:szCs w:val="21"/>
                <w:lang w:val="en-US" w:eastAsia="zh-CN"/>
              </w:rPr>
              <w:t>计量</w:t>
            </w:r>
            <w:r>
              <w:rPr>
                <w:rFonts w:hint="eastAsia" w:hAnsi="宋体"/>
                <w:sz w:val="21"/>
                <w:szCs w:val="21"/>
              </w:rPr>
              <w:t>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2"/>
              </w:numPr>
              <w:rPr>
                <w:rFonts w:hint="eastAsia"/>
                <w:sz w:val="21"/>
                <w:szCs w:val="21"/>
                <w:lang w:eastAsia="zh-CN"/>
              </w:rPr>
            </w:pPr>
            <w:r>
              <w:rPr>
                <w:rFonts w:hint="eastAsia"/>
                <w:sz w:val="21"/>
                <w:szCs w:val="21"/>
                <w:lang w:val="en-US" w:eastAsia="zh-CN"/>
              </w:rPr>
              <w:t>具备</w:t>
            </w:r>
            <w:r>
              <w:rPr>
                <w:sz w:val="21"/>
                <w:szCs w:val="21"/>
              </w:rPr>
              <w:t>正向有功、反向有功电能计量功能</w:t>
            </w:r>
            <w:r>
              <w:rPr>
                <w:rFonts w:hint="eastAsia"/>
                <w:sz w:val="21"/>
                <w:szCs w:val="21"/>
                <w:lang w:eastAsia="zh-CN"/>
              </w:rPr>
              <w:t>；</w:t>
            </w:r>
          </w:p>
          <w:p>
            <w:pPr>
              <w:widowControl/>
              <w:numPr>
                <w:ilvl w:val="0"/>
                <w:numId w:val="2"/>
              </w:numPr>
              <w:ind w:left="0" w:leftChars="0" w:firstLine="0" w:firstLineChars="0"/>
              <w:rPr>
                <w:rFonts w:hint="eastAsia"/>
                <w:highlight w:val="none"/>
                <w:lang w:eastAsia="zh-CN"/>
              </w:rPr>
            </w:pPr>
            <w:r>
              <w:rPr>
                <w:sz w:val="21"/>
                <w:szCs w:val="21"/>
                <w:highlight w:val="none"/>
              </w:rPr>
              <w:t>有功</w:t>
            </w:r>
            <w:r>
              <w:rPr>
                <w:rFonts w:hint="eastAsia"/>
                <w:sz w:val="21"/>
                <w:szCs w:val="21"/>
                <w:highlight w:val="none"/>
                <w:lang w:val="en-US" w:eastAsia="zh-CN"/>
              </w:rPr>
              <w:t>电能B</w:t>
            </w:r>
            <w:r>
              <w:rPr>
                <w:sz w:val="21"/>
                <w:szCs w:val="21"/>
                <w:highlight w:val="none"/>
              </w:rPr>
              <w:t>级</w:t>
            </w:r>
            <w:r>
              <w:rPr>
                <w:rFonts w:hint="eastAsia"/>
                <w:sz w:val="21"/>
                <w:szCs w:val="21"/>
                <w:highlight w:val="none"/>
                <w:lang w:eastAsia="zh-CN"/>
              </w:rPr>
              <w:t>、</w:t>
            </w:r>
            <w:r>
              <w:rPr>
                <w:sz w:val="21"/>
                <w:szCs w:val="21"/>
                <w:highlight w:val="none"/>
              </w:rPr>
              <w:t>无功</w:t>
            </w:r>
            <w:r>
              <w:rPr>
                <w:rFonts w:hint="eastAsia"/>
                <w:sz w:val="21"/>
                <w:szCs w:val="21"/>
                <w:highlight w:val="none"/>
                <w:lang w:val="en-US" w:eastAsia="zh-CN"/>
              </w:rPr>
              <w:t>电能</w:t>
            </w:r>
            <w:r>
              <w:rPr>
                <w:sz w:val="21"/>
                <w:szCs w:val="21"/>
                <w:highlight w:val="none"/>
              </w:rPr>
              <w:t>2级</w:t>
            </w:r>
            <w:r>
              <w:rPr>
                <w:rFonts w:hint="eastAsia"/>
                <w:sz w:val="21"/>
                <w:szCs w:val="21"/>
                <w:highlight w:val="none"/>
                <w:lang w:eastAsia="zh-CN"/>
              </w:rPr>
              <w:t>，</w:t>
            </w:r>
            <w:r>
              <w:rPr>
                <w:rFonts w:hint="eastAsia"/>
                <w:sz w:val="21"/>
                <w:szCs w:val="21"/>
                <w:lang w:val="en-US" w:eastAsia="zh-CN"/>
              </w:rPr>
              <w:t>电能</w:t>
            </w:r>
            <w:r>
              <w:rPr>
                <w:rFonts w:hint="eastAsia"/>
                <w:sz w:val="21"/>
                <w:szCs w:val="21"/>
                <w:lang w:eastAsia="zh-CN"/>
              </w:rPr>
              <w:t>计量准确度相关技术指标应</w:t>
            </w:r>
            <w:r>
              <w:rPr>
                <w:rFonts w:hint="eastAsia"/>
                <w:sz w:val="21"/>
                <w:szCs w:val="21"/>
                <w:highlight w:val="none"/>
                <w:lang w:eastAsia="zh-CN"/>
              </w:rPr>
              <w:t>满足《中国南方电网有限责任公司三相多功能电能表技术规范》相应等级的要求；</w:t>
            </w:r>
          </w:p>
          <w:p>
            <w:pPr>
              <w:widowControl/>
              <w:numPr>
                <w:ilvl w:val="0"/>
                <w:numId w:val="2"/>
              </w:numPr>
              <w:ind w:left="0" w:leftChars="0" w:firstLine="0" w:firstLineChars="0"/>
              <w:rPr>
                <w:rFonts w:hint="eastAsia"/>
                <w:sz w:val="21"/>
                <w:szCs w:val="21"/>
                <w:lang w:val="en-US" w:eastAsia="zh-CN"/>
              </w:rPr>
            </w:pPr>
            <w:r>
              <w:rPr>
                <w:rFonts w:hint="eastAsia"/>
                <w:sz w:val="21"/>
                <w:szCs w:val="21"/>
                <w:lang w:eastAsia="zh-CN"/>
              </w:rPr>
              <w:t>具备分相交流电压、电流测量功能，电压、电流测量误差不超过±0.5%，功率测量误差不超过±1%，功率因数误差不超过±1%。</w:t>
            </w:r>
          </w:p>
        </w:tc>
        <w:tc>
          <w:tcPr>
            <w:tcW w:w="885" w:type="dxa"/>
            <w:tcBorders>
              <w:top w:val="single" w:color="auto" w:sz="4" w:space="0"/>
              <w:left w:val="single" w:color="auto" w:sz="4" w:space="0"/>
              <w:right w:val="single" w:color="auto" w:sz="4" w:space="0"/>
            </w:tcBorders>
            <w:noWrap w:val="0"/>
            <w:vAlign w:val="center"/>
          </w:tcPr>
          <w:p>
            <w:pPr>
              <w:widowControl/>
              <w:jc w:val="center"/>
              <w:rPr>
                <w:rFonts w:hint="default" w:hAnsi="宋体" w:eastAsiaTheme="minorEastAsia"/>
                <w:color w:val="000000"/>
                <w:sz w:val="21"/>
                <w:szCs w:val="21"/>
                <w:lang w:val="en-US" w:eastAsia="zh-CN"/>
              </w:rPr>
            </w:pPr>
            <w:r>
              <w:rPr>
                <w:rFonts w:hint="eastAsia" w:hAnsi="宋体"/>
                <w:color w:val="000000"/>
                <w:sz w:val="21"/>
                <w:szCs w:val="21"/>
                <w:lang w:val="en-US" w:eastAsia="zh-CN"/>
              </w:rPr>
              <w:t>12</w:t>
            </w:r>
          </w:p>
        </w:tc>
        <w:tc>
          <w:tcPr>
            <w:tcW w:w="780" w:type="dxa"/>
            <w:tcBorders>
              <w:top w:val="single" w:color="auto" w:sz="4" w:space="0"/>
              <w:left w:val="single" w:color="auto" w:sz="4" w:space="0"/>
              <w:right w:val="single" w:color="auto" w:sz="4" w:space="0"/>
            </w:tcBorders>
            <w:noWrap w:val="0"/>
            <w:vAlign w:val="center"/>
          </w:tcPr>
          <w:p>
            <w:pPr>
              <w:widowControl/>
              <w:jc w:val="center"/>
              <w:rPr>
                <w:rFonts w:hint="eastAsia" w:hAnsi="宋体"/>
                <w:sz w:val="21"/>
                <w:szCs w:val="21"/>
              </w:rPr>
            </w:pPr>
            <w:r>
              <w:rPr>
                <w:rFonts w:hint="eastAsia" w:hAnsi="宋体"/>
                <w:color w:val="000000"/>
                <w:sz w:val="21"/>
                <w:szCs w:val="21"/>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4"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2</w:t>
            </w:r>
          </w:p>
        </w:tc>
        <w:tc>
          <w:tcPr>
            <w:tcW w:w="1456" w:type="dxa"/>
            <w:tcBorders>
              <w:left w:val="single" w:color="auto" w:sz="4" w:space="0"/>
              <w:right w:val="single" w:color="auto" w:sz="4" w:space="0"/>
            </w:tcBorders>
            <w:noWrap w:val="0"/>
            <w:vAlign w:val="center"/>
          </w:tcPr>
          <w:p>
            <w:pPr>
              <w:widowControl/>
              <w:jc w:val="center"/>
              <w:rPr>
                <w:rFonts w:hint="eastAsia" w:hAnsi="宋体"/>
                <w:sz w:val="21"/>
                <w:szCs w:val="21"/>
                <w:highlight w:val="none"/>
              </w:rPr>
            </w:pPr>
            <w:r>
              <w:rPr>
                <w:rFonts w:hint="eastAsia" w:hAnsi="宋体"/>
                <w:sz w:val="21"/>
                <w:szCs w:val="21"/>
                <w:highlight w:val="none"/>
                <w:lang w:val="en-US" w:eastAsia="zh-CN"/>
              </w:rPr>
              <w:t>中央处理</w:t>
            </w:r>
            <w:r>
              <w:rPr>
                <w:rFonts w:hint="eastAsia" w:hAnsi="宋体"/>
                <w:sz w:val="21"/>
                <w:szCs w:val="21"/>
                <w:highlight w:val="none"/>
              </w:rPr>
              <w:t>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3"/>
              </w:numPr>
              <w:rPr>
                <w:rFonts w:hint="eastAsia"/>
                <w:sz w:val="21"/>
                <w:szCs w:val="21"/>
                <w:lang w:val="en-US" w:eastAsia="zh-CN"/>
              </w:rPr>
            </w:pPr>
            <w:r>
              <w:rPr>
                <w:rFonts w:hint="default"/>
                <w:sz w:val="21"/>
                <w:szCs w:val="21"/>
                <w:lang w:val="en-US" w:eastAsia="zh-CN"/>
              </w:rPr>
              <w:t>CPU主频不低于1GHz，内存不低于1GB，FLASH不低于4GB</w:t>
            </w:r>
            <w:r>
              <w:rPr>
                <w:rFonts w:hint="eastAsia"/>
                <w:sz w:val="21"/>
                <w:szCs w:val="21"/>
                <w:lang w:val="en-US" w:eastAsia="zh-CN"/>
              </w:rPr>
              <w:t>；</w:t>
            </w:r>
          </w:p>
          <w:p>
            <w:pPr>
              <w:numPr>
                <w:ilvl w:val="0"/>
                <w:numId w:val="3"/>
              </w:numPr>
              <w:ind w:left="0" w:leftChars="0" w:firstLine="0" w:firstLineChars="0"/>
              <w:rPr>
                <w:rFonts w:hint="default"/>
                <w:sz w:val="21"/>
                <w:szCs w:val="21"/>
                <w:lang w:val="en-US" w:eastAsia="zh-CN"/>
              </w:rPr>
            </w:pPr>
            <w:r>
              <w:rPr>
                <w:rFonts w:hint="eastAsia"/>
                <w:sz w:val="21"/>
                <w:szCs w:val="21"/>
                <w:lang w:val="en-US" w:eastAsia="zh-CN"/>
              </w:rPr>
              <w:t>应</w:t>
            </w:r>
            <w:r>
              <w:rPr>
                <w:rFonts w:hint="default"/>
                <w:sz w:val="21"/>
                <w:szCs w:val="21"/>
                <w:lang w:val="en-US" w:eastAsia="zh-CN"/>
              </w:rPr>
              <w:t>能分类存储电能量、电碳量数据历史日、月以及曲线数据</w:t>
            </w:r>
            <w:r>
              <w:rPr>
                <w:rFonts w:hint="eastAsia"/>
                <w:sz w:val="21"/>
                <w:szCs w:val="21"/>
                <w:lang w:val="en-US" w:eastAsia="zh-CN"/>
              </w:rPr>
              <w:t>。</w:t>
            </w:r>
          </w:p>
        </w:tc>
        <w:tc>
          <w:tcPr>
            <w:tcW w:w="885"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3</w:t>
            </w:r>
          </w:p>
        </w:tc>
        <w:tc>
          <w:tcPr>
            <w:tcW w:w="1456" w:type="dxa"/>
            <w:tcBorders>
              <w:left w:val="single" w:color="auto" w:sz="4" w:space="0"/>
              <w:right w:val="single" w:color="auto" w:sz="4" w:space="0"/>
            </w:tcBorders>
            <w:noWrap w:val="0"/>
            <w:vAlign w:val="center"/>
          </w:tcPr>
          <w:p>
            <w:pPr>
              <w:widowControl/>
              <w:jc w:val="center"/>
              <w:rPr>
                <w:rFonts w:hint="eastAsia" w:hAnsi="宋体"/>
                <w:sz w:val="21"/>
                <w:szCs w:val="21"/>
                <w:highlight w:val="none"/>
              </w:rPr>
            </w:pPr>
            <w:r>
              <w:rPr>
                <w:rFonts w:hint="eastAsia" w:hAnsi="宋体"/>
                <w:sz w:val="21"/>
                <w:szCs w:val="21"/>
                <w:highlight w:val="none"/>
                <w:lang w:val="en-US" w:eastAsia="zh-CN"/>
              </w:rPr>
              <w:t>采集</w:t>
            </w:r>
            <w:r>
              <w:rPr>
                <w:rFonts w:hint="eastAsia" w:hAnsi="宋体"/>
                <w:sz w:val="21"/>
                <w:szCs w:val="21"/>
                <w:highlight w:val="none"/>
              </w:rPr>
              <w:t>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4"/>
              </w:numPr>
              <w:rPr>
                <w:rFonts w:hint="eastAsia"/>
                <w:sz w:val="21"/>
                <w:szCs w:val="21"/>
                <w:lang w:eastAsia="zh-CN"/>
              </w:rPr>
            </w:pPr>
            <w:r>
              <w:rPr>
                <w:rFonts w:hint="eastAsia"/>
                <w:sz w:val="21"/>
                <w:szCs w:val="21"/>
                <w:lang w:val="en-US" w:eastAsia="zh-CN"/>
              </w:rPr>
              <w:t>应能采集、存储</w:t>
            </w:r>
            <w:r>
              <w:rPr>
                <w:rFonts w:hint="default"/>
                <w:sz w:val="21"/>
                <w:szCs w:val="21"/>
                <w:lang w:val="en-US" w:eastAsia="zh-CN"/>
              </w:rPr>
              <w:t>电碳计量设备</w:t>
            </w:r>
            <w:r>
              <w:rPr>
                <w:rFonts w:hint="eastAsia"/>
                <w:sz w:val="21"/>
                <w:szCs w:val="21"/>
                <w:lang w:val="en-US" w:eastAsia="zh-CN"/>
              </w:rPr>
              <w:t>的电碳量、电能量等数据并</w:t>
            </w:r>
            <w:r>
              <w:rPr>
                <w:rFonts w:hint="eastAsia"/>
                <w:sz w:val="21"/>
                <w:szCs w:val="21"/>
                <w:lang w:eastAsia="zh-CN"/>
              </w:rPr>
              <w:t>上送至</w:t>
            </w:r>
            <w:r>
              <w:rPr>
                <w:rFonts w:hint="eastAsia"/>
                <w:sz w:val="21"/>
                <w:szCs w:val="21"/>
                <w:lang w:val="en-US" w:eastAsia="zh-CN"/>
              </w:rPr>
              <w:t>计量自动化</w:t>
            </w:r>
            <w:r>
              <w:rPr>
                <w:rFonts w:hint="eastAsia"/>
                <w:sz w:val="21"/>
                <w:szCs w:val="21"/>
                <w:lang w:eastAsia="zh-CN"/>
              </w:rPr>
              <w:t>主站；</w:t>
            </w:r>
          </w:p>
          <w:p>
            <w:pPr>
              <w:widowControl/>
              <w:numPr>
                <w:ilvl w:val="0"/>
                <w:numId w:val="4"/>
              </w:numPr>
              <w:ind w:left="0" w:leftChars="0" w:firstLine="0" w:firstLineChars="0"/>
              <w:rPr>
                <w:rFonts w:hint="eastAsia"/>
                <w:sz w:val="21"/>
                <w:szCs w:val="21"/>
                <w:lang w:eastAsia="zh-CN"/>
              </w:rPr>
            </w:pPr>
            <w:r>
              <w:rPr>
                <w:rFonts w:hint="eastAsia"/>
                <w:sz w:val="21"/>
                <w:szCs w:val="21"/>
                <w:lang w:val="en-US" w:eastAsia="zh-CN"/>
              </w:rPr>
              <w:t>应能接收计量自动化主站下发的电碳因子，并下发至</w:t>
            </w:r>
            <w:r>
              <w:rPr>
                <w:rFonts w:hint="default"/>
                <w:sz w:val="21"/>
                <w:szCs w:val="21"/>
                <w:lang w:val="en-US" w:eastAsia="zh-CN"/>
              </w:rPr>
              <w:t>电碳计量</w:t>
            </w:r>
            <w:r>
              <w:rPr>
                <w:rFonts w:hint="eastAsia"/>
                <w:sz w:val="21"/>
                <w:szCs w:val="21"/>
                <w:lang w:val="en-US" w:eastAsia="zh-CN"/>
              </w:rPr>
              <w:t>设备。</w:t>
            </w:r>
          </w:p>
        </w:tc>
        <w:tc>
          <w:tcPr>
            <w:tcW w:w="885"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eastAsia="zh-CN"/>
              </w:rPr>
            </w:pPr>
            <w:r>
              <w:rPr>
                <w:rFonts w:hint="eastAsia" w:ascii="Times New Roman"/>
                <w:sz w:val="21"/>
                <w:szCs w:val="21"/>
                <w:highlight w:val="none"/>
                <w:lang w:val="en-US" w:eastAsia="zh-CN"/>
              </w:rPr>
              <w:t>4</w:t>
            </w:r>
          </w:p>
        </w:tc>
        <w:tc>
          <w:tcPr>
            <w:tcW w:w="1456" w:type="dxa"/>
            <w:tcBorders>
              <w:left w:val="single" w:color="auto" w:sz="4" w:space="0"/>
              <w:right w:val="single" w:color="auto" w:sz="4" w:space="0"/>
            </w:tcBorders>
            <w:noWrap w:val="0"/>
            <w:vAlign w:val="center"/>
          </w:tcPr>
          <w:p>
            <w:pPr>
              <w:widowControl/>
              <w:jc w:val="center"/>
              <w:rPr>
                <w:rFonts w:hint="eastAsia" w:hAnsi="宋体"/>
                <w:sz w:val="21"/>
                <w:szCs w:val="21"/>
                <w:highlight w:val="none"/>
              </w:rPr>
            </w:pPr>
            <w:r>
              <w:rPr>
                <w:rFonts w:hint="eastAsia" w:hAnsi="宋体"/>
                <w:sz w:val="21"/>
                <w:szCs w:val="21"/>
                <w:highlight w:val="none"/>
                <w:lang w:val="en-US" w:eastAsia="zh-CN"/>
              </w:rPr>
              <w:t>通信</w:t>
            </w:r>
            <w:r>
              <w:rPr>
                <w:rFonts w:hint="eastAsia" w:hAnsi="宋体"/>
                <w:sz w:val="21"/>
                <w:szCs w:val="21"/>
                <w:highlight w:val="none"/>
              </w:rPr>
              <w:t>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numPr>
                <w:ilvl w:val="0"/>
                <w:numId w:val="5"/>
              </w:numPr>
              <w:kinsoku/>
              <w:wordWrap/>
              <w:overflowPunct/>
              <w:topLinePunct w:val="0"/>
              <w:autoSpaceDE/>
              <w:autoSpaceDN/>
              <w:bidi w:val="0"/>
              <w:adjustRightInd/>
              <w:snapToGrid/>
              <w:spacing w:line="240" w:lineRule="auto"/>
              <w:textAlignment w:val="auto"/>
              <w:rPr>
                <w:rFonts w:hint="eastAsia"/>
                <w:sz w:val="21"/>
                <w:szCs w:val="21"/>
                <w:lang w:eastAsia="zh-CN"/>
              </w:rPr>
            </w:pPr>
            <w:r>
              <w:rPr>
                <w:rFonts w:hint="eastAsia"/>
                <w:sz w:val="21"/>
                <w:szCs w:val="21"/>
                <w:lang w:val="en-US" w:eastAsia="zh-CN"/>
              </w:rPr>
              <w:t>具备</w:t>
            </w:r>
            <w:r>
              <w:rPr>
                <w:rFonts w:hint="eastAsia"/>
                <w:sz w:val="21"/>
                <w:szCs w:val="21"/>
              </w:rPr>
              <w:t>2G/3G/4G全网通</w:t>
            </w:r>
            <w:r>
              <w:rPr>
                <w:rFonts w:hint="eastAsia"/>
                <w:sz w:val="21"/>
                <w:szCs w:val="21"/>
                <w:lang w:val="en-US" w:eastAsia="zh-CN"/>
              </w:rPr>
              <w:t>功能</w:t>
            </w:r>
            <w:r>
              <w:rPr>
                <w:rFonts w:hint="eastAsia"/>
                <w:sz w:val="21"/>
                <w:szCs w:val="21"/>
                <w:lang w:eastAsia="zh-CN"/>
              </w:rPr>
              <w:t>，应配备</w:t>
            </w:r>
            <w:r>
              <w:rPr>
                <w:rFonts w:hint="eastAsia"/>
                <w:sz w:val="21"/>
                <w:szCs w:val="21"/>
                <w:lang w:val="en-US" w:eastAsia="zh-CN"/>
              </w:rPr>
              <w:t>不少于</w:t>
            </w:r>
            <w:r>
              <w:rPr>
                <w:rFonts w:hint="eastAsia"/>
                <w:sz w:val="21"/>
                <w:szCs w:val="21"/>
                <w:lang w:eastAsia="zh-CN"/>
              </w:rPr>
              <w:t>2个RJ-45接口，传输速率选用10/100Mbit/s全双工；</w:t>
            </w:r>
          </w:p>
          <w:p>
            <w:pPr>
              <w:pStyle w:val="2"/>
              <w:keepNext w:val="0"/>
              <w:keepLines w:val="0"/>
              <w:pageBreakBefore w:val="0"/>
              <w:numPr>
                <w:ilvl w:val="0"/>
                <w:numId w:val="5"/>
              </w:numPr>
              <w:kinsoku/>
              <w:wordWrap/>
              <w:overflowPunct/>
              <w:topLinePunct w:val="0"/>
              <w:autoSpaceDE/>
              <w:autoSpaceDN/>
              <w:bidi w:val="0"/>
              <w:adjustRightInd/>
              <w:snapToGrid/>
              <w:spacing w:line="240" w:lineRule="auto"/>
              <w:ind w:left="0" w:leftChars="0" w:firstLine="0" w:firstLineChars="0"/>
              <w:textAlignment w:val="auto"/>
              <w:rPr>
                <w:rFonts w:hint="eastAsia"/>
                <w:sz w:val="21"/>
                <w:szCs w:val="21"/>
                <w:lang w:val="en-US" w:eastAsia="zh-CN"/>
              </w:rPr>
            </w:pPr>
            <w:r>
              <w:rPr>
                <w:rFonts w:hint="eastAsia"/>
                <w:sz w:val="21"/>
                <w:szCs w:val="21"/>
                <w:lang w:val="en-US" w:eastAsia="zh-CN"/>
              </w:rPr>
              <w:t>应能</w:t>
            </w:r>
            <w:r>
              <w:rPr>
                <w:rFonts w:hint="default"/>
                <w:sz w:val="21"/>
                <w:szCs w:val="21"/>
                <w:lang w:val="en-US" w:eastAsia="zh-CN"/>
              </w:rPr>
              <w:t>与电碳计量设备通信，可通过RS485接口、本地通信模块按设定的抄表间隔抄收和存储电碳计量设备数据</w:t>
            </w:r>
            <w:r>
              <w:rPr>
                <w:rFonts w:hint="eastAsia"/>
                <w:sz w:val="21"/>
                <w:szCs w:val="21"/>
                <w:lang w:val="en-US" w:eastAsia="zh-CN"/>
              </w:rPr>
              <w:t>；</w:t>
            </w:r>
          </w:p>
          <w:p>
            <w:pPr>
              <w:numPr>
                <w:ilvl w:val="0"/>
                <w:numId w:val="5"/>
              </w:numPr>
              <w:ind w:left="0" w:leftChars="0" w:firstLine="0" w:firstLineChars="0"/>
              <w:rPr>
                <w:rFonts w:hint="default"/>
                <w:sz w:val="21"/>
                <w:szCs w:val="21"/>
                <w:lang w:val="en-US" w:eastAsia="zh-CN"/>
              </w:rPr>
            </w:pPr>
            <w:r>
              <w:rPr>
                <w:rFonts w:hint="eastAsia"/>
                <w:sz w:val="21"/>
                <w:szCs w:val="21"/>
                <w:lang w:val="en-US" w:eastAsia="zh-CN"/>
              </w:rPr>
              <w:t>与计量自动化主站通信协议</w:t>
            </w:r>
            <w:r>
              <w:rPr>
                <w:rFonts w:hint="eastAsia"/>
                <w:sz w:val="21"/>
                <w:szCs w:val="21"/>
                <w:highlight w:val="none"/>
                <w:lang w:val="en-US" w:eastAsia="zh-CN"/>
              </w:rPr>
              <w:t>应支持《</w:t>
            </w:r>
            <w:r>
              <w:rPr>
                <w:rFonts w:hint="eastAsia"/>
                <w:sz w:val="21"/>
                <w:szCs w:val="21"/>
                <w:highlight w:val="none"/>
                <w:lang w:eastAsia="zh-CN"/>
              </w:rPr>
              <w:t>中国南方电网有限责任公司</w:t>
            </w:r>
            <w:r>
              <w:rPr>
                <w:rFonts w:hint="eastAsia"/>
                <w:sz w:val="21"/>
                <w:szCs w:val="21"/>
                <w:highlight w:val="none"/>
                <w:lang w:val="en-US" w:eastAsia="zh-CN"/>
              </w:rPr>
              <w:t>计量自动化终端技术规范第5部分：上行通信规约》；</w:t>
            </w:r>
          </w:p>
          <w:p>
            <w:pPr>
              <w:numPr>
                <w:ilvl w:val="0"/>
                <w:numId w:val="5"/>
              </w:numPr>
              <w:ind w:left="0" w:leftChars="0" w:firstLine="0" w:firstLineChars="0"/>
              <w:rPr>
                <w:rFonts w:hint="default"/>
                <w:sz w:val="21"/>
                <w:szCs w:val="21"/>
                <w:lang w:val="en-US" w:eastAsia="zh-CN"/>
              </w:rPr>
            </w:pPr>
            <w:r>
              <w:rPr>
                <w:rFonts w:hint="eastAsia"/>
                <w:sz w:val="21"/>
                <w:szCs w:val="21"/>
                <w:highlight w:val="none"/>
                <w:lang w:val="en-US" w:eastAsia="zh-CN"/>
              </w:rPr>
              <w:t>具</w:t>
            </w:r>
            <w:r>
              <w:rPr>
                <w:rFonts w:hint="eastAsia"/>
                <w:sz w:val="21"/>
                <w:szCs w:val="21"/>
                <w:lang w:val="en-US" w:eastAsia="zh-CN"/>
              </w:rPr>
              <w:t>备网管功能，协议应符合《Q/CSG 1204038-2018 南方电网无线蜂窝通信接入设备技术规范》的规定。</w:t>
            </w:r>
          </w:p>
        </w:tc>
        <w:tc>
          <w:tcPr>
            <w:tcW w:w="885"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5</w:t>
            </w:r>
          </w:p>
        </w:tc>
        <w:tc>
          <w:tcPr>
            <w:tcW w:w="1456"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显示模块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6"/>
              </w:numPr>
              <w:rPr>
                <w:rFonts w:hint="default" w:hAnsi="宋体"/>
                <w:sz w:val="21"/>
                <w:szCs w:val="21"/>
                <w:highlight w:val="none"/>
                <w:lang w:val="en-US" w:eastAsia="zh-CN"/>
              </w:rPr>
            </w:pPr>
            <w:r>
              <w:rPr>
                <w:rFonts w:hint="default" w:hAnsi="宋体"/>
                <w:sz w:val="21"/>
                <w:szCs w:val="21"/>
                <w:highlight w:val="none"/>
                <w:lang w:val="en-US" w:eastAsia="zh-CN"/>
              </w:rPr>
              <w:t>可显示数据查询、电能质量监测、参数设置与查询、终端管理与维护、系统运行参数等内容</w:t>
            </w:r>
            <w:r>
              <w:rPr>
                <w:rFonts w:hint="eastAsia" w:hAnsi="宋体"/>
                <w:sz w:val="21"/>
                <w:szCs w:val="21"/>
                <w:highlight w:val="none"/>
                <w:lang w:val="en-US" w:eastAsia="zh-CN"/>
              </w:rPr>
              <w:t>；</w:t>
            </w:r>
          </w:p>
          <w:p>
            <w:pPr>
              <w:widowControl/>
              <w:numPr>
                <w:ilvl w:val="0"/>
                <w:numId w:val="6"/>
              </w:numPr>
              <w:rPr>
                <w:rFonts w:hint="default"/>
                <w:sz w:val="21"/>
                <w:szCs w:val="21"/>
                <w:lang w:val="en-US" w:eastAsia="zh-CN"/>
              </w:rPr>
            </w:pPr>
            <w:r>
              <w:rPr>
                <w:rFonts w:hint="default" w:hAnsi="宋体"/>
                <w:sz w:val="21"/>
                <w:szCs w:val="21"/>
                <w:highlight w:val="none"/>
                <w:lang w:val="en-US" w:eastAsia="zh-CN"/>
              </w:rPr>
              <w:t>可通过按键操作切换显示各类数据与参数。</w:t>
            </w:r>
          </w:p>
        </w:tc>
        <w:tc>
          <w:tcPr>
            <w:tcW w:w="885" w:type="dxa"/>
            <w:tcBorders>
              <w:left w:val="single" w:color="auto" w:sz="4" w:space="0"/>
              <w:right w:val="single" w:color="auto" w:sz="4" w:space="0"/>
            </w:tcBorders>
            <w:noWrap w:val="0"/>
            <w:vAlign w:val="center"/>
          </w:tcPr>
          <w:p>
            <w:pPr>
              <w:widowControl/>
              <w:jc w:val="center"/>
              <w:rPr>
                <w:rFonts w:hint="eastAsia" w:hAnsi="宋体"/>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6</w:t>
            </w:r>
          </w:p>
        </w:tc>
        <w:tc>
          <w:tcPr>
            <w:tcW w:w="1456"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时钟模块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7"/>
              </w:numPr>
              <w:rPr>
                <w:rFonts w:hint="eastAsia" w:hAnsi="宋体"/>
                <w:sz w:val="21"/>
                <w:szCs w:val="21"/>
                <w:highlight w:val="none"/>
              </w:rPr>
            </w:pPr>
            <w:r>
              <w:rPr>
                <w:rFonts w:hint="eastAsia" w:hAnsi="宋体"/>
                <w:sz w:val="21"/>
                <w:szCs w:val="21"/>
                <w:highlight w:val="none"/>
              </w:rPr>
              <w:t>支持多种时钟同步方式，支持通过通信基站、北斗、GPS、计量</w:t>
            </w:r>
            <w:r>
              <w:rPr>
                <w:rFonts w:hint="eastAsia" w:hAnsi="宋体"/>
                <w:sz w:val="21"/>
                <w:szCs w:val="21"/>
                <w:highlight w:val="none"/>
                <w:lang w:val="en-US" w:eastAsia="zh-CN"/>
              </w:rPr>
              <w:t>自动化</w:t>
            </w:r>
            <w:r>
              <w:rPr>
                <w:rFonts w:hint="eastAsia" w:hAnsi="宋体"/>
                <w:sz w:val="21"/>
                <w:szCs w:val="21"/>
                <w:highlight w:val="none"/>
              </w:rPr>
              <w:t>主站对时，根据现场需求选择对时方式；</w:t>
            </w:r>
          </w:p>
          <w:p>
            <w:pPr>
              <w:widowControl/>
              <w:numPr>
                <w:ilvl w:val="0"/>
                <w:numId w:val="7"/>
              </w:numPr>
              <w:ind w:left="0" w:leftChars="0" w:firstLine="0" w:firstLineChars="0"/>
              <w:rPr>
                <w:rFonts w:hint="eastAsia" w:hAnsi="宋体"/>
                <w:sz w:val="21"/>
                <w:szCs w:val="21"/>
                <w:highlight w:val="none"/>
              </w:rPr>
            </w:pPr>
            <w:r>
              <w:rPr>
                <w:rFonts w:hint="eastAsia" w:hAnsi="宋体"/>
                <w:sz w:val="21"/>
                <w:szCs w:val="21"/>
                <w:highlight w:val="none"/>
              </w:rPr>
              <w:t>与GPS、北斗对时误差绝对值≤1s，与计量</w:t>
            </w:r>
            <w:r>
              <w:rPr>
                <w:rFonts w:hint="eastAsia" w:hAnsi="宋体"/>
                <w:sz w:val="21"/>
                <w:szCs w:val="21"/>
                <w:highlight w:val="none"/>
                <w:lang w:val="en-US" w:eastAsia="zh-CN"/>
              </w:rPr>
              <w:t>自动化</w:t>
            </w:r>
            <w:r>
              <w:rPr>
                <w:rFonts w:hint="eastAsia" w:hAnsi="宋体"/>
                <w:sz w:val="21"/>
                <w:szCs w:val="21"/>
                <w:highlight w:val="none"/>
              </w:rPr>
              <w:t>主站对时，光纤通道对时误差绝对值≤1s，无线通信方式对时误差绝对值≤5s；</w:t>
            </w:r>
          </w:p>
          <w:p>
            <w:pPr>
              <w:widowControl/>
              <w:numPr>
                <w:ilvl w:val="0"/>
                <w:numId w:val="7"/>
              </w:numPr>
              <w:ind w:left="0" w:leftChars="0" w:firstLine="0" w:firstLineChars="0"/>
              <w:rPr>
                <w:rFonts w:hint="eastAsia" w:hAnsi="宋体"/>
                <w:sz w:val="21"/>
                <w:szCs w:val="21"/>
                <w:highlight w:val="none"/>
              </w:rPr>
            </w:pPr>
            <w:bookmarkStart w:id="0" w:name="_GoBack"/>
            <w:bookmarkEnd w:id="0"/>
            <w:r>
              <w:rPr>
                <w:rFonts w:hint="eastAsia" w:hAnsi="宋体"/>
                <w:sz w:val="21"/>
                <w:szCs w:val="21"/>
                <w:highlight w:val="none"/>
              </w:rPr>
              <w:t>守时精度误差应满足0.5s/d。</w:t>
            </w:r>
          </w:p>
        </w:tc>
        <w:tc>
          <w:tcPr>
            <w:tcW w:w="885" w:type="dxa"/>
            <w:tcBorders>
              <w:left w:val="single" w:color="auto" w:sz="4" w:space="0"/>
              <w:right w:val="single" w:color="auto" w:sz="4" w:space="0"/>
            </w:tcBorders>
            <w:noWrap w:val="0"/>
            <w:vAlign w:val="center"/>
          </w:tcPr>
          <w:p>
            <w:pPr>
              <w:widowControl/>
              <w:jc w:val="center"/>
              <w:rPr>
                <w:rFonts w:hint="eastAsia" w:hAnsi="宋体"/>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7</w:t>
            </w:r>
          </w:p>
        </w:tc>
        <w:tc>
          <w:tcPr>
            <w:tcW w:w="1456" w:type="dxa"/>
            <w:tcBorders>
              <w:left w:val="single" w:color="auto" w:sz="4" w:space="0"/>
              <w:right w:val="single" w:color="auto" w:sz="4" w:space="0"/>
            </w:tcBorders>
            <w:noWrap w:val="0"/>
            <w:vAlign w:val="center"/>
          </w:tcPr>
          <w:p>
            <w:pPr>
              <w:widowControl/>
              <w:jc w:val="center"/>
              <w:rPr>
                <w:rFonts w:hint="default" w:hAnsi="宋体"/>
                <w:sz w:val="21"/>
                <w:szCs w:val="21"/>
                <w:highlight w:val="none"/>
                <w:lang w:val="en-US" w:eastAsia="zh-CN"/>
              </w:rPr>
            </w:pPr>
            <w:r>
              <w:rPr>
                <w:rFonts w:hint="eastAsia" w:hAnsi="宋体"/>
                <w:sz w:val="21"/>
                <w:szCs w:val="21"/>
                <w:highlight w:val="none"/>
                <w:lang w:val="en-US" w:eastAsia="zh-CN"/>
              </w:rPr>
              <w:t>电源模块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8"/>
              </w:numPr>
              <w:rPr>
                <w:rFonts w:hint="eastAsia" w:hAnsi="宋体"/>
                <w:sz w:val="21"/>
                <w:szCs w:val="21"/>
                <w:highlight w:val="none"/>
              </w:rPr>
            </w:pPr>
            <w:r>
              <w:rPr>
                <w:rFonts w:hint="eastAsia" w:hAnsi="宋体"/>
                <w:sz w:val="21"/>
                <w:szCs w:val="21"/>
                <w:highlight w:val="none"/>
              </w:rPr>
              <w:t>采用三相四线或三相三线供电</w:t>
            </w:r>
            <w:r>
              <w:rPr>
                <w:rFonts w:hint="eastAsia" w:hAnsi="宋体"/>
                <w:sz w:val="21"/>
                <w:szCs w:val="21"/>
                <w:highlight w:val="none"/>
                <w:lang w:eastAsia="zh-CN"/>
              </w:rPr>
              <w:t>，</w:t>
            </w:r>
            <w:r>
              <w:rPr>
                <w:rFonts w:hint="eastAsia" w:hAnsi="宋体"/>
                <w:sz w:val="21"/>
                <w:szCs w:val="21"/>
                <w:highlight w:val="none"/>
              </w:rPr>
              <w:t>三相四线供电时，在断一线或两线电压的情况下可正常工作</w:t>
            </w:r>
            <w:r>
              <w:rPr>
                <w:rFonts w:hint="eastAsia" w:hAnsi="宋体"/>
                <w:sz w:val="21"/>
                <w:szCs w:val="21"/>
                <w:highlight w:val="none"/>
                <w:lang w:eastAsia="zh-CN"/>
              </w:rPr>
              <w:t>，</w:t>
            </w:r>
            <w:r>
              <w:rPr>
                <w:rFonts w:hint="eastAsia" w:hAnsi="宋体"/>
                <w:sz w:val="21"/>
                <w:szCs w:val="21"/>
                <w:highlight w:val="none"/>
              </w:rPr>
              <w:t>三相三线供电时，在断一线电压的情况下，可正常工作</w:t>
            </w:r>
            <w:r>
              <w:rPr>
                <w:rFonts w:hint="eastAsia" w:hAnsi="宋体"/>
                <w:sz w:val="21"/>
                <w:szCs w:val="21"/>
                <w:highlight w:val="none"/>
                <w:lang w:eastAsia="zh-CN"/>
              </w:rPr>
              <w:t>；</w:t>
            </w:r>
          </w:p>
          <w:p>
            <w:pPr>
              <w:widowControl/>
              <w:numPr>
                <w:ilvl w:val="0"/>
                <w:numId w:val="8"/>
              </w:numPr>
              <w:rPr>
                <w:rFonts w:hint="eastAsia" w:hAnsi="宋体"/>
                <w:sz w:val="21"/>
                <w:szCs w:val="21"/>
                <w:highlight w:val="none"/>
              </w:rPr>
            </w:pPr>
            <w:r>
              <w:rPr>
                <w:rFonts w:hint="eastAsia" w:hAnsi="宋体"/>
                <w:sz w:val="21"/>
                <w:szCs w:val="21"/>
                <w:highlight w:val="none"/>
                <w:lang w:val="en-US" w:eastAsia="zh-CN"/>
              </w:rPr>
              <w:t>具备</w:t>
            </w:r>
            <w:r>
              <w:rPr>
                <w:rFonts w:hint="eastAsia" w:hAnsi="宋体"/>
                <w:sz w:val="21"/>
                <w:szCs w:val="21"/>
                <w:highlight w:val="none"/>
              </w:rPr>
              <w:t>辅助电源，辅助电源供电电压为85V～265V，交直流自适应</w:t>
            </w:r>
            <w:r>
              <w:rPr>
                <w:rFonts w:hint="eastAsia" w:hAnsi="宋体"/>
                <w:sz w:val="21"/>
                <w:szCs w:val="21"/>
                <w:highlight w:val="none"/>
                <w:lang w:eastAsia="zh-CN"/>
              </w:rPr>
              <w:t>；</w:t>
            </w:r>
          </w:p>
          <w:p>
            <w:pPr>
              <w:widowControl/>
              <w:numPr>
                <w:ilvl w:val="0"/>
                <w:numId w:val="8"/>
              </w:numPr>
              <w:rPr>
                <w:rFonts w:hint="eastAsia" w:hAnsi="宋体"/>
                <w:sz w:val="21"/>
                <w:szCs w:val="21"/>
                <w:highlight w:val="none"/>
              </w:rPr>
            </w:pPr>
            <w:r>
              <w:rPr>
                <w:rFonts w:hint="eastAsia" w:hAnsi="宋体"/>
                <w:sz w:val="21"/>
                <w:szCs w:val="21"/>
                <w:highlight w:val="none"/>
              </w:rPr>
              <w:t>主、辅电源相互独立，互不影响，自动切换时终端应能正常工作。</w:t>
            </w:r>
          </w:p>
        </w:tc>
        <w:tc>
          <w:tcPr>
            <w:tcW w:w="885" w:type="dxa"/>
            <w:tcBorders>
              <w:left w:val="single" w:color="auto" w:sz="4" w:space="0"/>
              <w:right w:val="single" w:color="auto" w:sz="4" w:space="0"/>
            </w:tcBorders>
            <w:noWrap w:val="0"/>
            <w:vAlign w:val="center"/>
          </w:tcPr>
          <w:p>
            <w:pPr>
              <w:widowControl/>
              <w:jc w:val="center"/>
              <w:rPr>
                <w:rFonts w:hint="eastAsia" w:hAnsi="宋体"/>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8</w:t>
            </w:r>
          </w:p>
        </w:tc>
        <w:tc>
          <w:tcPr>
            <w:tcW w:w="1456" w:type="dxa"/>
            <w:tcBorders>
              <w:left w:val="single" w:color="auto" w:sz="4" w:space="0"/>
              <w:right w:val="single" w:color="auto" w:sz="4" w:space="0"/>
            </w:tcBorders>
            <w:noWrap w:val="0"/>
            <w:vAlign w:val="center"/>
          </w:tcPr>
          <w:p>
            <w:pPr>
              <w:widowControl/>
              <w:jc w:val="center"/>
              <w:rPr>
                <w:rFonts w:hint="default" w:hAnsi="宋体"/>
                <w:sz w:val="21"/>
                <w:szCs w:val="21"/>
                <w:highlight w:val="none"/>
                <w:lang w:val="en-US" w:eastAsia="zh-CN"/>
              </w:rPr>
            </w:pPr>
            <w:r>
              <w:rPr>
                <w:rFonts w:hint="eastAsia" w:hAnsi="宋体"/>
                <w:sz w:val="21"/>
                <w:szCs w:val="21"/>
                <w:highlight w:val="none"/>
                <w:lang w:val="en-US" w:eastAsia="zh-CN"/>
              </w:rPr>
              <w:t>安全模块</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9"/>
              </w:numPr>
              <w:rPr>
                <w:rFonts w:hint="eastAsia"/>
              </w:rPr>
            </w:pPr>
            <w:r>
              <w:rPr>
                <w:rFonts w:hint="eastAsia"/>
                <w:lang w:val="en-US" w:eastAsia="zh-CN"/>
              </w:rPr>
              <w:t>具备</w:t>
            </w:r>
            <w:r>
              <w:rPr>
                <w:rFonts w:hint="eastAsia"/>
              </w:rPr>
              <w:t>硬件可信安全模组</w:t>
            </w:r>
            <w:r>
              <w:rPr>
                <w:rFonts w:hint="eastAsia"/>
                <w:lang w:eastAsia="zh-CN"/>
              </w:rPr>
              <w:t>，</w:t>
            </w:r>
            <w:r>
              <w:rPr>
                <w:rFonts w:hint="eastAsia"/>
              </w:rPr>
              <w:t>执行数据采集、参数设置、远程控制和主动上报等操作时，应通过硬件可信安全模组进行安全认证、数据加解密处理，以确保数据传输的安全性和完整性</w:t>
            </w:r>
            <w:r>
              <w:rPr>
                <w:rFonts w:hint="eastAsia"/>
                <w:lang w:eastAsia="zh-CN"/>
              </w:rPr>
              <w:t>；</w:t>
            </w:r>
          </w:p>
          <w:p>
            <w:pPr>
              <w:widowControl/>
              <w:numPr>
                <w:ilvl w:val="0"/>
                <w:numId w:val="9"/>
              </w:numPr>
              <w:ind w:left="0" w:leftChars="0" w:firstLine="0" w:firstLineChars="0"/>
              <w:rPr>
                <w:rFonts w:hint="eastAsia"/>
              </w:rPr>
            </w:pPr>
            <w:r>
              <w:rPr>
                <w:rFonts w:hint="eastAsia"/>
              </w:rPr>
              <w:t>支持端口禁用、服务禁用、版本升级等功能，应鉴别软件更新包的来源，并对更新文件进行完整性校验</w:t>
            </w:r>
            <w:r>
              <w:rPr>
                <w:rFonts w:hint="eastAsia"/>
                <w:lang w:eastAsia="zh-CN"/>
              </w:rPr>
              <w:t>；</w:t>
            </w:r>
          </w:p>
          <w:p>
            <w:pPr>
              <w:widowControl/>
              <w:numPr>
                <w:ilvl w:val="0"/>
                <w:numId w:val="9"/>
              </w:numPr>
              <w:ind w:left="0" w:leftChars="0" w:firstLine="0" w:firstLineChars="0"/>
              <w:rPr>
                <w:rFonts w:hint="eastAsia"/>
              </w:rPr>
            </w:pPr>
            <w:r>
              <w:rPr>
                <w:rFonts w:hint="eastAsia"/>
                <w:lang w:val="en-US" w:eastAsia="zh-CN"/>
              </w:rPr>
              <w:t>具备</w:t>
            </w:r>
            <w:r>
              <w:rPr>
                <w:rFonts w:hint="eastAsia"/>
              </w:rPr>
              <w:t>备份和恢复</w:t>
            </w:r>
            <w:r>
              <w:rPr>
                <w:rFonts w:hint="eastAsia"/>
                <w:lang w:val="en-US" w:eastAsia="zh-CN"/>
              </w:rPr>
              <w:t>功能</w:t>
            </w:r>
            <w:r>
              <w:rPr>
                <w:rFonts w:hint="eastAsia"/>
              </w:rPr>
              <w:t>，防止更新异常导致系统失效</w:t>
            </w:r>
            <w:r>
              <w:rPr>
                <w:rFonts w:hint="eastAsia"/>
                <w:lang w:eastAsia="zh-CN"/>
              </w:rPr>
              <w:t>；</w:t>
            </w:r>
          </w:p>
          <w:p>
            <w:pPr>
              <w:widowControl/>
              <w:numPr>
                <w:ilvl w:val="0"/>
                <w:numId w:val="9"/>
              </w:numPr>
              <w:ind w:left="0" w:leftChars="0" w:firstLine="0" w:firstLineChars="0"/>
              <w:rPr>
                <w:rFonts w:hint="eastAsia"/>
              </w:rPr>
            </w:pPr>
            <w:r>
              <w:rPr>
                <w:rFonts w:hint="eastAsia"/>
                <w:lang w:val="en-US" w:eastAsia="zh-CN"/>
              </w:rPr>
              <w:t>具备</w:t>
            </w:r>
            <w:r>
              <w:rPr>
                <w:rFonts w:hint="eastAsia"/>
              </w:rPr>
              <w:t>软硬件资源管控功能，防止资源被非法或越权使用。</w:t>
            </w:r>
          </w:p>
        </w:tc>
        <w:tc>
          <w:tcPr>
            <w:tcW w:w="885" w:type="dxa"/>
            <w:tcBorders>
              <w:left w:val="single" w:color="auto" w:sz="4" w:space="0"/>
              <w:right w:val="single" w:color="auto" w:sz="4" w:space="0"/>
            </w:tcBorders>
            <w:noWrap w:val="0"/>
            <w:vAlign w:val="center"/>
          </w:tcPr>
          <w:p>
            <w:pPr>
              <w:widowControl/>
              <w:jc w:val="center"/>
              <w:rPr>
                <w:rFonts w:hint="eastAsia" w:hAnsi="宋体"/>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color w:val="000000"/>
                <w:sz w:val="21"/>
                <w:szCs w:val="21"/>
                <w:highlight w:val="none"/>
              </w:rPr>
            </w:pPr>
            <w:r>
              <w:rPr>
                <w:rFonts w:hint="eastAsia" w:hAnsi="宋体"/>
                <w:color w:val="000000"/>
                <w:sz w:val="21"/>
                <w:szCs w:val="21"/>
                <w:highlight w:val="none"/>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724" w:type="dxa"/>
            <w:tcBorders>
              <w:left w:val="single" w:color="auto" w:sz="4" w:space="0"/>
              <w:right w:val="single" w:color="auto" w:sz="4" w:space="0"/>
            </w:tcBorders>
            <w:noWrap w:val="0"/>
            <w:vAlign w:val="center"/>
          </w:tcPr>
          <w:p>
            <w:pPr>
              <w:widowControl/>
              <w:jc w:val="center"/>
              <w:rPr>
                <w:rFonts w:hint="eastAsia" w:hAnsi="宋体" w:eastAsiaTheme="minorEastAsia"/>
                <w:sz w:val="21"/>
                <w:szCs w:val="21"/>
                <w:highlight w:val="none"/>
                <w:lang w:val="en-US" w:eastAsia="zh-CN"/>
              </w:rPr>
            </w:pPr>
            <w:r>
              <w:rPr>
                <w:rFonts w:hint="eastAsia" w:hAnsi="宋体"/>
                <w:sz w:val="21"/>
                <w:szCs w:val="21"/>
                <w:highlight w:val="none"/>
                <w:lang w:val="en-US" w:eastAsia="zh-CN"/>
              </w:rPr>
              <w:t>9</w:t>
            </w:r>
          </w:p>
        </w:tc>
        <w:tc>
          <w:tcPr>
            <w:tcW w:w="1456" w:type="dxa"/>
            <w:tcBorders>
              <w:left w:val="single" w:color="auto" w:sz="4" w:space="0"/>
              <w:right w:val="single" w:color="auto" w:sz="4" w:space="0"/>
            </w:tcBorders>
            <w:noWrap w:val="0"/>
            <w:vAlign w:val="center"/>
          </w:tcPr>
          <w:p>
            <w:pPr>
              <w:widowControl/>
              <w:jc w:val="center"/>
              <w:rPr>
                <w:rFonts w:hint="default" w:hAnsi="宋体" w:eastAsiaTheme="minorEastAsia"/>
                <w:sz w:val="21"/>
                <w:szCs w:val="21"/>
                <w:highlight w:val="none"/>
                <w:lang w:val="en-US" w:eastAsia="zh-CN"/>
              </w:rPr>
            </w:pPr>
            <w:r>
              <w:rPr>
                <w:rFonts w:hint="eastAsia" w:hAnsi="宋体"/>
                <w:sz w:val="21"/>
                <w:szCs w:val="21"/>
                <w:highlight w:val="none"/>
                <w:lang w:val="en-US" w:eastAsia="zh-CN"/>
              </w:rPr>
              <w:t>其他材料</w:t>
            </w:r>
          </w:p>
        </w:tc>
        <w:tc>
          <w:tcPr>
            <w:tcW w:w="4440" w:type="dxa"/>
            <w:tcBorders>
              <w:top w:val="single" w:color="auto" w:sz="4" w:space="0"/>
              <w:left w:val="single" w:color="auto" w:sz="4" w:space="0"/>
              <w:bottom w:val="single" w:color="auto" w:sz="4" w:space="0"/>
              <w:right w:val="single" w:color="auto" w:sz="4" w:space="0"/>
            </w:tcBorders>
            <w:noWrap w:val="0"/>
            <w:vAlign w:val="top"/>
          </w:tcPr>
          <w:p>
            <w:pPr>
              <w:widowControl/>
              <w:numPr>
                <w:ilvl w:val="0"/>
                <w:numId w:val="10"/>
              </w:numPr>
              <w:rPr>
                <w:rFonts w:hint="eastAsia"/>
                <w:highlight w:val="none"/>
                <w:lang w:val="en-US" w:eastAsia="zh-CN"/>
              </w:rPr>
            </w:pPr>
            <w:r>
              <w:rPr>
                <w:rFonts w:hint="eastAsia"/>
                <w:highlight w:val="none"/>
                <w:lang w:val="en-US" w:eastAsia="zh-CN"/>
              </w:rPr>
              <w:t>外壳：强度应符合《</w:t>
            </w:r>
            <w:r>
              <w:rPr>
                <w:rFonts w:hint="default"/>
                <w:highlight w:val="none"/>
                <w:lang w:val="en-US" w:eastAsia="zh-CN"/>
              </w:rPr>
              <w:t>IEC 60068-2-75-2014 环境试验.第2</w:t>
            </w:r>
            <w:r>
              <w:rPr>
                <w:rFonts w:hint="eastAsia"/>
                <w:highlight w:val="none"/>
                <w:lang w:val="en-US" w:eastAsia="zh-CN"/>
              </w:rPr>
              <w:t>-75</w:t>
            </w:r>
            <w:r>
              <w:rPr>
                <w:rFonts w:hint="default"/>
                <w:highlight w:val="none"/>
                <w:lang w:val="en-US" w:eastAsia="zh-CN"/>
              </w:rPr>
              <w:t>部分:试验.试验Eh:锤击试验</w:t>
            </w:r>
            <w:r>
              <w:rPr>
                <w:rFonts w:hint="eastAsia"/>
                <w:highlight w:val="none"/>
                <w:lang w:val="en-US" w:eastAsia="zh-CN"/>
              </w:rPr>
              <w:t>》；</w:t>
            </w:r>
          </w:p>
          <w:p>
            <w:pPr>
              <w:widowControl/>
              <w:numPr>
                <w:ilvl w:val="0"/>
                <w:numId w:val="10"/>
              </w:numPr>
              <w:ind w:left="0" w:leftChars="0" w:firstLine="0" w:firstLineChars="0"/>
              <w:rPr>
                <w:rFonts w:hint="default"/>
                <w:highlight w:val="none"/>
                <w:lang w:val="en-US"/>
              </w:rPr>
            </w:pPr>
            <w:r>
              <w:rPr>
                <w:rFonts w:hint="eastAsia"/>
                <w:highlight w:val="none"/>
                <w:lang w:val="en-US" w:eastAsia="zh-CN"/>
              </w:rPr>
              <w:t>端子、底座：接线端子及其绝缘部件可以组成端子排，强电端子和弱电端子分开排列，具备有效的绝缘隔离。</w:t>
            </w:r>
          </w:p>
        </w:tc>
        <w:tc>
          <w:tcPr>
            <w:tcW w:w="885" w:type="dxa"/>
            <w:tcBorders>
              <w:left w:val="single" w:color="auto" w:sz="4" w:space="0"/>
              <w:right w:val="single" w:color="auto" w:sz="4" w:space="0"/>
            </w:tcBorders>
            <w:noWrap w:val="0"/>
            <w:vAlign w:val="center"/>
          </w:tcPr>
          <w:p>
            <w:pPr>
              <w:widowControl/>
              <w:jc w:val="center"/>
              <w:rPr>
                <w:rFonts w:hint="default" w:hAnsi="宋体"/>
                <w:sz w:val="21"/>
                <w:szCs w:val="21"/>
                <w:highlight w:val="none"/>
                <w:lang w:val="en-US" w:eastAsia="zh-CN"/>
              </w:rPr>
            </w:pPr>
            <w:r>
              <w:rPr>
                <w:rFonts w:hint="eastAsia" w:hAnsi="宋体"/>
                <w:sz w:val="21"/>
                <w:szCs w:val="21"/>
                <w:highlight w:val="none"/>
                <w:lang w:val="en-US" w:eastAsia="zh-CN"/>
              </w:rPr>
              <w:t>12</w:t>
            </w:r>
          </w:p>
        </w:tc>
        <w:tc>
          <w:tcPr>
            <w:tcW w:w="780" w:type="dxa"/>
            <w:tcBorders>
              <w:left w:val="single" w:color="auto" w:sz="4" w:space="0"/>
              <w:right w:val="single" w:color="auto" w:sz="4" w:space="0"/>
            </w:tcBorders>
            <w:noWrap w:val="0"/>
            <w:vAlign w:val="center"/>
          </w:tcPr>
          <w:p>
            <w:pPr>
              <w:widowControl/>
              <w:jc w:val="center"/>
              <w:rPr>
                <w:rFonts w:hint="eastAsia" w:hAnsi="宋体" w:eastAsiaTheme="minorEastAsia"/>
                <w:color w:val="000000"/>
                <w:sz w:val="21"/>
                <w:szCs w:val="21"/>
                <w:highlight w:val="none"/>
                <w:lang w:val="en-US" w:eastAsia="zh-CN"/>
              </w:rPr>
            </w:pPr>
            <w:r>
              <w:rPr>
                <w:rFonts w:hint="eastAsia" w:hAnsi="宋体"/>
                <w:color w:val="000000"/>
                <w:sz w:val="21"/>
                <w:szCs w:val="21"/>
                <w:highlight w:val="none"/>
                <w:lang w:val="en-US" w:eastAsia="zh-CN"/>
              </w:rPr>
              <w:t>套</w:t>
            </w:r>
          </w:p>
        </w:tc>
      </w:tr>
    </w:tbl>
    <w:p>
      <w:pPr>
        <w:pStyle w:val="2"/>
        <w:ind w:left="0" w:leftChars="0" w:firstLine="0" w:firstLineChars="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二、资格条件</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7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pct"/>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序号</w:t>
            </w:r>
          </w:p>
        </w:tc>
        <w:tc>
          <w:tcPr>
            <w:tcW w:w="4142" w:type="pct"/>
            <w:vAlign w:val="center"/>
          </w:tcPr>
          <w:p>
            <w:pPr>
              <w:numPr>
                <w:ilvl w:val="0"/>
                <w:numId w:val="0"/>
              </w:numPr>
              <w:jc w:val="center"/>
              <w:rPr>
                <w:rFonts w:hint="default" w:ascii="Times New Roman" w:hAnsi="Times New Roman" w:cs="Times New Roman"/>
                <w:b/>
                <w:bCs/>
                <w:i w:val="0"/>
                <w:iCs w:val="0"/>
                <w:sz w:val="21"/>
                <w:szCs w:val="21"/>
                <w:vertAlign w:val="baseline"/>
                <w:lang w:val="en-US" w:eastAsia="zh-CN"/>
              </w:rPr>
            </w:pPr>
            <w:r>
              <w:rPr>
                <w:rFonts w:hint="default" w:ascii="Times New Roman" w:hAnsi="Times New Roman" w:cs="Times New Roman"/>
                <w:b/>
                <w:bCs/>
                <w:i w:val="0"/>
                <w:iCs w:val="0"/>
                <w:sz w:val="21"/>
                <w:szCs w:val="21"/>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w:t>
            </w:r>
          </w:p>
        </w:tc>
        <w:tc>
          <w:tcPr>
            <w:tcW w:w="4142" w:type="pct"/>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具有独立承担民事责任的能力：企业法人提供企业法人营业执照，事业法人提供事业法人登记证；其他组织提供其他组织的营业执照或执业许可证。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2</w:t>
            </w:r>
          </w:p>
        </w:tc>
        <w:tc>
          <w:tcPr>
            <w:tcW w:w="4142" w:type="pct"/>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eastAsia" w:ascii="Times New Roman" w:hAnsi="Times New Roman" w:eastAsia="宋体" w:cs="Times New Roman"/>
                <w:color w:val="000000"/>
                <w:kern w:val="0"/>
                <w:sz w:val="21"/>
                <w:szCs w:val="21"/>
                <w:lang w:val="en-US" w:eastAsia="zh-CN" w:bidi="ar"/>
              </w:rPr>
              <w:t>供应商未被列入“信用中国”网站中“记录失信被执行人或重大税收违法失信主体或政府采购严重违法失信行为”的记录名单，不处于“中国政府采购网”中“政府采购严重违法失信行为信息记录”的禁止参加政府采购活动期间（以上述网站查询结果为准，如在上述网站查询结果均显示没有相关记录，视为没有上述不良信用记录，如在上述网站查询结果显示相关失信记录，供应商须提供相关资料证明该记录已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 w:type="pct"/>
            <w:vAlign w:val="center"/>
          </w:tcPr>
          <w:p>
            <w:pPr>
              <w:keepNext w:val="0"/>
              <w:keepLines w:val="0"/>
              <w:widowControl/>
              <w:suppressLineNumbers w:val="0"/>
              <w:jc w:val="center"/>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3</w:t>
            </w:r>
          </w:p>
        </w:tc>
        <w:tc>
          <w:tcPr>
            <w:tcW w:w="4142" w:type="pct"/>
            <w:vAlign w:val="center"/>
          </w:tcPr>
          <w:p>
            <w:pPr>
              <w:keepNext w:val="0"/>
              <w:keepLines w:val="0"/>
              <w:widowControl/>
              <w:suppressLineNumbers w:val="0"/>
              <w:jc w:val="left"/>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供应商应有电</w:t>
            </w:r>
            <w:r>
              <w:rPr>
                <w:rFonts w:hint="eastAsia" w:ascii="Times New Roman" w:hAnsi="Times New Roman" w:cs="Times New Roman"/>
                <w:sz w:val="21"/>
                <w:szCs w:val="21"/>
                <w:vertAlign w:val="baseline"/>
                <w:lang w:val="en-US" w:eastAsia="zh-CN"/>
              </w:rPr>
              <w:t>工</w:t>
            </w:r>
            <w:r>
              <w:rPr>
                <w:rFonts w:hint="default" w:ascii="Times New Roman" w:hAnsi="Times New Roman" w:cs="Times New Roman"/>
                <w:sz w:val="21"/>
                <w:szCs w:val="21"/>
                <w:vertAlign w:val="baseline"/>
                <w:lang w:val="en-US" w:eastAsia="zh-CN"/>
              </w:rPr>
              <w:t>仪器仪表生产销售资质。</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三、成交办法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根据满足资格条件的各家单位有效报价，选择报价最低者为成交对象。</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4213"/>
        <w:tab w:val="left" w:pos="5762"/>
      </w:tabs>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jc w:val="center"/>
                            <w:rPr>
                              <w:rFonts w:hint="default" w:ascii="Times New Roman" w:hAnsi="Times New Roman" w:cs="Times New Roman"/>
                              <w:color w:val="000000"/>
                            </w:rPr>
                          </w:pPr>
                          <w:r>
                            <w:rPr>
                              <w:rFonts w:hint="default" w:ascii="Times New Roman" w:hAnsi="Times New Roman" w:cs="Times New Roman"/>
                              <w:color w:val="000000"/>
                            </w:rPr>
                            <w:t xml:space="preserve">第 </w:t>
                          </w:r>
                          <w:r>
                            <w:rPr>
                              <w:rFonts w:hint="default" w:ascii="Times New Roman" w:hAnsi="Times New Roman" w:cs="Times New Roman"/>
                              <w:color w:val="000000"/>
                            </w:rPr>
                            <w:fldChar w:fldCharType="begin"/>
                          </w:r>
                          <w:r>
                            <w:rPr>
                              <w:rFonts w:hint="default" w:ascii="Times New Roman" w:hAnsi="Times New Roman" w:cs="Times New Roman"/>
                              <w:color w:val="000000"/>
                            </w:rPr>
                            <w:instrText xml:space="preserve"> PAGE  \* MERGEFORMAT </w:instrText>
                          </w:r>
                          <w:r>
                            <w:rPr>
                              <w:rFonts w:hint="default" w:ascii="Times New Roman" w:hAnsi="Times New Roman" w:cs="Times New Roman"/>
                              <w:color w:val="000000"/>
                            </w:rPr>
                            <w:fldChar w:fldCharType="separate"/>
                          </w:r>
                          <w:r>
                            <w:rPr>
                              <w:rFonts w:hint="default" w:ascii="Times New Roman" w:hAnsi="Times New Roman" w:cs="Times New Roman"/>
                              <w:color w:val="000000"/>
                            </w:rPr>
                            <w:t>1</w:t>
                          </w:r>
                          <w:r>
                            <w:rPr>
                              <w:rFonts w:hint="default" w:ascii="Times New Roman" w:hAnsi="Times New Roman" w:cs="Times New Roman"/>
                              <w:color w:val="000000"/>
                            </w:rPr>
                            <w:fldChar w:fldCharType="end"/>
                          </w:r>
                          <w:r>
                            <w:rPr>
                              <w:rFonts w:hint="default" w:ascii="Times New Roman" w:hAnsi="Times New Roman" w:cs="Times New Roman"/>
                              <w:color w:val="000000"/>
                            </w:rPr>
                            <w:t xml:space="preserve"> 页 共 </w:t>
                          </w:r>
                          <w:r>
                            <w:rPr>
                              <w:rFonts w:hint="default" w:ascii="Times New Roman" w:hAnsi="Times New Roman" w:cs="Times New Roman"/>
                              <w:color w:val="000000"/>
                            </w:rPr>
                            <w:fldChar w:fldCharType="begin"/>
                          </w:r>
                          <w:r>
                            <w:rPr>
                              <w:rFonts w:hint="default" w:ascii="Times New Roman" w:hAnsi="Times New Roman" w:cs="Times New Roman"/>
                              <w:color w:val="000000"/>
                            </w:rPr>
                            <w:instrText xml:space="preserve"> NUMPAGES  \* MERGEFORMAT </w:instrText>
                          </w:r>
                          <w:r>
                            <w:rPr>
                              <w:rFonts w:hint="default" w:ascii="Times New Roman" w:hAnsi="Times New Roman" w:cs="Times New Roman"/>
                              <w:color w:val="000000"/>
                            </w:rPr>
                            <w:fldChar w:fldCharType="separate"/>
                          </w:r>
                          <w:r>
                            <w:rPr>
                              <w:rFonts w:hint="default" w:ascii="Times New Roman" w:hAnsi="Times New Roman" w:cs="Times New Roman"/>
                              <w:color w:val="000000"/>
                            </w:rPr>
                            <w:t>4</w:t>
                          </w:r>
                          <w:r>
                            <w:rPr>
                              <w:rFonts w:hint="default" w:ascii="Times New Roman" w:hAnsi="Times New Roman" w:cs="Times New Roman"/>
                              <w:color w:val="000000"/>
                            </w:rPr>
                            <w:fldChar w:fldCharType="end"/>
                          </w:r>
                          <w:r>
                            <w:rPr>
                              <w:rFonts w:hint="default" w:ascii="Times New Roman" w:hAnsi="Times New Roman" w:cs="Times New Roman"/>
                              <w:color w:val="000000"/>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jc w:val="center"/>
                      <w:rPr>
                        <w:rFonts w:hint="default" w:ascii="Times New Roman" w:hAnsi="Times New Roman" w:cs="Times New Roman"/>
                        <w:color w:val="000000"/>
                      </w:rPr>
                    </w:pPr>
                    <w:r>
                      <w:rPr>
                        <w:rFonts w:hint="default" w:ascii="Times New Roman" w:hAnsi="Times New Roman" w:cs="Times New Roman"/>
                        <w:color w:val="000000"/>
                      </w:rPr>
                      <w:t xml:space="preserve">第 </w:t>
                    </w:r>
                    <w:r>
                      <w:rPr>
                        <w:rFonts w:hint="default" w:ascii="Times New Roman" w:hAnsi="Times New Roman" w:cs="Times New Roman"/>
                        <w:color w:val="000000"/>
                      </w:rPr>
                      <w:fldChar w:fldCharType="begin"/>
                    </w:r>
                    <w:r>
                      <w:rPr>
                        <w:rFonts w:hint="default" w:ascii="Times New Roman" w:hAnsi="Times New Roman" w:cs="Times New Roman"/>
                        <w:color w:val="000000"/>
                      </w:rPr>
                      <w:instrText xml:space="preserve"> PAGE  \* MERGEFORMAT </w:instrText>
                    </w:r>
                    <w:r>
                      <w:rPr>
                        <w:rFonts w:hint="default" w:ascii="Times New Roman" w:hAnsi="Times New Roman" w:cs="Times New Roman"/>
                        <w:color w:val="000000"/>
                      </w:rPr>
                      <w:fldChar w:fldCharType="separate"/>
                    </w:r>
                    <w:r>
                      <w:rPr>
                        <w:rFonts w:hint="default" w:ascii="Times New Roman" w:hAnsi="Times New Roman" w:cs="Times New Roman"/>
                        <w:color w:val="000000"/>
                      </w:rPr>
                      <w:t>1</w:t>
                    </w:r>
                    <w:r>
                      <w:rPr>
                        <w:rFonts w:hint="default" w:ascii="Times New Roman" w:hAnsi="Times New Roman" w:cs="Times New Roman"/>
                        <w:color w:val="000000"/>
                      </w:rPr>
                      <w:fldChar w:fldCharType="end"/>
                    </w:r>
                    <w:r>
                      <w:rPr>
                        <w:rFonts w:hint="default" w:ascii="Times New Roman" w:hAnsi="Times New Roman" w:cs="Times New Roman"/>
                        <w:color w:val="000000"/>
                      </w:rPr>
                      <w:t xml:space="preserve"> 页 共 </w:t>
                    </w:r>
                    <w:r>
                      <w:rPr>
                        <w:rFonts w:hint="default" w:ascii="Times New Roman" w:hAnsi="Times New Roman" w:cs="Times New Roman"/>
                        <w:color w:val="000000"/>
                      </w:rPr>
                      <w:fldChar w:fldCharType="begin"/>
                    </w:r>
                    <w:r>
                      <w:rPr>
                        <w:rFonts w:hint="default" w:ascii="Times New Roman" w:hAnsi="Times New Roman" w:cs="Times New Roman"/>
                        <w:color w:val="000000"/>
                      </w:rPr>
                      <w:instrText xml:space="preserve"> NUMPAGES  \* MERGEFORMAT </w:instrText>
                    </w:r>
                    <w:r>
                      <w:rPr>
                        <w:rFonts w:hint="default" w:ascii="Times New Roman" w:hAnsi="Times New Roman" w:cs="Times New Roman"/>
                        <w:color w:val="000000"/>
                      </w:rPr>
                      <w:fldChar w:fldCharType="separate"/>
                    </w:r>
                    <w:r>
                      <w:rPr>
                        <w:rFonts w:hint="default" w:ascii="Times New Roman" w:hAnsi="Times New Roman" w:cs="Times New Roman"/>
                        <w:color w:val="000000"/>
                      </w:rPr>
                      <w:t>4</w:t>
                    </w:r>
                    <w:r>
                      <w:rPr>
                        <w:rFonts w:hint="default" w:ascii="Times New Roman" w:hAnsi="Times New Roman" w:cs="Times New Roman"/>
                        <w:color w:val="000000"/>
                      </w:rPr>
                      <w:fldChar w:fldCharType="end"/>
                    </w:r>
                    <w:r>
                      <w:rPr>
                        <w:rFonts w:hint="default" w:ascii="Times New Roman" w:hAnsi="Times New Roman" w:cs="Times New Roman"/>
                        <w:color w:val="000000"/>
                      </w:rPr>
                      <w:t xml:space="preserve"> 页</w:t>
                    </w:r>
                  </w:p>
                </w:txbxContent>
              </v:textbox>
            </v:shape>
          </w:pict>
        </mc:Fallback>
      </mc:AlternateContent>
    </w:r>
    <w:r>
      <w:rPr>
        <w:rFonts w:hint="eastAsia"/>
        <w:sz w:val="18"/>
        <w:lang w:eastAsia="zh-CN"/>
      </w:rPr>
      <w:tab/>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3A85"/>
    <w:multiLevelType w:val="singleLevel"/>
    <w:tmpl w:val="88293A85"/>
    <w:lvl w:ilvl="0" w:tentative="0">
      <w:start w:val="1"/>
      <w:numFmt w:val="decimal"/>
      <w:suff w:val="space"/>
      <w:lvlText w:val="%1."/>
      <w:lvlJc w:val="left"/>
    </w:lvl>
  </w:abstractNum>
  <w:abstractNum w:abstractNumId="1">
    <w:nsid w:val="DF128424"/>
    <w:multiLevelType w:val="singleLevel"/>
    <w:tmpl w:val="DF128424"/>
    <w:lvl w:ilvl="0" w:tentative="0">
      <w:start w:val="1"/>
      <w:numFmt w:val="decimal"/>
      <w:suff w:val="space"/>
      <w:lvlText w:val="%1."/>
      <w:lvlJc w:val="left"/>
    </w:lvl>
  </w:abstractNum>
  <w:abstractNum w:abstractNumId="2">
    <w:nsid w:val="E67A9D7B"/>
    <w:multiLevelType w:val="singleLevel"/>
    <w:tmpl w:val="E67A9D7B"/>
    <w:lvl w:ilvl="0" w:tentative="0">
      <w:start w:val="1"/>
      <w:numFmt w:val="decimal"/>
      <w:suff w:val="space"/>
      <w:lvlText w:val="%1."/>
      <w:lvlJc w:val="left"/>
    </w:lvl>
  </w:abstractNum>
  <w:abstractNum w:abstractNumId="3">
    <w:nsid w:val="EA0CD67C"/>
    <w:multiLevelType w:val="multilevel"/>
    <w:tmpl w:val="EA0CD67C"/>
    <w:lvl w:ilvl="0" w:tentative="0">
      <w:start w:val="1"/>
      <w:numFmt w:val="decimal"/>
      <w:pStyle w:val="5"/>
      <w:suff w:val="space"/>
      <w:lvlText w:val="%1"/>
      <w:lvlJc w:val="left"/>
      <w:pPr>
        <w:tabs>
          <w:tab w:val="left" w:pos="420"/>
        </w:tabs>
        <w:ind w:left="0" w:leftChars="0" w:firstLine="0" w:firstLineChars="0"/>
      </w:pPr>
      <w:rPr>
        <w:rFonts w:hint="default"/>
      </w:rPr>
    </w:lvl>
    <w:lvl w:ilvl="1" w:tentative="0">
      <w:start w:val="1"/>
      <w:numFmt w:val="decimal"/>
      <w:suff w:val="space"/>
      <w:lvlText w:val="%1.%2"/>
      <w:lvlJc w:val="left"/>
      <w:pPr>
        <w:tabs>
          <w:tab w:val="left" w:pos="420"/>
        </w:tabs>
        <w:ind w:left="0" w:leftChars="0" w:firstLine="0" w:firstLineChars="0"/>
      </w:pPr>
      <w:rPr>
        <w:rFonts w:hint="default" w:ascii="Times New Roman" w:hAnsi="Times New Roman" w:cs="Times New Roman"/>
        <w:b w:val="0"/>
        <w:bCs w:val="0"/>
      </w:rPr>
    </w:lvl>
    <w:lvl w:ilvl="2" w:tentative="0">
      <w:start w:val="1"/>
      <w:numFmt w:val="decimal"/>
      <w:suff w:val="space"/>
      <w:lvlText w:val="%1.%2.%3"/>
      <w:lvlJc w:val="left"/>
      <w:pPr>
        <w:tabs>
          <w:tab w:val="left" w:pos="420"/>
        </w:tabs>
        <w:ind w:left="0" w:leftChars="0" w:firstLine="0" w:firstLineChars="0"/>
      </w:pPr>
      <w:rPr>
        <w:rFonts w:hint="default"/>
      </w:rPr>
    </w:lvl>
    <w:lvl w:ilvl="3" w:tentative="0">
      <w:start w:val="1"/>
      <w:numFmt w:val="decimal"/>
      <w:suff w:val="space"/>
      <w:lvlText w:val="%1.%2.%3.%4"/>
      <w:lvlJc w:val="left"/>
      <w:pPr>
        <w:tabs>
          <w:tab w:val="left" w:pos="0"/>
        </w:tabs>
        <w:ind w:left="0" w:leftChars="0" w:firstLine="0" w:firstLineChars="0"/>
      </w:pPr>
      <w:rPr>
        <w:rFonts w:hint="default"/>
      </w:rPr>
    </w:lvl>
    <w:lvl w:ilvl="4" w:tentative="0">
      <w:start w:val="1"/>
      <w:numFmt w:val="decimal"/>
      <w:suff w:val="space"/>
      <w:lvlText w:val="%1.%2.%3.%4.%5"/>
      <w:lvlJc w:val="left"/>
      <w:pPr>
        <w:tabs>
          <w:tab w:val="left" w:pos="420"/>
        </w:tabs>
        <w:ind w:left="0" w:leftChars="0" w:firstLine="0" w:firstLineChars="0"/>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4">
    <w:nsid w:val="04F3F8C8"/>
    <w:multiLevelType w:val="singleLevel"/>
    <w:tmpl w:val="04F3F8C8"/>
    <w:lvl w:ilvl="0" w:tentative="0">
      <w:start w:val="1"/>
      <w:numFmt w:val="decimal"/>
      <w:suff w:val="space"/>
      <w:lvlText w:val="%1."/>
      <w:lvlJc w:val="left"/>
    </w:lvl>
  </w:abstractNum>
  <w:abstractNum w:abstractNumId="5">
    <w:nsid w:val="0E35E50F"/>
    <w:multiLevelType w:val="singleLevel"/>
    <w:tmpl w:val="0E35E50F"/>
    <w:lvl w:ilvl="0" w:tentative="0">
      <w:start w:val="1"/>
      <w:numFmt w:val="decimal"/>
      <w:suff w:val="space"/>
      <w:lvlText w:val="%1."/>
      <w:lvlJc w:val="left"/>
    </w:lvl>
  </w:abstractNum>
  <w:abstractNum w:abstractNumId="6">
    <w:nsid w:val="51E2DA18"/>
    <w:multiLevelType w:val="singleLevel"/>
    <w:tmpl w:val="51E2DA18"/>
    <w:lvl w:ilvl="0" w:tentative="0">
      <w:start w:val="1"/>
      <w:numFmt w:val="decimal"/>
      <w:suff w:val="space"/>
      <w:lvlText w:val="%1."/>
      <w:lvlJc w:val="left"/>
    </w:lvl>
  </w:abstractNum>
  <w:abstractNum w:abstractNumId="7">
    <w:nsid w:val="70CFC5C9"/>
    <w:multiLevelType w:val="singleLevel"/>
    <w:tmpl w:val="70CFC5C9"/>
    <w:lvl w:ilvl="0" w:tentative="0">
      <w:start w:val="1"/>
      <w:numFmt w:val="decimal"/>
      <w:suff w:val="space"/>
      <w:lvlText w:val="%1."/>
      <w:lvlJc w:val="left"/>
    </w:lvl>
  </w:abstractNum>
  <w:abstractNum w:abstractNumId="8">
    <w:nsid w:val="74C75E68"/>
    <w:multiLevelType w:val="singleLevel"/>
    <w:tmpl w:val="74C75E68"/>
    <w:lvl w:ilvl="0" w:tentative="0">
      <w:start w:val="1"/>
      <w:numFmt w:val="decimal"/>
      <w:suff w:val="space"/>
      <w:lvlText w:val="%1."/>
      <w:lvlJc w:val="left"/>
    </w:lvl>
  </w:abstractNum>
  <w:abstractNum w:abstractNumId="9">
    <w:nsid w:val="77972034"/>
    <w:multiLevelType w:val="singleLevel"/>
    <w:tmpl w:val="77972034"/>
    <w:lvl w:ilvl="0" w:tentative="0">
      <w:start w:val="1"/>
      <w:numFmt w:val="decimal"/>
      <w:suff w:val="space"/>
      <w:lvlText w:val="%1."/>
      <w:lvlJc w:val="left"/>
    </w:lvl>
  </w:abstractNum>
  <w:num w:numId="1">
    <w:abstractNumId w:val="3"/>
  </w:num>
  <w:num w:numId="2">
    <w:abstractNumId w:val="5"/>
  </w:num>
  <w:num w:numId="3">
    <w:abstractNumId w:val="8"/>
  </w:num>
  <w:num w:numId="4">
    <w:abstractNumId w:val="0"/>
  </w:num>
  <w:num w:numId="5">
    <w:abstractNumId w:val="1"/>
  </w:num>
  <w:num w:numId="6">
    <w:abstractNumId w:val="7"/>
  </w:num>
  <w:num w:numId="7">
    <w:abstractNumId w:val="6"/>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hNmM1MDA1NDFiYmM1YzAyMTIzYjMwNTBiZGNmMmMifQ=="/>
  </w:docVars>
  <w:rsids>
    <w:rsidRoot w:val="00000000"/>
    <w:rsid w:val="00B90E2E"/>
    <w:rsid w:val="016B6A1C"/>
    <w:rsid w:val="01E84A30"/>
    <w:rsid w:val="02ED1C6E"/>
    <w:rsid w:val="032633D2"/>
    <w:rsid w:val="03646ABF"/>
    <w:rsid w:val="045E36B4"/>
    <w:rsid w:val="04A50DF3"/>
    <w:rsid w:val="05720B51"/>
    <w:rsid w:val="06492205"/>
    <w:rsid w:val="07322DB8"/>
    <w:rsid w:val="07783C8D"/>
    <w:rsid w:val="07C547E0"/>
    <w:rsid w:val="08747B08"/>
    <w:rsid w:val="09B94F9F"/>
    <w:rsid w:val="09F92974"/>
    <w:rsid w:val="0AB52A4F"/>
    <w:rsid w:val="0AF97A45"/>
    <w:rsid w:val="0B1331D3"/>
    <w:rsid w:val="0B725D33"/>
    <w:rsid w:val="0C0A0A79"/>
    <w:rsid w:val="0D303650"/>
    <w:rsid w:val="0DA348CA"/>
    <w:rsid w:val="0DD26630"/>
    <w:rsid w:val="0E5B06B8"/>
    <w:rsid w:val="0EBB07FB"/>
    <w:rsid w:val="0EC15643"/>
    <w:rsid w:val="0F227E0A"/>
    <w:rsid w:val="101920E6"/>
    <w:rsid w:val="10A16A4D"/>
    <w:rsid w:val="11206DF3"/>
    <w:rsid w:val="11BD5761"/>
    <w:rsid w:val="125A53FD"/>
    <w:rsid w:val="132D4308"/>
    <w:rsid w:val="15200B35"/>
    <w:rsid w:val="160349AB"/>
    <w:rsid w:val="161F47DC"/>
    <w:rsid w:val="16C6249B"/>
    <w:rsid w:val="1714368A"/>
    <w:rsid w:val="17306175"/>
    <w:rsid w:val="17440D83"/>
    <w:rsid w:val="175977D3"/>
    <w:rsid w:val="176D1ABA"/>
    <w:rsid w:val="18025D64"/>
    <w:rsid w:val="184171F6"/>
    <w:rsid w:val="18694035"/>
    <w:rsid w:val="190F7A78"/>
    <w:rsid w:val="19D61256"/>
    <w:rsid w:val="1AB73EBD"/>
    <w:rsid w:val="1B1E72B7"/>
    <w:rsid w:val="1B5B5684"/>
    <w:rsid w:val="1B6B7632"/>
    <w:rsid w:val="1E2626D8"/>
    <w:rsid w:val="1E7D4396"/>
    <w:rsid w:val="1E911BEF"/>
    <w:rsid w:val="1ECA56D3"/>
    <w:rsid w:val="20E022B8"/>
    <w:rsid w:val="221D32E3"/>
    <w:rsid w:val="229C0058"/>
    <w:rsid w:val="237A6728"/>
    <w:rsid w:val="248A4000"/>
    <w:rsid w:val="259B43D0"/>
    <w:rsid w:val="263B36CE"/>
    <w:rsid w:val="269313E0"/>
    <w:rsid w:val="270C569C"/>
    <w:rsid w:val="274807A7"/>
    <w:rsid w:val="27A85F06"/>
    <w:rsid w:val="27C8469D"/>
    <w:rsid w:val="28A449B2"/>
    <w:rsid w:val="28EC32AF"/>
    <w:rsid w:val="290F21A9"/>
    <w:rsid w:val="295C4868"/>
    <w:rsid w:val="296E76E6"/>
    <w:rsid w:val="297A3B85"/>
    <w:rsid w:val="298F3004"/>
    <w:rsid w:val="29C56BF1"/>
    <w:rsid w:val="2A407E3E"/>
    <w:rsid w:val="2BBA77E5"/>
    <w:rsid w:val="2C5030EA"/>
    <w:rsid w:val="2C732BFC"/>
    <w:rsid w:val="2C9366C5"/>
    <w:rsid w:val="2C970D19"/>
    <w:rsid w:val="2CD1105A"/>
    <w:rsid w:val="2D4367AA"/>
    <w:rsid w:val="2E586DFA"/>
    <w:rsid w:val="319121DA"/>
    <w:rsid w:val="32172601"/>
    <w:rsid w:val="3309743E"/>
    <w:rsid w:val="345F7057"/>
    <w:rsid w:val="36394BEF"/>
    <w:rsid w:val="37062E2E"/>
    <w:rsid w:val="37B167D6"/>
    <w:rsid w:val="3AA9374B"/>
    <w:rsid w:val="3B0A3331"/>
    <w:rsid w:val="3CC73ECD"/>
    <w:rsid w:val="3D3C15F5"/>
    <w:rsid w:val="3D74650C"/>
    <w:rsid w:val="3DA83401"/>
    <w:rsid w:val="3DC94D3E"/>
    <w:rsid w:val="3DE10046"/>
    <w:rsid w:val="3DF21912"/>
    <w:rsid w:val="3E151A9D"/>
    <w:rsid w:val="3E79027E"/>
    <w:rsid w:val="3EBA2645"/>
    <w:rsid w:val="3F4168C2"/>
    <w:rsid w:val="3F9457EA"/>
    <w:rsid w:val="3FAF133C"/>
    <w:rsid w:val="3FD91DCF"/>
    <w:rsid w:val="40343568"/>
    <w:rsid w:val="40696900"/>
    <w:rsid w:val="4128176B"/>
    <w:rsid w:val="41D41C6F"/>
    <w:rsid w:val="426D0C07"/>
    <w:rsid w:val="42FB4A1F"/>
    <w:rsid w:val="43655275"/>
    <w:rsid w:val="437C0A6C"/>
    <w:rsid w:val="4464552C"/>
    <w:rsid w:val="44753296"/>
    <w:rsid w:val="44A52365"/>
    <w:rsid w:val="44CE660D"/>
    <w:rsid w:val="44EB7C71"/>
    <w:rsid w:val="457C4A54"/>
    <w:rsid w:val="460D11C5"/>
    <w:rsid w:val="46E56A5F"/>
    <w:rsid w:val="47AE30AD"/>
    <w:rsid w:val="47CB1DB0"/>
    <w:rsid w:val="480A2A65"/>
    <w:rsid w:val="48335942"/>
    <w:rsid w:val="4854437F"/>
    <w:rsid w:val="487D7E82"/>
    <w:rsid w:val="488E43CA"/>
    <w:rsid w:val="49AA39E1"/>
    <w:rsid w:val="49E33183"/>
    <w:rsid w:val="4ACC1862"/>
    <w:rsid w:val="4C211DF2"/>
    <w:rsid w:val="4C287572"/>
    <w:rsid w:val="4D693233"/>
    <w:rsid w:val="50823772"/>
    <w:rsid w:val="50B12FCB"/>
    <w:rsid w:val="511E3F08"/>
    <w:rsid w:val="511F2F07"/>
    <w:rsid w:val="51675356"/>
    <w:rsid w:val="52961E90"/>
    <w:rsid w:val="52C5363A"/>
    <w:rsid w:val="541A5C08"/>
    <w:rsid w:val="542C5727"/>
    <w:rsid w:val="54F406D5"/>
    <w:rsid w:val="562C4DF6"/>
    <w:rsid w:val="57C31A8B"/>
    <w:rsid w:val="589F6EB1"/>
    <w:rsid w:val="599942FB"/>
    <w:rsid w:val="59996DC5"/>
    <w:rsid w:val="5C2A09B2"/>
    <w:rsid w:val="5E0C65C1"/>
    <w:rsid w:val="5E5E5162"/>
    <w:rsid w:val="5E6D64E9"/>
    <w:rsid w:val="6027474E"/>
    <w:rsid w:val="618E4F99"/>
    <w:rsid w:val="6239194F"/>
    <w:rsid w:val="628867B4"/>
    <w:rsid w:val="62F73816"/>
    <w:rsid w:val="62FE5A27"/>
    <w:rsid w:val="631D0F28"/>
    <w:rsid w:val="634269BB"/>
    <w:rsid w:val="6343302B"/>
    <w:rsid w:val="634877EE"/>
    <w:rsid w:val="63654BA0"/>
    <w:rsid w:val="63E560B6"/>
    <w:rsid w:val="64261175"/>
    <w:rsid w:val="65054DB7"/>
    <w:rsid w:val="676B6FB9"/>
    <w:rsid w:val="67EC080C"/>
    <w:rsid w:val="681803D6"/>
    <w:rsid w:val="68B946DC"/>
    <w:rsid w:val="6978037B"/>
    <w:rsid w:val="6A49294B"/>
    <w:rsid w:val="6A57010F"/>
    <w:rsid w:val="6A8267F6"/>
    <w:rsid w:val="6A8954B3"/>
    <w:rsid w:val="6AA72743"/>
    <w:rsid w:val="6B5D480A"/>
    <w:rsid w:val="6BD32B1F"/>
    <w:rsid w:val="6C6B7A0F"/>
    <w:rsid w:val="6C871509"/>
    <w:rsid w:val="6C9D03B9"/>
    <w:rsid w:val="6DCC54B1"/>
    <w:rsid w:val="6DF67F9C"/>
    <w:rsid w:val="6DFA6436"/>
    <w:rsid w:val="6E502E25"/>
    <w:rsid w:val="6E7B3ADD"/>
    <w:rsid w:val="6FF23BA0"/>
    <w:rsid w:val="70D72A5F"/>
    <w:rsid w:val="71417AAB"/>
    <w:rsid w:val="71E722EB"/>
    <w:rsid w:val="722F7E81"/>
    <w:rsid w:val="72F1592E"/>
    <w:rsid w:val="73C96CC5"/>
    <w:rsid w:val="74487F77"/>
    <w:rsid w:val="74A65553"/>
    <w:rsid w:val="74BF1D78"/>
    <w:rsid w:val="75587EE6"/>
    <w:rsid w:val="76F6623C"/>
    <w:rsid w:val="773C2BBC"/>
    <w:rsid w:val="785726D7"/>
    <w:rsid w:val="787B34E5"/>
    <w:rsid w:val="7884676A"/>
    <w:rsid w:val="7C5B0D1F"/>
    <w:rsid w:val="7C8E5650"/>
    <w:rsid w:val="7D8D22A8"/>
    <w:rsid w:val="7D937D0D"/>
    <w:rsid w:val="7DCA16EC"/>
    <w:rsid w:val="7F2A644F"/>
    <w:rsid w:val="7FC72C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iPriority="99" w:name="heading 2"/>
    <w:lsdException w:uiPriority="99" w:name="heading 3"/>
    <w:lsdException w:qFormat="1"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qFormat="1" w:uiPriority="0"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numPr>
        <w:ilvl w:val="0"/>
        <w:numId w:val="1"/>
      </w:numPr>
      <w:spacing w:beforeLines="0" w:afterLines="0"/>
      <w:ind w:firstLine="0" w:firstLineChars="0"/>
      <w:outlineLvl w:val="0"/>
    </w:pPr>
    <w:rPr>
      <w:rFonts w:eastAsia="黑体"/>
      <w:kern w:val="44"/>
      <w:sz w:val="28"/>
      <w:lang w:val="en-US" w:eastAsia="zh-CN"/>
    </w:rPr>
  </w:style>
  <w:style w:type="paragraph" w:styleId="6">
    <w:name w:val="heading 4"/>
    <w:basedOn w:val="1"/>
    <w:next w:val="1"/>
    <w:semiHidden/>
    <w:unhideWhenUsed/>
    <w:qFormat/>
    <w:uiPriority w:val="9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ind w:firstLine="420" w:firstLineChars="200"/>
    </w:pPr>
  </w:style>
  <w:style w:type="paragraph" w:styleId="3">
    <w:name w:val="Body Text Indent"/>
    <w:basedOn w:val="1"/>
    <w:next w:val="4"/>
    <w:qFormat/>
    <w:uiPriority w:val="0"/>
    <w:pPr>
      <w:spacing w:line="360" w:lineRule="auto"/>
      <w:ind w:left="315" w:firstLine="420"/>
    </w:pPr>
    <w:rPr>
      <w:sz w:val="24"/>
      <w:szCs w:val="20"/>
    </w:rPr>
  </w:style>
  <w:style w:type="paragraph" w:styleId="4">
    <w:name w:val="envelope return"/>
    <w:basedOn w:val="1"/>
    <w:unhideWhenUsed/>
    <w:qFormat/>
    <w:uiPriority w:val="99"/>
    <w:pPr>
      <w:snapToGrid w:val="0"/>
    </w:pPr>
    <w:rPr>
      <w:rFonts w:ascii="Calibri Light" w:hAnsi="Calibri Light"/>
    </w:rPr>
  </w:style>
  <w:style w:type="paragraph" w:styleId="7">
    <w:name w:val="annotation text"/>
    <w:basedOn w:val="1"/>
    <w:qFormat/>
    <w:uiPriority w:val="99"/>
    <w:pPr>
      <w:spacing w:line="240" w:lineRule="auto"/>
      <w:jc w:val="left"/>
    </w:pPr>
    <w:rPr>
      <w:rFonts w:ascii="Times New Roman" w:hAnsi="Times New Roman"/>
      <w:kern w:val="0"/>
      <w:sz w:val="24"/>
    </w:rPr>
  </w:style>
  <w:style w:type="paragraph" w:styleId="8">
    <w:name w:val="Body Text"/>
    <w:basedOn w:val="1"/>
    <w:qFormat/>
    <w:uiPriority w:val="99"/>
    <w:pPr>
      <w:jc w:val="both"/>
    </w:pPr>
    <w:rPr>
      <w:rFonts w:ascii="Times New Roman" w:hAnsi="Times New Roman" w:eastAsia="宋体"/>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qFormat/>
    <w:uiPriority w:val="99"/>
    <w:rPr>
      <w:rFonts w:cs="Times New Roman"/>
      <w:sz w:val="21"/>
    </w:rPr>
  </w:style>
  <w:style w:type="paragraph" w:customStyle="1" w:styleId="15">
    <w:name w:val="表格内容"/>
    <w:basedOn w:val="1"/>
    <w:qFormat/>
    <w:uiPriority w:val="0"/>
    <w:pPr>
      <w:widowControl/>
      <w:spacing w:line="240" w:lineRule="auto"/>
      <w:ind w:firstLine="0" w:firstLineChars="0"/>
      <w:jc w:val="center"/>
    </w:pPr>
    <w:rPr>
      <w:rFonts w:ascii="Times New Roman" w:hAnsi="Times New Roman"/>
      <w:bCs/>
      <w:kern w:val="0"/>
      <w:sz w:val="21"/>
      <w:szCs w:val="21"/>
    </w:rPr>
  </w:style>
  <w:style w:type="paragraph" w:customStyle="1" w:styleId="16">
    <w:name w:val="_Style 1"/>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1403</Words>
  <Characters>1562</Characters>
  <Lines>0</Lines>
  <Paragraphs>0</Paragraphs>
  <TotalTime>7</TotalTime>
  <ScaleCrop>false</ScaleCrop>
  <LinksUpToDate>false</LinksUpToDate>
  <CharactersWithSpaces>1603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2021-06-16T09:00:00Z</dcterms:created>
  <dc:creator>linxiaoming</dc:creator>
  <cp:lastModifiedBy>冯磊</cp:lastModifiedBy>
  <dcterms:modified xsi:type="dcterms:W3CDTF">2026-01-15T06:04:05Z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DBE34F0CE37B4B7AA7A77ABEECDB3975</vt:lpwstr>
  </property>
  <property fmtid="{D5CDD505-2E9C-101B-9397-08002B2CF9AE}" pid="4" name="KSOTemplateDocerSaveRecord">
    <vt:lpwstr>eyJoZGlkIjoiMWNjOWZlZmIzYTQ2NTNmYzYyMGI4NTE5NTA3MDA2YWYiLCJ1c2VySWQiOiI0MzQ4MzM2MzMifQ==</vt:lpwstr>
  </property>
</Properties>
</file>